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1BE" w:rsidRDefault="00BE41BE" w:rsidP="00BE41BE">
      <w:pPr>
        <w:pStyle w:val="Heading3"/>
      </w:pPr>
      <w:r>
        <w:t>Conclusions</w:t>
      </w:r>
    </w:p>
    <w:p w:rsidR="00BE41BE" w:rsidRPr="00745020" w:rsidRDefault="00BE41BE" w:rsidP="00BE41BE">
      <w:pPr>
        <w:pStyle w:val="ListParagraph"/>
        <w:numPr>
          <w:ilvl w:val="0"/>
          <w:numId w:val="2"/>
        </w:numPr>
        <w:rPr>
          <w:rFonts w:ascii="Times New Roman" w:hAnsi="Times New Roman" w:cs="Times New Roman"/>
          <w:b/>
        </w:rPr>
      </w:pPr>
      <w:r w:rsidRPr="00745020">
        <w:rPr>
          <w:rFonts w:ascii="Times New Roman" w:hAnsi="Times New Roman" w:cs="Times New Roman"/>
          <w:b/>
        </w:rPr>
        <w:t>What are the overall trends?</w:t>
      </w:r>
    </w:p>
    <w:p w:rsidR="00BE41BE" w:rsidRPr="00745020" w:rsidRDefault="00BE41BE" w:rsidP="00BE41BE">
      <w:pPr>
        <w:pStyle w:val="ListParagraph"/>
        <w:numPr>
          <w:ilvl w:val="1"/>
          <w:numId w:val="2"/>
        </w:numPr>
        <w:rPr>
          <w:rFonts w:ascii="Times New Roman" w:hAnsi="Times New Roman" w:cs="Times New Roman"/>
        </w:rPr>
      </w:pPr>
      <w:r w:rsidRPr="00745020">
        <w:rPr>
          <w:rFonts w:ascii="Times New Roman" w:hAnsi="Times New Roman" w:cs="Times New Roman"/>
          <w:i/>
        </w:rPr>
        <w:t>Temperature:</w:t>
      </w:r>
      <w:r>
        <w:rPr>
          <w:rFonts w:ascii="Times New Roman" w:hAnsi="Times New Roman" w:cs="Times New Roman"/>
        </w:rPr>
        <w:t xml:space="preserve"> Four monitoring stations (USGS 14197900, USGS 14192015, 10393, and 10948) have sufficient data to calculate the temperature seven day average daily maximum (7DADM) and compare results to the water quality criteria within the Yamhill </w:t>
      </w:r>
      <w:proofErr w:type="spellStart"/>
      <w:r>
        <w:rPr>
          <w:rFonts w:ascii="Times New Roman" w:hAnsi="Times New Roman" w:cs="Times New Roman"/>
        </w:rPr>
        <w:t>AgWQ</w:t>
      </w:r>
      <w:proofErr w:type="spellEnd"/>
      <w:r>
        <w:rPr>
          <w:rFonts w:ascii="Times New Roman" w:hAnsi="Times New Roman" w:cs="Times New Roman"/>
        </w:rPr>
        <w:t xml:space="preserve"> Management Area. All monitoring stations have exceedances of the water quality criteria within the last two years of available data. None of the monitoring stations have significant trends. The USGS monitoring stations have continuous data.  </w:t>
      </w:r>
    </w:p>
    <w:p w:rsidR="00BE41BE" w:rsidRPr="00745020" w:rsidRDefault="00BE41BE" w:rsidP="00BE41BE">
      <w:pPr>
        <w:pStyle w:val="ListParagraph"/>
        <w:numPr>
          <w:ilvl w:val="1"/>
          <w:numId w:val="2"/>
        </w:numPr>
        <w:rPr>
          <w:rFonts w:ascii="Times New Roman" w:hAnsi="Times New Roman" w:cs="Times New Roman"/>
        </w:rPr>
      </w:pPr>
      <w:proofErr w:type="gramStart"/>
      <w:r w:rsidRPr="00745020">
        <w:rPr>
          <w:rFonts w:ascii="Times New Roman" w:hAnsi="Times New Roman" w:cs="Times New Roman"/>
          <w:i/>
        </w:rPr>
        <w:t>pH</w:t>
      </w:r>
      <w:proofErr w:type="gramEnd"/>
      <w:r w:rsidRPr="00745020">
        <w:rPr>
          <w:rFonts w:ascii="Times New Roman" w:hAnsi="Times New Roman" w:cs="Times New Roman"/>
          <w:i/>
        </w:rPr>
        <w:t>:</w:t>
      </w:r>
      <w:r>
        <w:rPr>
          <w:rFonts w:ascii="Times New Roman" w:hAnsi="Times New Roman" w:cs="Times New Roman"/>
        </w:rPr>
        <w:t xml:space="preserve"> Three monitoring stations (10393, 10929, and 10948) have sufficient data to assess status and/or trends of pH within the Yamhill </w:t>
      </w:r>
      <w:proofErr w:type="spellStart"/>
      <w:r>
        <w:rPr>
          <w:rFonts w:ascii="Times New Roman" w:hAnsi="Times New Roman" w:cs="Times New Roman"/>
        </w:rPr>
        <w:t>AgWQ</w:t>
      </w:r>
      <w:proofErr w:type="spellEnd"/>
      <w:r>
        <w:rPr>
          <w:rFonts w:ascii="Times New Roman" w:hAnsi="Times New Roman" w:cs="Times New Roman"/>
        </w:rPr>
        <w:t xml:space="preserve"> Management Area. The results for station 10363 have decreasing (degrading) trends and there are exceedances of the pH water quality criteria within the last two years (2015-2017) of data. Stations 10929 and 10948 do not have significant trends and do not have any exceedances of the water quality criteria during the last two years of data (2015-2017). </w:t>
      </w:r>
    </w:p>
    <w:p w:rsidR="00BE41BE" w:rsidRPr="00745020" w:rsidRDefault="00BE41BE" w:rsidP="00BE41BE">
      <w:pPr>
        <w:pStyle w:val="ListParagraph"/>
        <w:numPr>
          <w:ilvl w:val="1"/>
          <w:numId w:val="2"/>
        </w:numPr>
        <w:rPr>
          <w:rFonts w:ascii="Times New Roman" w:hAnsi="Times New Roman" w:cs="Times New Roman"/>
        </w:rPr>
      </w:pPr>
      <w:r w:rsidRPr="00745020">
        <w:rPr>
          <w:rFonts w:ascii="Times New Roman" w:hAnsi="Times New Roman" w:cs="Times New Roman"/>
          <w:i/>
        </w:rPr>
        <w:t>E. coli:</w:t>
      </w:r>
      <w:r>
        <w:rPr>
          <w:rFonts w:ascii="Times New Roman" w:hAnsi="Times New Roman" w:cs="Times New Roman"/>
        </w:rPr>
        <w:t xml:space="preserve"> Three monitoring stations (10393, 10929, and 10948) have sufficient data to assess status and/or trends of </w:t>
      </w:r>
      <w:r>
        <w:rPr>
          <w:rFonts w:ascii="Times New Roman" w:hAnsi="Times New Roman" w:cs="Times New Roman"/>
          <w:i/>
        </w:rPr>
        <w:t>E. coli</w:t>
      </w:r>
      <w:r>
        <w:rPr>
          <w:rFonts w:ascii="Times New Roman" w:hAnsi="Times New Roman" w:cs="Times New Roman"/>
        </w:rPr>
        <w:t xml:space="preserve"> within the Yamhill </w:t>
      </w:r>
      <w:proofErr w:type="spellStart"/>
      <w:r>
        <w:rPr>
          <w:rFonts w:ascii="Times New Roman" w:hAnsi="Times New Roman" w:cs="Times New Roman"/>
        </w:rPr>
        <w:t>AgWQ</w:t>
      </w:r>
      <w:proofErr w:type="spellEnd"/>
      <w:r>
        <w:rPr>
          <w:rFonts w:ascii="Times New Roman" w:hAnsi="Times New Roman" w:cs="Times New Roman"/>
        </w:rPr>
        <w:t xml:space="preserve"> Management Area. Stations 10363 and 10948 do not have enough data to calculate the geometric mean during the entire timeframe (2000-2017). None of the monitoring stations had significant trends and all had at least one exceedance of the water quality criteria within the last two years of data (2015-2017). </w:t>
      </w:r>
    </w:p>
    <w:p w:rsidR="00BE41BE" w:rsidRPr="00745020" w:rsidRDefault="00BE41BE" w:rsidP="00BE41BE">
      <w:pPr>
        <w:pStyle w:val="ListParagraph"/>
        <w:numPr>
          <w:ilvl w:val="1"/>
          <w:numId w:val="2"/>
        </w:numPr>
        <w:rPr>
          <w:rFonts w:ascii="Times New Roman" w:hAnsi="Times New Roman" w:cs="Times New Roman"/>
        </w:rPr>
      </w:pPr>
      <w:r w:rsidRPr="00745020">
        <w:rPr>
          <w:rFonts w:ascii="Times New Roman" w:hAnsi="Times New Roman" w:cs="Times New Roman"/>
          <w:i/>
        </w:rPr>
        <w:t>Dissolved Oxygen:</w:t>
      </w:r>
      <w:r w:rsidRPr="00D2358F">
        <w:rPr>
          <w:rFonts w:ascii="Times New Roman" w:hAnsi="Times New Roman" w:cs="Times New Roman"/>
        </w:rPr>
        <w:t xml:space="preserve"> </w:t>
      </w:r>
      <w:r>
        <w:rPr>
          <w:rFonts w:ascii="Times New Roman" w:hAnsi="Times New Roman" w:cs="Times New Roman"/>
        </w:rPr>
        <w:t xml:space="preserve">Three monitoring stations (10393, 10929, and 10948) have sufficient data to assess status and/or trends of dissolved oxygen within the Yamhill </w:t>
      </w:r>
      <w:proofErr w:type="spellStart"/>
      <w:r>
        <w:rPr>
          <w:rFonts w:ascii="Times New Roman" w:hAnsi="Times New Roman" w:cs="Times New Roman"/>
        </w:rPr>
        <w:t>AgWQ</w:t>
      </w:r>
      <w:proofErr w:type="spellEnd"/>
      <w:r>
        <w:rPr>
          <w:rFonts w:ascii="Times New Roman" w:hAnsi="Times New Roman" w:cs="Times New Roman"/>
        </w:rPr>
        <w:t xml:space="preserve"> Management Area. None of the stations have continuous data and none display significant trends. All stations have exceedances of the water quality criteria within the last two years of data (2015-2017). </w:t>
      </w:r>
    </w:p>
    <w:p w:rsidR="00BE41BE" w:rsidRPr="00AC7F9F" w:rsidRDefault="00BE41BE" w:rsidP="00BE41BE">
      <w:pPr>
        <w:pStyle w:val="ListParagraph"/>
        <w:numPr>
          <w:ilvl w:val="1"/>
          <w:numId w:val="2"/>
        </w:numPr>
        <w:rPr>
          <w:rFonts w:ascii="Times New Roman" w:hAnsi="Times New Roman" w:cs="Times New Roman"/>
          <w:i/>
        </w:rPr>
      </w:pPr>
      <w:r w:rsidRPr="00AC7F9F">
        <w:rPr>
          <w:rFonts w:ascii="Times New Roman" w:hAnsi="Times New Roman" w:cs="Times New Roman"/>
          <w:i/>
        </w:rPr>
        <w:t>Total Phosphorus:</w:t>
      </w:r>
      <w:r w:rsidRPr="00AC7F9F">
        <w:rPr>
          <w:rFonts w:ascii="Times New Roman" w:hAnsi="Times New Roman" w:cs="Times New Roman"/>
        </w:rPr>
        <w:t xml:space="preserve"> Three monitoring stations (10393, 10929, and 10948) have sufficient data to assess status and trends of total phosphorus within the Yamhill </w:t>
      </w:r>
      <w:proofErr w:type="spellStart"/>
      <w:r w:rsidRPr="00AC7F9F">
        <w:rPr>
          <w:rFonts w:ascii="Times New Roman" w:hAnsi="Times New Roman" w:cs="Times New Roman"/>
        </w:rPr>
        <w:t>AgWQ</w:t>
      </w:r>
      <w:proofErr w:type="spellEnd"/>
      <w:r w:rsidRPr="00AC7F9F">
        <w:rPr>
          <w:rFonts w:ascii="Times New Roman" w:hAnsi="Times New Roman" w:cs="Times New Roman"/>
        </w:rPr>
        <w:t xml:space="preserve"> Management Area. No monitoring stations had results that represented significant trends.  All monitoring stations had consistent exceedances of the TMDL load allocation of 0.07 mg/l through the entire timeframe. </w:t>
      </w:r>
    </w:p>
    <w:p w:rsidR="00BE41BE" w:rsidRPr="00745020" w:rsidRDefault="00BE41BE" w:rsidP="00BE41BE">
      <w:pPr>
        <w:pStyle w:val="ListParagraph"/>
        <w:numPr>
          <w:ilvl w:val="1"/>
          <w:numId w:val="2"/>
        </w:numPr>
        <w:rPr>
          <w:rFonts w:ascii="Times New Roman" w:hAnsi="Times New Roman" w:cs="Times New Roman"/>
        </w:rPr>
      </w:pPr>
      <w:r w:rsidRPr="00AC7F9F">
        <w:rPr>
          <w:rFonts w:ascii="Times New Roman" w:hAnsi="Times New Roman" w:cs="Times New Roman"/>
          <w:i/>
        </w:rPr>
        <w:t>Total Suspended Solids:</w:t>
      </w:r>
      <w:r w:rsidRPr="00AC7F9F">
        <w:rPr>
          <w:rFonts w:ascii="Times New Roman" w:hAnsi="Times New Roman" w:cs="Times New Roman"/>
        </w:rPr>
        <w:t xml:space="preserve"> Three monitoring stations (10393, 10929, and 10948) have sufficient data to </w:t>
      </w:r>
      <w:r w:rsidRPr="009E30DD">
        <w:rPr>
          <w:rFonts w:ascii="Times New Roman" w:hAnsi="Times New Roman" w:cs="Times New Roman"/>
        </w:rPr>
        <w:t xml:space="preserve">assess trends of total </w:t>
      </w:r>
      <w:r>
        <w:rPr>
          <w:rFonts w:ascii="Times New Roman" w:hAnsi="Times New Roman" w:cs="Times New Roman"/>
        </w:rPr>
        <w:t>suspended solids</w:t>
      </w:r>
      <w:r w:rsidRPr="009E30DD">
        <w:rPr>
          <w:rFonts w:ascii="Times New Roman" w:hAnsi="Times New Roman" w:cs="Times New Roman"/>
        </w:rPr>
        <w:t xml:space="preserve"> within the Yamhill </w:t>
      </w:r>
      <w:proofErr w:type="spellStart"/>
      <w:r w:rsidRPr="009E30DD">
        <w:rPr>
          <w:rFonts w:ascii="Times New Roman" w:hAnsi="Times New Roman" w:cs="Times New Roman"/>
        </w:rPr>
        <w:t>AgWQ</w:t>
      </w:r>
      <w:proofErr w:type="spellEnd"/>
      <w:r w:rsidRPr="009E30DD">
        <w:rPr>
          <w:rFonts w:ascii="Times New Roman" w:hAnsi="Times New Roman" w:cs="Times New Roman"/>
        </w:rPr>
        <w:t xml:space="preserve"> Management Area. Stations 10498 and 10929 had significant trends; station 10948 displays significant</w:t>
      </w:r>
      <w:r w:rsidRPr="00AC7F9F">
        <w:rPr>
          <w:rFonts w:ascii="Times New Roman" w:hAnsi="Times New Roman" w:cs="Times New Roman"/>
        </w:rPr>
        <w:t xml:space="preserve"> steady trends, while 10929 displays significant increasing (degrading) trends. Data was not compared to a TMDL load allocation since one has not been developed. </w:t>
      </w:r>
    </w:p>
    <w:p w:rsidR="00BE41BE" w:rsidRDefault="00BE41BE" w:rsidP="00BE41BE">
      <w:pPr>
        <w:pStyle w:val="ListParagraph"/>
        <w:numPr>
          <w:ilvl w:val="0"/>
          <w:numId w:val="2"/>
        </w:numPr>
        <w:rPr>
          <w:rFonts w:ascii="Times New Roman" w:hAnsi="Times New Roman" w:cs="Times New Roman"/>
          <w:b/>
        </w:rPr>
      </w:pPr>
      <w:r>
        <w:rPr>
          <w:rFonts w:ascii="Times New Roman" w:hAnsi="Times New Roman" w:cs="Times New Roman"/>
          <w:b/>
        </w:rPr>
        <w:t>Additional Conclusions:</w:t>
      </w:r>
    </w:p>
    <w:p w:rsidR="00BE41BE" w:rsidRPr="00CD0E01" w:rsidRDefault="00BE41BE" w:rsidP="00BE41BE">
      <w:pPr>
        <w:pStyle w:val="ListParagraph"/>
        <w:numPr>
          <w:ilvl w:val="1"/>
          <w:numId w:val="2"/>
        </w:numPr>
        <w:rPr>
          <w:rFonts w:ascii="Times New Roman" w:hAnsi="Times New Roman" w:cs="Times New Roman"/>
          <w:b/>
        </w:rPr>
      </w:pPr>
      <w:r>
        <w:rPr>
          <w:rFonts w:ascii="Times New Roman" w:hAnsi="Times New Roman" w:cs="Times New Roman"/>
        </w:rPr>
        <w:t xml:space="preserve">Monitoring stations with sufficient data to assess status and/or trends do not display spatial homogeneity within the Yamhill </w:t>
      </w:r>
      <w:proofErr w:type="spellStart"/>
      <w:r>
        <w:rPr>
          <w:rFonts w:ascii="Times New Roman" w:hAnsi="Times New Roman" w:cs="Times New Roman"/>
        </w:rPr>
        <w:t>AgWQ</w:t>
      </w:r>
      <w:proofErr w:type="spellEnd"/>
      <w:r>
        <w:rPr>
          <w:rFonts w:ascii="Times New Roman" w:hAnsi="Times New Roman" w:cs="Times New Roman"/>
        </w:rPr>
        <w:t xml:space="preserve"> Management Area. </w:t>
      </w:r>
    </w:p>
    <w:p w:rsidR="00BE41BE" w:rsidRPr="00EC12A9" w:rsidRDefault="00BE41BE" w:rsidP="00BE41BE">
      <w:pPr>
        <w:pStyle w:val="ListParagraph"/>
        <w:numPr>
          <w:ilvl w:val="1"/>
          <w:numId w:val="2"/>
        </w:numPr>
        <w:rPr>
          <w:rFonts w:ascii="Times New Roman" w:hAnsi="Times New Roman" w:cs="Times New Roman"/>
          <w:b/>
        </w:rPr>
      </w:pPr>
      <w:r>
        <w:rPr>
          <w:rFonts w:ascii="Times New Roman" w:hAnsi="Times New Roman" w:cs="Times New Roman"/>
        </w:rPr>
        <w:t xml:space="preserve">No monitoring stations that fit the criteria to assess status and/or trends have continuous dissolved oxygen or pH data, which is useful to understand the diurnal fluctuations. </w:t>
      </w:r>
    </w:p>
    <w:p w:rsidR="00BE41BE" w:rsidRPr="0092498C" w:rsidRDefault="00BE41BE" w:rsidP="00BE41BE">
      <w:pPr>
        <w:pStyle w:val="ListParagraph"/>
        <w:numPr>
          <w:ilvl w:val="1"/>
          <w:numId w:val="2"/>
        </w:numPr>
        <w:rPr>
          <w:rFonts w:ascii="Times New Roman" w:hAnsi="Times New Roman" w:cs="Times New Roman"/>
        </w:rPr>
      </w:pPr>
      <w:r>
        <w:rPr>
          <w:rFonts w:ascii="Times New Roman" w:hAnsi="Times New Roman" w:cs="Times New Roman"/>
        </w:rPr>
        <w:t xml:space="preserve">All monitoring stations with total phosphorus data have exceedances of the TMDL load allocation, expressed in the 1992 Yamhill Subbasin TMDL. </w:t>
      </w:r>
    </w:p>
    <w:p w:rsidR="00BE41BE" w:rsidRPr="00745020" w:rsidRDefault="00BE41BE" w:rsidP="00BE41BE">
      <w:pPr>
        <w:pStyle w:val="ListParagraph"/>
        <w:numPr>
          <w:ilvl w:val="1"/>
          <w:numId w:val="2"/>
        </w:numPr>
        <w:rPr>
          <w:rFonts w:ascii="Times New Roman" w:hAnsi="Times New Roman" w:cs="Times New Roman"/>
          <w:b/>
        </w:rPr>
      </w:pPr>
      <w:r>
        <w:rPr>
          <w:rFonts w:ascii="Times New Roman" w:hAnsi="Times New Roman" w:cs="Times New Roman"/>
        </w:rPr>
        <w:t xml:space="preserve">All monitoring stations with temperature and </w:t>
      </w:r>
      <w:r w:rsidRPr="0092498C">
        <w:rPr>
          <w:rFonts w:ascii="Times New Roman" w:hAnsi="Times New Roman" w:cs="Times New Roman"/>
          <w:i/>
        </w:rPr>
        <w:t>E. coli</w:t>
      </w:r>
      <w:r>
        <w:rPr>
          <w:rFonts w:ascii="Times New Roman" w:hAnsi="Times New Roman" w:cs="Times New Roman"/>
        </w:rPr>
        <w:t xml:space="preserve"> data exceedances correspond with data exceeding upstream in the middle Willamette TMDL( </w:t>
      </w:r>
      <w:proofErr w:type="spellStart"/>
      <w:r>
        <w:rPr>
          <w:rFonts w:ascii="Times New Roman" w:hAnsi="Times New Roman" w:cs="Times New Roman"/>
        </w:rPr>
        <w:t>Springbrook</w:t>
      </w:r>
      <w:proofErr w:type="spellEnd"/>
      <w:r>
        <w:rPr>
          <w:rFonts w:ascii="Times New Roman" w:hAnsi="Times New Roman" w:cs="Times New Roman"/>
        </w:rPr>
        <w:t xml:space="preserve">, </w:t>
      </w:r>
      <w:proofErr w:type="spellStart"/>
      <w:r>
        <w:rPr>
          <w:rFonts w:ascii="Times New Roman" w:hAnsi="Times New Roman" w:cs="Times New Roman"/>
        </w:rPr>
        <w:t>Chehalem</w:t>
      </w:r>
      <w:proofErr w:type="spellEnd"/>
      <w:r>
        <w:rPr>
          <w:rFonts w:ascii="Times New Roman" w:hAnsi="Times New Roman" w:cs="Times New Roman"/>
        </w:rPr>
        <w:t>, etc) that was used for TMDLS</w:t>
      </w:r>
    </w:p>
    <w:p w:rsidR="00D76628" w:rsidRDefault="00D76628"/>
    <w:sectPr w:rsidR="00D76628" w:rsidSect="00D766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1BE" w:rsidRDefault="00BE41BE" w:rsidP="00BE41BE">
      <w:pPr>
        <w:spacing w:after="0" w:line="240" w:lineRule="auto"/>
      </w:pPr>
      <w:r>
        <w:separator/>
      </w:r>
    </w:p>
  </w:endnote>
  <w:endnote w:type="continuationSeparator" w:id="0">
    <w:p w:rsidR="00BE41BE" w:rsidRDefault="00BE41BE" w:rsidP="00BE41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1BE" w:rsidRDefault="00BE41BE" w:rsidP="00BE41BE">
      <w:pPr>
        <w:spacing w:after="0" w:line="240" w:lineRule="auto"/>
      </w:pPr>
      <w:r>
        <w:separator/>
      </w:r>
    </w:p>
  </w:footnote>
  <w:footnote w:type="continuationSeparator" w:id="0">
    <w:p w:rsidR="00BE41BE" w:rsidRDefault="00BE41BE" w:rsidP="00BE41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D79E8"/>
    <w:multiLevelType w:val="hybridMultilevel"/>
    <w:tmpl w:val="5AACC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92238A"/>
    <w:multiLevelType w:val="hybridMultilevel"/>
    <w:tmpl w:val="5D866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0F5E40"/>
    <w:rsid w:val="000F5E40"/>
    <w:rsid w:val="00225F5D"/>
    <w:rsid w:val="00A7080C"/>
    <w:rsid w:val="00A94DD5"/>
    <w:rsid w:val="00BE41BE"/>
    <w:rsid w:val="00D76628"/>
    <w:rsid w:val="00DB3361"/>
    <w:rsid w:val="00E44EF6"/>
    <w:rsid w:val="00EF1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628"/>
  </w:style>
  <w:style w:type="paragraph" w:styleId="Heading2">
    <w:name w:val="heading 2"/>
    <w:basedOn w:val="Normal"/>
    <w:next w:val="Normal"/>
    <w:link w:val="Heading2Char"/>
    <w:uiPriority w:val="9"/>
    <w:semiHidden/>
    <w:unhideWhenUsed/>
    <w:qFormat/>
    <w:rsid w:val="00BE4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iPriority w:val="9"/>
    <w:unhideWhenUsed/>
    <w:qFormat/>
    <w:rsid w:val="00BE41BE"/>
    <w:pPr>
      <w:keepNext w:val="0"/>
      <w:keepLines w:val="0"/>
      <w:numPr>
        <w:ilvl w:val="2"/>
      </w:numPr>
      <w:spacing w:before="240" w:after="60" w:line="240" w:lineRule="auto"/>
      <w:ind w:left="576" w:hanging="576"/>
      <w:outlineLvl w:val="2"/>
    </w:pPr>
    <w:rPr>
      <w:rFonts w:ascii="Arial" w:eastAsia="Times" w:hAnsi="Arial" w:cs="Arial"/>
      <w:bCs w:val="0"/>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Grid1"/>
    <w:uiPriority w:val="59"/>
    <w:rsid w:val="00DB3361"/>
    <w:pPr>
      <w:spacing w:after="0" w:line="240" w:lineRule="auto"/>
      <w:outlineLvl w:val="3"/>
    </w:pPr>
    <w:rPr>
      <w:rFonts w:ascii="Times" w:eastAsia="Times" w:hAnsi="Times"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B336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uiPriority w:val="9"/>
    <w:rsid w:val="00BE41BE"/>
    <w:rPr>
      <w:rFonts w:ascii="Arial" w:eastAsia="Times" w:hAnsi="Arial" w:cs="Arial"/>
      <w:b/>
      <w:sz w:val="24"/>
      <w:szCs w:val="24"/>
    </w:rPr>
  </w:style>
  <w:style w:type="paragraph" w:styleId="ListParagraph">
    <w:name w:val="List Paragraph"/>
    <w:basedOn w:val="Normal"/>
    <w:uiPriority w:val="34"/>
    <w:qFormat/>
    <w:rsid w:val="00BE41BE"/>
    <w:pPr>
      <w:spacing w:after="0" w:line="240" w:lineRule="auto"/>
      <w:ind w:left="720"/>
      <w:contextualSpacing/>
      <w:outlineLvl w:val="3"/>
    </w:pPr>
    <w:rPr>
      <w:rFonts w:ascii="Arial" w:eastAsia="Times" w:hAnsi="Arial" w:cs="Arial"/>
    </w:rPr>
  </w:style>
  <w:style w:type="paragraph" w:styleId="FootnoteText">
    <w:name w:val="footnote text"/>
    <w:basedOn w:val="Normal"/>
    <w:link w:val="FootnoteTextChar"/>
    <w:uiPriority w:val="99"/>
    <w:semiHidden/>
    <w:unhideWhenUsed/>
    <w:rsid w:val="00BE41BE"/>
    <w:pPr>
      <w:spacing w:after="0" w:line="240" w:lineRule="auto"/>
      <w:outlineLvl w:val="3"/>
    </w:pPr>
    <w:rPr>
      <w:rFonts w:ascii="Times New Roman" w:eastAsia="Times" w:hAnsi="Times New Roman" w:cs="Times New Roman"/>
      <w:sz w:val="20"/>
      <w:szCs w:val="20"/>
    </w:rPr>
  </w:style>
  <w:style w:type="character" w:customStyle="1" w:styleId="FootnoteTextChar">
    <w:name w:val="Footnote Text Char"/>
    <w:basedOn w:val="DefaultParagraphFont"/>
    <w:link w:val="FootnoteText"/>
    <w:uiPriority w:val="99"/>
    <w:semiHidden/>
    <w:rsid w:val="00BE41BE"/>
    <w:rPr>
      <w:rFonts w:ascii="Times New Roman" w:eastAsia="Times" w:hAnsi="Times New Roman" w:cs="Times New Roman"/>
      <w:sz w:val="20"/>
      <w:szCs w:val="20"/>
    </w:rPr>
  </w:style>
  <w:style w:type="character" w:styleId="FootnoteReference">
    <w:name w:val="footnote reference"/>
    <w:basedOn w:val="DefaultParagraphFont"/>
    <w:uiPriority w:val="99"/>
    <w:semiHidden/>
    <w:unhideWhenUsed/>
    <w:rsid w:val="00BE41BE"/>
    <w:rPr>
      <w:vertAlign w:val="superscript"/>
    </w:rPr>
  </w:style>
  <w:style w:type="character" w:customStyle="1" w:styleId="Heading2Char">
    <w:name w:val="Heading 2 Char"/>
    <w:basedOn w:val="DefaultParagraphFont"/>
    <w:link w:val="Heading2"/>
    <w:uiPriority w:val="9"/>
    <w:semiHidden/>
    <w:rsid w:val="00BE41B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2845</Characters>
  <Application>Microsoft Office Word</Application>
  <DocSecurity>0</DocSecurity>
  <Lines>23</Lines>
  <Paragraphs>6</Paragraphs>
  <ScaleCrop>false</ScaleCrop>
  <Company>State of Oregon Department of Environmental Quality</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mrubens</dc:creator>
  <cp:lastModifiedBy>mrubens</cp:lastModifiedBy>
  <cp:revision>3</cp:revision>
  <dcterms:created xsi:type="dcterms:W3CDTF">2017-11-01T18:05:00Z</dcterms:created>
  <dcterms:modified xsi:type="dcterms:W3CDTF">2017-11-01T18:06:00Z</dcterms:modified>
</cp:coreProperties>
</file>