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3BF" w:rsidRPr="007C13BF" w:rsidRDefault="007C13BF" w:rsidP="007C13BF">
      <w:pPr>
        <w:widowControl/>
        <w:shd w:val="clear" w:color="auto" w:fill="FFFFFF"/>
        <w:spacing w:line="600" w:lineRule="atLeast"/>
        <w:jc w:val="left"/>
        <w:outlineLvl w:val="1"/>
        <w:rPr>
          <w:rFonts w:ascii="微软雅黑" w:eastAsia="微软雅黑" w:hAnsi="微软雅黑" w:cs="Arial"/>
          <w:b/>
          <w:bCs/>
          <w:color w:val="000000"/>
          <w:kern w:val="0"/>
          <w:sz w:val="42"/>
          <w:szCs w:val="42"/>
        </w:rPr>
      </w:pPr>
      <w:bookmarkStart w:id="0" w:name="_GoBack"/>
      <w:r w:rsidRPr="007C13BF">
        <w:rPr>
          <w:rFonts w:ascii="微软雅黑" w:eastAsia="微软雅黑" w:hAnsi="微软雅黑" w:cs="Arial" w:hint="eastAsia"/>
          <w:b/>
          <w:bCs/>
          <w:color w:val="000000"/>
          <w:kern w:val="0"/>
          <w:sz w:val="42"/>
          <w:szCs w:val="42"/>
        </w:rPr>
        <w:t>专题报告：CFTC持仓数据中真的蕴藏着交易机会吗？</w:t>
      </w:r>
    </w:p>
    <w:bookmarkEnd w:id="0"/>
    <w:p w:rsidR="007C13BF" w:rsidRPr="007C13BF" w:rsidRDefault="007C13BF" w:rsidP="007C13BF">
      <w:pPr>
        <w:widowControl/>
        <w:shd w:val="clear" w:color="auto" w:fill="FFFFFF"/>
        <w:jc w:val="left"/>
        <w:rPr>
          <w:rFonts w:ascii="Arial" w:eastAsia="宋体" w:hAnsi="Arial" w:cs="Arial" w:hint="eastAsia"/>
          <w:color w:val="000000"/>
          <w:kern w:val="0"/>
          <w:sz w:val="18"/>
          <w:szCs w:val="18"/>
        </w:rPr>
      </w:pPr>
      <w:r w:rsidRPr="007C13BF">
        <w:rPr>
          <w:rFonts w:ascii="Arial" w:eastAsia="宋体" w:hAnsi="Arial" w:cs="Arial"/>
          <w:color w:val="999999"/>
          <w:kern w:val="0"/>
          <w:sz w:val="20"/>
          <w:szCs w:val="20"/>
        </w:rPr>
        <w:t>和讯网</w:t>
      </w:r>
      <w:r w:rsidRPr="007C13BF">
        <w:rPr>
          <w:rFonts w:ascii="Arial" w:eastAsia="宋体" w:hAnsi="Arial" w:cs="Arial"/>
          <w:color w:val="000000"/>
          <w:kern w:val="0"/>
          <w:sz w:val="18"/>
          <w:szCs w:val="18"/>
        </w:rPr>
        <w:t> </w:t>
      </w:r>
      <w:r w:rsidRPr="007C13BF">
        <w:rPr>
          <w:rFonts w:ascii="Arial" w:eastAsia="宋体" w:hAnsi="Arial" w:cs="Arial"/>
          <w:color w:val="999999"/>
          <w:kern w:val="0"/>
          <w:sz w:val="20"/>
          <w:szCs w:val="20"/>
        </w:rPr>
        <w:t>09-08</w:t>
      </w:r>
      <w:r w:rsidRPr="007C13BF">
        <w:rPr>
          <w:rFonts w:ascii="Arial" w:eastAsia="宋体" w:hAnsi="Arial" w:cs="Arial"/>
          <w:color w:val="000000"/>
          <w:kern w:val="0"/>
          <w:sz w:val="18"/>
          <w:szCs w:val="18"/>
        </w:rPr>
        <w:t> </w:t>
      </w:r>
      <w:r w:rsidRPr="007C13BF">
        <w:rPr>
          <w:rFonts w:ascii="Arial" w:eastAsia="宋体" w:hAnsi="Arial" w:cs="Arial"/>
          <w:color w:val="999999"/>
          <w:kern w:val="0"/>
          <w:sz w:val="20"/>
          <w:szCs w:val="20"/>
        </w:rPr>
        <w:t>07:50</w:t>
      </w:r>
    </w:p>
    <w:p w:rsidR="007C13BF" w:rsidRPr="007C13BF" w:rsidRDefault="007C13BF" w:rsidP="007C13BF">
      <w:pPr>
        <w:widowControl/>
        <w:shd w:val="clear" w:color="auto" w:fill="FFFFFF"/>
        <w:spacing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本文首发于</w:t>
      </w:r>
      <w:proofErr w:type="gramStart"/>
      <w:r w:rsidRPr="007C13BF">
        <w:rPr>
          <w:rFonts w:ascii="Arial" w:eastAsia="宋体" w:hAnsi="Arial" w:cs="Arial"/>
          <w:color w:val="333333"/>
          <w:kern w:val="0"/>
          <w:sz w:val="24"/>
          <w:szCs w:val="24"/>
        </w:rPr>
        <w:t>微信公众号</w:t>
      </w:r>
      <w:proofErr w:type="gramEnd"/>
      <w:r w:rsidRPr="007C13BF">
        <w:rPr>
          <w:rFonts w:ascii="Arial" w:eastAsia="宋体" w:hAnsi="Arial" w:cs="Arial"/>
          <w:color w:val="333333"/>
          <w:kern w:val="0"/>
          <w:sz w:val="24"/>
          <w:szCs w:val="24"/>
        </w:rPr>
        <w:t>：对冲</w:t>
      </w:r>
      <w:proofErr w:type="gramStart"/>
      <w:r w:rsidRPr="007C13BF">
        <w:rPr>
          <w:rFonts w:ascii="Arial" w:eastAsia="宋体" w:hAnsi="Arial" w:cs="Arial"/>
          <w:color w:val="333333"/>
          <w:kern w:val="0"/>
          <w:sz w:val="24"/>
          <w:szCs w:val="24"/>
        </w:rPr>
        <w:t>研</w:t>
      </w:r>
      <w:proofErr w:type="gramEnd"/>
      <w:r w:rsidRPr="007C13BF">
        <w:rPr>
          <w:rFonts w:ascii="Arial" w:eastAsia="宋体" w:hAnsi="Arial" w:cs="Arial"/>
          <w:color w:val="333333"/>
          <w:kern w:val="0"/>
          <w:sz w:val="24"/>
          <w:szCs w:val="24"/>
        </w:rPr>
        <w:t>投。文章内容</w:t>
      </w:r>
      <w:proofErr w:type="gramStart"/>
      <w:r w:rsidRPr="007C13BF">
        <w:rPr>
          <w:rFonts w:ascii="Arial" w:eastAsia="宋体" w:hAnsi="Arial" w:cs="Arial"/>
          <w:color w:val="333333"/>
          <w:kern w:val="0"/>
          <w:sz w:val="24"/>
          <w:szCs w:val="24"/>
        </w:rPr>
        <w:t>属作者</w:t>
      </w:r>
      <w:proofErr w:type="gramEnd"/>
      <w:r w:rsidRPr="007C13BF">
        <w:rPr>
          <w:rFonts w:ascii="Arial" w:eastAsia="宋体" w:hAnsi="Arial" w:cs="Arial"/>
          <w:color w:val="333333"/>
          <w:kern w:val="0"/>
          <w:sz w:val="24"/>
          <w:szCs w:val="24"/>
        </w:rPr>
        <w:t>个人观点，不代表</w:t>
      </w:r>
      <w:proofErr w:type="gramStart"/>
      <w:r w:rsidRPr="007C13BF">
        <w:rPr>
          <w:rFonts w:ascii="Arial" w:eastAsia="宋体" w:hAnsi="Arial" w:cs="Arial"/>
          <w:color w:val="333333"/>
          <w:kern w:val="0"/>
          <w:sz w:val="24"/>
          <w:szCs w:val="24"/>
        </w:rPr>
        <w:t>和讯网立场</w:t>
      </w:r>
      <w:proofErr w:type="gramEnd"/>
      <w:r w:rsidRPr="007C13BF">
        <w:rPr>
          <w:rFonts w:ascii="Arial" w:eastAsia="宋体" w:hAnsi="Arial" w:cs="Arial"/>
          <w:color w:val="333333"/>
          <w:kern w:val="0"/>
          <w:sz w:val="24"/>
          <w:szCs w:val="24"/>
        </w:rPr>
        <w:t>。投资者据此操作，风险请自担。</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核心导读</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持仓报告主要看三部分内容，第一是总持仓，主要度量的是市场的投资热情和投资信心，也可视为人气指标。第二是基金净持仓，一般通过跟踪基金净持仓的变化趋势来判断近期</w:t>
      </w:r>
      <w:proofErr w:type="gramStart"/>
      <w:r w:rsidRPr="007C13BF">
        <w:rPr>
          <w:rFonts w:ascii="Arial" w:eastAsia="宋体" w:hAnsi="Arial" w:cs="Arial"/>
          <w:color w:val="333333"/>
          <w:kern w:val="0"/>
          <w:sz w:val="24"/>
          <w:szCs w:val="24"/>
        </w:rPr>
        <w:t>期</w:t>
      </w:r>
      <w:proofErr w:type="gramEnd"/>
      <w:r w:rsidRPr="007C13BF">
        <w:rPr>
          <w:rFonts w:ascii="Arial" w:eastAsia="宋体" w:hAnsi="Arial" w:cs="Arial"/>
          <w:color w:val="333333"/>
          <w:kern w:val="0"/>
          <w:sz w:val="24"/>
          <w:szCs w:val="24"/>
        </w:rPr>
        <w:t>价可能的变动方向和风险情况。第三是商业净持仓，与基金在期货市场低买高卖以追求利润最大化不同，生产商及贸易商作为风险管理机构要求损失最小化，主要通过期货或者期权来进行套期保值。</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研究发现：</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 xml:space="preserve">1. </w:t>
      </w:r>
      <w:r w:rsidRPr="007C13BF">
        <w:rPr>
          <w:rFonts w:ascii="Arial" w:eastAsia="宋体" w:hAnsi="Arial" w:cs="Arial"/>
          <w:color w:val="333333"/>
          <w:kern w:val="0"/>
          <w:sz w:val="24"/>
          <w:szCs w:val="24"/>
        </w:rPr>
        <w:t>尽管统计口径不一致，但</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公布的期货非商业净持仓与期货</w:t>
      </w:r>
      <w:proofErr w:type="gramStart"/>
      <w:r w:rsidRPr="007C13BF">
        <w:rPr>
          <w:rFonts w:ascii="Arial" w:eastAsia="宋体" w:hAnsi="Arial" w:cs="Arial"/>
          <w:color w:val="333333"/>
          <w:kern w:val="0"/>
          <w:sz w:val="24"/>
          <w:szCs w:val="24"/>
        </w:rPr>
        <w:t>期权非</w:t>
      </w:r>
      <w:proofErr w:type="gramEnd"/>
      <w:r w:rsidRPr="007C13BF">
        <w:rPr>
          <w:rFonts w:ascii="Arial" w:eastAsia="宋体" w:hAnsi="Arial" w:cs="Arial"/>
          <w:color w:val="333333"/>
          <w:kern w:val="0"/>
          <w:sz w:val="24"/>
          <w:szCs w:val="24"/>
        </w:rPr>
        <w:t>商业净持仓走势基本一致。</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 xml:space="preserve">2. </w:t>
      </w:r>
      <w:r w:rsidRPr="007C13BF">
        <w:rPr>
          <w:rFonts w:ascii="Arial" w:eastAsia="宋体" w:hAnsi="Arial" w:cs="Arial"/>
          <w:color w:val="333333"/>
          <w:kern w:val="0"/>
          <w:sz w:val="24"/>
          <w:szCs w:val="24"/>
        </w:rPr>
        <w:t>无论是大豆、豆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或是豆油，当总持仓量持续增加时，价格趋势不会轻易转变，当持仓量出现减少时，因投资者热情减少，多空双方自身信心不足，这时需要警惕期价即将到达顶部或底部，总持仓指标可视为期价的领先指标。</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 xml:space="preserve">3. </w:t>
      </w:r>
      <w:r w:rsidRPr="007C13BF">
        <w:rPr>
          <w:rFonts w:ascii="Arial" w:eastAsia="宋体" w:hAnsi="Arial" w:cs="Arial"/>
          <w:color w:val="333333"/>
          <w:kern w:val="0"/>
          <w:sz w:val="24"/>
          <w:szCs w:val="24"/>
        </w:rPr>
        <w:t>对于农产品</w:t>
      </w:r>
      <w:r w:rsidRPr="007C13BF">
        <w:rPr>
          <w:rFonts w:ascii="Arial" w:eastAsia="宋体" w:hAnsi="Arial" w:cs="Arial"/>
          <w:color w:val="333333"/>
          <w:kern w:val="0"/>
          <w:sz w:val="24"/>
          <w:szCs w:val="24"/>
        </w:rPr>
        <w:t>(000061,</w:t>
      </w:r>
      <w:r w:rsidRPr="007C13BF">
        <w:rPr>
          <w:rFonts w:ascii="Arial" w:eastAsia="宋体" w:hAnsi="Arial" w:cs="Arial"/>
          <w:color w:val="333333"/>
          <w:kern w:val="0"/>
          <w:sz w:val="24"/>
          <w:szCs w:val="24"/>
        </w:rPr>
        <w:t>股吧</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而言，我们发现基金持仓较商业持仓更具指导意义。但对于净持仓关注的往往不是它正常的变化，这种变化提供的信息非常少，更多的关注要放在持仓极端情况和净持仓多空转换的时间段。当大豆净持仓超过</w:t>
      </w:r>
      <w:r w:rsidRPr="007C13BF">
        <w:rPr>
          <w:rFonts w:ascii="Arial" w:eastAsia="宋体" w:hAnsi="Arial" w:cs="Arial"/>
          <w:color w:val="333333"/>
          <w:kern w:val="0"/>
          <w:sz w:val="24"/>
          <w:szCs w:val="24"/>
        </w:rPr>
        <w:t>18</w:t>
      </w:r>
      <w:r w:rsidRPr="007C13BF">
        <w:rPr>
          <w:rFonts w:ascii="Arial" w:eastAsia="宋体" w:hAnsi="Arial" w:cs="Arial"/>
          <w:color w:val="333333"/>
          <w:kern w:val="0"/>
          <w:sz w:val="24"/>
          <w:szCs w:val="24"/>
        </w:rPr>
        <w:t>万手时容易形成价格顶部，当净空</w:t>
      </w:r>
      <w:proofErr w:type="gramStart"/>
      <w:r w:rsidRPr="007C13BF">
        <w:rPr>
          <w:rFonts w:ascii="Arial" w:eastAsia="宋体" w:hAnsi="Arial" w:cs="Arial"/>
          <w:color w:val="333333"/>
          <w:kern w:val="0"/>
          <w:sz w:val="24"/>
          <w:szCs w:val="24"/>
        </w:rPr>
        <w:t>单超过</w:t>
      </w:r>
      <w:proofErr w:type="gramEnd"/>
      <w:r w:rsidRPr="007C13BF">
        <w:rPr>
          <w:rFonts w:ascii="Arial" w:eastAsia="宋体" w:hAnsi="Arial" w:cs="Arial"/>
          <w:color w:val="333333"/>
          <w:kern w:val="0"/>
          <w:sz w:val="24"/>
          <w:szCs w:val="24"/>
        </w:rPr>
        <w:t>5</w:t>
      </w:r>
      <w:r w:rsidRPr="007C13BF">
        <w:rPr>
          <w:rFonts w:ascii="Arial" w:eastAsia="宋体" w:hAnsi="Arial" w:cs="Arial"/>
          <w:color w:val="333333"/>
          <w:kern w:val="0"/>
          <w:sz w:val="24"/>
          <w:szCs w:val="24"/>
        </w:rPr>
        <w:t>万手，大豆阶段性底部容易形成。当豆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净持仓在</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万手以上容易出现价格顶部，净空单在</w:t>
      </w:r>
      <w:r w:rsidRPr="007C13BF">
        <w:rPr>
          <w:rFonts w:ascii="Arial" w:eastAsia="宋体" w:hAnsi="Arial" w:cs="Arial"/>
          <w:color w:val="333333"/>
          <w:kern w:val="0"/>
          <w:sz w:val="24"/>
          <w:szCs w:val="24"/>
        </w:rPr>
        <w:t>2</w:t>
      </w:r>
      <w:r w:rsidRPr="007C13BF">
        <w:rPr>
          <w:rFonts w:ascii="Arial" w:eastAsia="宋体" w:hAnsi="Arial" w:cs="Arial"/>
          <w:color w:val="333333"/>
          <w:kern w:val="0"/>
          <w:sz w:val="24"/>
          <w:szCs w:val="24"/>
        </w:rPr>
        <w:t>万手以上时容易出现底部。当豆油净持仓在</w:t>
      </w:r>
      <w:r w:rsidRPr="007C13BF">
        <w:rPr>
          <w:rFonts w:ascii="Arial" w:eastAsia="宋体" w:hAnsi="Arial" w:cs="Arial"/>
          <w:color w:val="333333"/>
          <w:kern w:val="0"/>
          <w:sz w:val="24"/>
          <w:szCs w:val="24"/>
        </w:rPr>
        <w:t>5</w:t>
      </w:r>
      <w:r w:rsidRPr="007C13BF">
        <w:rPr>
          <w:rFonts w:ascii="Arial" w:eastAsia="宋体" w:hAnsi="Arial" w:cs="Arial"/>
          <w:color w:val="333333"/>
          <w:kern w:val="0"/>
          <w:sz w:val="24"/>
          <w:szCs w:val="24"/>
        </w:rPr>
        <w:t>万手以上时容易形成价格顶部，当豆油净持仓多转空后，需要警惕豆油价格下跌。</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 xml:space="preserve">4. </w:t>
      </w:r>
      <w:r w:rsidRPr="007C13BF">
        <w:rPr>
          <w:rFonts w:ascii="Arial" w:eastAsia="宋体" w:hAnsi="Arial" w:cs="Arial"/>
          <w:color w:val="333333"/>
          <w:kern w:val="0"/>
          <w:sz w:val="24"/>
          <w:szCs w:val="24"/>
        </w:rPr>
        <w:t>从构造的</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指标上看，当大豆基金</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t>70%</w:t>
      </w:r>
      <w:r w:rsidRPr="007C13BF">
        <w:rPr>
          <w:rFonts w:ascii="Arial" w:eastAsia="宋体" w:hAnsi="Arial" w:cs="Arial"/>
          <w:color w:val="333333"/>
          <w:kern w:val="0"/>
          <w:sz w:val="24"/>
          <w:szCs w:val="24"/>
        </w:rPr>
        <w:t>，大豆价格上涨容易形成阶段性顶部，当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指数低于</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时，大豆价格下跌容易形成底部。从豆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来看，当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t>70%</w:t>
      </w:r>
      <w:r w:rsidRPr="007C13BF">
        <w:rPr>
          <w:rFonts w:ascii="Arial" w:eastAsia="宋体" w:hAnsi="Arial" w:cs="Arial"/>
          <w:color w:val="333333"/>
          <w:kern w:val="0"/>
          <w:sz w:val="24"/>
          <w:szCs w:val="24"/>
        </w:rPr>
        <w:t>时，豆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价格上涨容易出现阶段性顶部，当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指数低于</w:t>
      </w:r>
      <w:r w:rsidRPr="007C13BF">
        <w:rPr>
          <w:rFonts w:ascii="Arial" w:eastAsia="宋体" w:hAnsi="Arial" w:cs="Arial"/>
          <w:color w:val="333333"/>
          <w:kern w:val="0"/>
          <w:sz w:val="24"/>
          <w:szCs w:val="24"/>
        </w:rPr>
        <w:t>25%</w:t>
      </w:r>
      <w:r w:rsidRPr="007C13BF">
        <w:rPr>
          <w:rFonts w:ascii="Arial" w:eastAsia="宋体" w:hAnsi="Arial" w:cs="Arial"/>
          <w:color w:val="333333"/>
          <w:kern w:val="0"/>
          <w:sz w:val="24"/>
          <w:szCs w:val="24"/>
        </w:rPr>
        <w:t>时，价格下跌容易出现底部。对于豆油而言，</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lastRenderedPageBreak/>
        <w:t>80%</w:t>
      </w:r>
      <w:r w:rsidRPr="007C13BF">
        <w:rPr>
          <w:rFonts w:ascii="Arial" w:eastAsia="宋体" w:hAnsi="Arial" w:cs="Arial"/>
          <w:color w:val="333333"/>
          <w:kern w:val="0"/>
          <w:sz w:val="24"/>
          <w:szCs w:val="24"/>
        </w:rPr>
        <w:t>时需要警惕顶部将要到来，当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指数低于</w:t>
      </w:r>
      <w:r w:rsidRPr="007C13BF">
        <w:rPr>
          <w:rFonts w:ascii="Arial" w:eastAsia="宋体" w:hAnsi="Arial" w:cs="Arial"/>
          <w:color w:val="333333"/>
          <w:kern w:val="0"/>
          <w:sz w:val="24"/>
          <w:szCs w:val="24"/>
        </w:rPr>
        <w:t>40%</w:t>
      </w:r>
      <w:r w:rsidRPr="007C13BF">
        <w:rPr>
          <w:rFonts w:ascii="Arial" w:eastAsia="宋体" w:hAnsi="Arial" w:cs="Arial"/>
          <w:color w:val="333333"/>
          <w:kern w:val="0"/>
          <w:sz w:val="24"/>
          <w:szCs w:val="24"/>
        </w:rPr>
        <w:t>时，需要注意底部即将到来。</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文</w:t>
      </w: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何曙慧</w:t>
      </w: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王瑞</w:t>
      </w: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张</w:t>
      </w:r>
      <w:proofErr w:type="gramStart"/>
      <w:r w:rsidRPr="007C13BF">
        <w:rPr>
          <w:rFonts w:ascii="Arial" w:eastAsia="宋体" w:hAnsi="Arial" w:cs="Arial"/>
          <w:color w:val="333333"/>
          <w:kern w:val="0"/>
          <w:sz w:val="24"/>
          <w:szCs w:val="24"/>
        </w:rPr>
        <w:t>秀峰信达</w:t>
      </w:r>
      <w:proofErr w:type="gramEnd"/>
      <w:r w:rsidRPr="007C13BF">
        <w:rPr>
          <w:rFonts w:ascii="Arial" w:eastAsia="宋体" w:hAnsi="Arial" w:cs="Arial"/>
          <w:color w:val="333333"/>
          <w:kern w:val="0"/>
          <w:sz w:val="24"/>
          <w:szCs w:val="24"/>
        </w:rPr>
        <w:t>期货</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独家授权对冲</w:t>
      </w:r>
      <w:proofErr w:type="gramStart"/>
      <w:r w:rsidRPr="007C13BF">
        <w:rPr>
          <w:rFonts w:ascii="Arial" w:eastAsia="宋体" w:hAnsi="Arial" w:cs="Arial"/>
          <w:color w:val="333333"/>
          <w:kern w:val="0"/>
          <w:sz w:val="24"/>
          <w:szCs w:val="24"/>
        </w:rPr>
        <w:t>研</w:t>
      </w:r>
      <w:proofErr w:type="gramEnd"/>
      <w:r w:rsidRPr="007C13BF">
        <w:rPr>
          <w:rFonts w:ascii="Arial" w:eastAsia="宋体" w:hAnsi="Arial" w:cs="Arial"/>
          <w:color w:val="333333"/>
          <w:kern w:val="0"/>
          <w:sz w:val="24"/>
          <w:szCs w:val="24"/>
        </w:rPr>
        <w:t>投发布</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美国商品期货交易委员会</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以下简称</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每周五下午</w:t>
      </w:r>
      <w:r w:rsidRPr="007C13BF">
        <w:rPr>
          <w:rFonts w:ascii="Arial" w:eastAsia="宋体" w:hAnsi="Arial" w:cs="Arial"/>
          <w:color w:val="333333"/>
          <w:kern w:val="0"/>
          <w:sz w:val="24"/>
          <w:szCs w:val="24"/>
        </w:rPr>
        <w:t>3:30(</w:t>
      </w:r>
      <w:r w:rsidRPr="007C13BF">
        <w:rPr>
          <w:rFonts w:ascii="Arial" w:eastAsia="宋体" w:hAnsi="Arial" w:cs="Arial"/>
          <w:color w:val="333333"/>
          <w:kern w:val="0"/>
          <w:sz w:val="24"/>
          <w:szCs w:val="24"/>
        </w:rPr>
        <w:t>北京时间周六早上</w:t>
      </w:r>
      <w:r w:rsidRPr="007C13BF">
        <w:rPr>
          <w:rFonts w:ascii="Arial" w:eastAsia="宋体" w:hAnsi="Arial" w:cs="Arial"/>
          <w:color w:val="333333"/>
          <w:kern w:val="0"/>
          <w:sz w:val="24"/>
          <w:szCs w:val="24"/>
        </w:rPr>
        <w:t>3:30</w:t>
      </w:r>
      <w:r w:rsidRPr="007C13BF">
        <w:rPr>
          <w:rFonts w:ascii="Arial" w:eastAsia="宋体" w:hAnsi="Arial" w:cs="Arial"/>
          <w:color w:val="333333"/>
          <w:kern w:val="0"/>
          <w:sz w:val="24"/>
          <w:szCs w:val="24"/>
        </w:rPr>
        <w:t>夏令时，</w:t>
      </w:r>
      <w:r w:rsidRPr="007C13BF">
        <w:rPr>
          <w:rFonts w:ascii="Arial" w:eastAsia="宋体" w:hAnsi="Arial" w:cs="Arial"/>
          <w:color w:val="333333"/>
          <w:kern w:val="0"/>
          <w:sz w:val="24"/>
          <w:szCs w:val="24"/>
        </w:rPr>
        <w:t>4:30</w:t>
      </w:r>
      <w:r w:rsidRPr="007C13BF">
        <w:rPr>
          <w:rFonts w:ascii="Arial" w:eastAsia="宋体" w:hAnsi="Arial" w:cs="Arial"/>
          <w:color w:val="333333"/>
          <w:kern w:val="0"/>
          <w:sz w:val="24"/>
          <w:szCs w:val="24"/>
        </w:rPr>
        <w:t>冬令时</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会公布基金持仓。它反映的是期货交易所截至当周周二时的持</w:t>
      </w:r>
      <w:proofErr w:type="gramStart"/>
      <w:r w:rsidRPr="007C13BF">
        <w:rPr>
          <w:rFonts w:ascii="Arial" w:eastAsia="宋体" w:hAnsi="Arial" w:cs="Arial"/>
          <w:color w:val="333333"/>
          <w:kern w:val="0"/>
          <w:sz w:val="24"/>
          <w:szCs w:val="24"/>
        </w:rPr>
        <w:t>仓头寸</w:t>
      </w:r>
      <w:proofErr w:type="gramEnd"/>
      <w:r w:rsidRPr="007C13BF">
        <w:rPr>
          <w:rFonts w:ascii="Arial" w:eastAsia="宋体" w:hAnsi="Arial" w:cs="Arial"/>
          <w:color w:val="333333"/>
          <w:kern w:val="0"/>
          <w:sz w:val="24"/>
          <w:szCs w:val="24"/>
        </w:rPr>
        <w:t>情况。</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规定期货交易所的结算会员和期货经纪商每天必须向其提交持仓报告，类似国内交易所公布的期货公司持仓席位。公布持仓报告的目的也是为了提高市场的透明度，防止某个交易商的头寸过大而操纵市场。</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持仓报告主要看三部分内容：</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第一是总持仓，指所有类别的多头或空头的合计值。该指标主要度量的是市场的投资热情和投资信心，也可视之为人气指标。</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第二是基金净持仓，基金是市场趋势的追逐者和推动者，一般通过跟踪基金净持仓的变化趋势来判断近期</w:t>
      </w:r>
      <w:proofErr w:type="gramStart"/>
      <w:r w:rsidRPr="007C13BF">
        <w:rPr>
          <w:rFonts w:ascii="Arial" w:eastAsia="宋体" w:hAnsi="Arial" w:cs="Arial"/>
          <w:color w:val="333333"/>
          <w:kern w:val="0"/>
          <w:sz w:val="24"/>
          <w:szCs w:val="24"/>
        </w:rPr>
        <w:t>期</w:t>
      </w:r>
      <w:proofErr w:type="gramEnd"/>
      <w:r w:rsidRPr="007C13BF">
        <w:rPr>
          <w:rFonts w:ascii="Arial" w:eastAsia="宋体" w:hAnsi="Arial" w:cs="Arial"/>
          <w:color w:val="333333"/>
          <w:kern w:val="0"/>
          <w:sz w:val="24"/>
          <w:szCs w:val="24"/>
        </w:rPr>
        <w:t>价可能的变动方向和风险情况。</w:t>
      </w:r>
      <w:r w:rsidRPr="007C13BF">
        <w:rPr>
          <w:rFonts w:ascii="Arial" w:eastAsia="宋体" w:hAnsi="Arial" w:cs="Arial"/>
          <w:color w:val="333333"/>
          <w:kern w:val="0"/>
          <w:sz w:val="24"/>
          <w:szCs w:val="24"/>
        </w:rPr>
        <w:t>2009</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9</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推出了新版持仓报告，新版的</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持仓报告把非商业持仓分为资产管理机构和其他。</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第三是商业净持仓，主要指生产商及贸易商的净头寸。与基金在期货市场低买高卖以追求利润最大化不同，生产商及贸易商作为风险管理机构要求损失最小化，主要通过期货或者期权来进行套期保值。</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在分析时不应忽略商业净持仓数据的原因还在于</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首先，风险管理者在期货市场持仓量不像投机商一样受到限制，持仓占比要远高于基金。其次，生产商及贸易商对自己经营产品的价格预测能力更强。但我们发现，大多数时候某些品种不管是行情下跌还是在行情上升阶段商业净持仓都为空头。具体来说，这和商业持仓的主体有很大关系。</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风险管理者一般具有现货背景，即使行情上涨也可以进行卖空，因为到期他们仍然可以以其所预测的高价进行交割。比如一个豆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贸易企业，预计下月需要大量的豆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，并且相信豆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的价格会大幅上涨，因而该企业会在期货市场上大量买入豆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合约</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但如果预测豆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价格下降，该企业也可以买入豆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合约</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合约到期后可以行使交割</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，但一般不会像前面一样激进地买入。</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lastRenderedPageBreak/>
        <w:t xml:space="preserve">　　过去</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一直被指责经常性地低估了一些大玩家的真实头寸，从而造成了对市场真实情况一定程度的扭曲。事实上正是这样，一些大型的投资机构，尤其是那些商品指数基金如果直接投资于期货市场，那么这部分头寸将被算为非商业性头寸，即投机性的头寸。</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但是他们还有一个选择，即通过一些掉期交易商来投资商品期货市场，根据</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的规定，这部分的头寸是被</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持仓报告划分为商业性头寸的，即属于套期保值性质。这样一来，根据</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的数据会大大低估这些商品指数对冲基金的总投资。更为重要的是，商品指数基金可以利用这个规则来迷惑对手，起到明修栈道暗渡陈仓的效果。比如当商品指数基金通过掉期交易商做多，那么这时商品性净多头寸将增加，而另一边非商业性的净多头寸也则会相应减少。商品指数基金做多的意图成功地被掩盖，同时令市场以为他们想做空。但是，通过分析这份持仓报告仍然可以找到一些蛛丝马迹。本文主要以三个农产品大豆、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、豆油为例对持仓报告进行分析研究。让投资者了解金融游戏中的</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大佬</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是如何看这个市场的。</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1.</w:t>
      </w:r>
      <w:r w:rsidRPr="007C13BF">
        <w:rPr>
          <w:rFonts w:ascii="Arial" w:eastAsia="宋体" w:hAnsi="Arial" w:cs="Arial"/>
          <w:color w:val="333333"/>
          <w:kern w:val="0"/>
          <w:sz w:val="24"/>
          <w:szCs w:val="24"/>
        </w:rPr>
        <w:t>期货持仓与期货期权持仓</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会公布两份持仓报告，前一份只统计单一品种的期货合约的头寸，另一份统计包括单一品种期货合约头寸外，还包括相关单一品种的期权合约头寸。我们对两者的非商业净持仓进行分析，从图上我们不难发现，虽然两份报告的统计口径不同，但是两者的净持仓量走势基本一致。</w:t>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79002A36" wp14:editId="0F84EEF6">
            <wp:extent cx="4762500" cy="1981200"/>
            <wp:effectExtent l="0" t="0" r="0" b="0"/>
            <wp:docPr id="1" name="图片 1" descr="https://ss2.baidu.com/6ONYsjip0QIZ8tyhnq/it/u=2103568703,1554889270&amp;fm=173&amp;s=6DD0EC1B87A04D0148F0D1DA010080B2&amp;w=500&amp;h=208&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2103568703,1554889270&amp;fm=173&amp;s=6DD0EC1B87A04D0148F0D1DA010080B2&amp;w=500&amp;h=208&amp;im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981200"/>
                    </a:xfrm>
                    <a:prstGeom prst="rect">
                      <a:avLst/>
                    </a:prstGeom>
                    <a:noFill/>
                    <a:ln>
                      <a:noFill/>
                    </a:ln>
                  </pic:spPr>
                </pic:pic>
              </a:graphicData>
            </a:graphic>
          </wp:inline>
        </w:drawing>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lastRenderedPageBreak/>
        <w:drawing>
          <wp:inline distT="0" distB="0" distL="0" distR="0" wp14:anchorId="16603F5F" wp14:editId="6E05F70C">
            <wp:extent cx="4286250" cy="3476625"/>
            <wp:effectExtent l="0" t="0" r="0" b="9525"/>
            <wp:docPr id="2" name="图片 2" descr="https://ss2.baidu.com/6ONYsjip0QIZ8tyhnq/it/u=2109062090,1548504995&amp;fm=173&amp;s=ED00E413418EECE94AFC60C40000C0B2&amp;w=450&amp;h=36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2.baidu.com/6ONYsjip0QIZ8tyhnq/it/u=2109062090,1548504995&amp;fm=173&amp;s=ED00E413418EECE94AFC60C40000C0B2&amp;w=450&amp;h=365&amp;im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476625"/>
                    </a:xfrm>
                    <a:prstGeom prst="rect">
                      <a:avLst/>
                    </a:prstGeom>
                    <a:noFill/>
                    <a:ln>
                      <a:noFill/>
                    </a:ln>
                  </pic:spPr>
                </pic:pic>
              </a:graphicData>
            </a:graphic>
          </wp:inline>
        </w:drawing>
      </w:r>
    </w:p>
    <w:p w:rsidR="007C13BF" w:rsidRPr="007C13BF" w:rsidRDefault="007C13BF" w:rsidP="007C13BF">
      <w:pPr>
        <w:widowControl/>
        <w:shd w:val="clear" w:color="auto" w:fill="FFFFFF"/>
        <w:spacing w:before="39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2</w:t>
      </w:r>
      <w:r w:rsidRPr="007C13BF">
        <w:rPr>
          <w:rFonts w:ascii="Arial" w:eastAsia="宋体" w:hAnsi="Arial" w:cs="Arial"/>
          <w:color w:val="333333"/>
          <w:kern w:val="0"/>
          <w:sz w:val="24"/>
          <w:szCs w:val="24"/>
        </w:rPr>
        <w:t>、关注总持仓极值变化</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持仓报告的总持仓，指所有类别的多头或空头的合计值。该指标主要度量的是市场的投资热情和投资信心，也可视之为人气指标。研究发现无论是大豆、豆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或是豆油，当持仓量持续增加时，价格趋势不会轻易发生转变，当持仓量出现减少时，因投资者热情减少，多空双方自身信心不足，这时需要警惕期价即将到达顶部或底部，总持仓指标可视为期价的领先指标。</w:t>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056BECC4" wp14:editId="0F48F057">
            <wp:extent cx="4762500" cy="1971675"/>
            <wp:effectExtent l="0" t="0" r="0" b="9525"/>
            <wp:docPr id="3" name="图片 3" descr="https://ss2.baidu.com/6ONYsjip0QIZ8tyhnq/it/u=2120049431,1567399762&amp;fm=173&amp;s=6C58841B83E0490150C428DE010050B2&amp;w=500&amp;h=20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2120049431,1567399762&amp;fm=173&amp;s=6C58841B83E0490150C428DE010050B2&amp;w=500&amp;h=207&amp;im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lastRenderedPageBreak/>
        <w:drawing>
          <wp:inline distT="0" distB="0" distL="0" distR="0" wp14:anchorId="1866D919" wp14:editId="27ABA889">
            <wp:extent cx="4314825" cy="3600450"/>
            <wp:effectExtent l="0" t="0" r="9525" b="0"/>
            <wp:docPr id="4" name="图片 4" descr="https://ss2.baidu.com/6ONYsjip0QIZ8tyhnq/it/u=2125542899,1565538818&amp;fm=173&amp;s=CD00E41B618E6CE85AE165CE000080B3&amp;w=453&amp;h=378&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2.baidu.com/6ONYsjip0QIZ8tyhnq/it/u=2125542899,1565538818&amp;fm=173&amp;s=CD00E41B618E6CE85AE165CE000080B3&amp;w=453&amp;h=378&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3600450"/>
                    </a:xfrm>
                    <a:prstGeom prst="rect">
                      <a:avLst/>
                    </a:prstGeom>
                    <a:noFill/>
                    <a:ln>
                      <a:noFill/>
                    </a:ln>
                  </pic:spPr>
                </pic:pic>
              </a:graphicData>
            </a:graphic>
          </wp:inline>
        </w:drawing>
      </w:r>
    </w:p>
    <w:p w:rsidR="007C13BF" w:rsidRPr="007C13BF" w:rsidRDefault="007C13BF" w:rsidP="007C13BF">
      <w:pPr>
        <w:widowControl/>
        <w:shd w:val="clear" w:color="auto" w:fill="FFFFFF"/>
        <w:spacing w:before="39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3</w:t>
      </w:r>
      <w:r w:rsidRPr="007C13BF">
        <w:rPr>
          <w:rFonts w:ascii="Arial" w:eastAsia="宋体" w:hAnsi="Arial" w:cs="Arial"/>
          <w:color w:val="333333"/>
          <w:kern w:val="0"/>
          <w:sz w:val="24"/>
          <w:szCs w:val="24"/>
        </w:rPr>
        <w:t>、关注净持仓极端值和多空转换时段</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因为期货净持仓与期货期权净持仓走势高度相同，下面我们只用期货期权净持仓来进行分析。首先我们先看投机基金净持仓，我们发现基金持仓高点与期价高点较为吻合。</w:t>
      </w:r>
      <w:r w:rsidRPr="007C13BF">
        <w:rPr>
          <w:rFonts w:ascii="Arial" w:eastAsia="宋体" w:hAnsi="Arial" w:cs="Arial"/>
          <w:color w:val="333333"/>
          <w:kern w:val="0"/>
          <w:sz w:val="24"/>
          <w:szCs w:val="24"/>
        </w:rPr>
        <w:t>2012</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3</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-5</w:t>
      </w:r>
      <w:r w:rsidRPr="007C13BF">
        <w:rPr>
          <w:rFonts w:ascii="Arial" w:eastAsia="宋体" w:hAnsi="Arial" w:cs="Arial"/>
          <w:color w:val="333333"/>
          <w:kern w:val="0"/>
          <w:sz w:val="24"/>
          <w:szCs w:val="24"/>
        </w:rPr>
        <w:t>月大豆期货期权净持仓持续在创纪录的</w:t>
      </w:r>
      <w:r w:rsidRPr="007C13BF">
        <w:rPr>
          <w:rFonts w:ascii="Arial" w:eastAsia="宋体" w:hAnsi="Arial" w:cs="Arial"/>
          <w:color w:val="333333"/>
          <w:kern w:val="0"/>
          <w:sz w:val="24"/>
          <w:szCs w:val="24"/>
        </w:rPr>
        <w:t>18</w:t>
      </w:r>
      <w:r w:rsidRPr="007C13BF">
        <w:rPr>
          <w:rFonts w:ascii="Arial" w:eastAsia="宋体" w:hAnsi="Arial" w:cs="Arial"/>
          <w:color w:val="333333"/>
          <w:kern w:val="0"/>
          <w:sz w:val="24"/>
          <w:szCs w:val="24"/>
        </w:rPr>
        <w:t>万手以上，期价与净持仓均在</w:t>
      </w:r>
      <w:r w:rsidRPr="007C13BF">
        <w:rPr>
          <w:rFonts w:ascii="Arial" w:eastAsia="宋体" w:hAnsi="Arial" w:cs="Arial"/>
          <w:color w:val="333333"/>
          <w:kern w:val="0"/>
          <w:sz w:val="24"/>
          <w:szCs w:val="24"/>
        </w:rPr>
        <w:t>5</w:t>
      </w:r>
      <w:r w:rsidRPr="007C13BF">
        <w:rPr>
          <w:rFonts w:ascii="Arial" w:eastAsia="宋体" w:hAnsi="Arial" w:cs="Arial"/>
          <w:color w:val="333333"/>
          <w:kern w:val="0"/>
          <w:sz w:val="24"/>
          <w:szCs w:val="24"/>
        </w:rPr>
        <w:t>月初达到顶部。</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此后净持仓快速下降，</w:t>
      </w:r>
      <w:proofErr w:type="gramStart"/>
      <w:r w:rsidRPr="007C13BF">
        <w:rPr>
          <w:rFonts w:ascii="Arial" w:eastAsia="宋体" w:hAnsi="Arial" w:cs="Arial"/>
          <w:color w:val="333333"/>
          <w:kern w:val="0"/>
          <w:sz w:val="24"/>
          <w:szCs w:val="24"/>
        </w:rPr>
        <w:t>伴随着期价</w:t>
      </w:r>
      <w:proofErr w:type="gramEnd"/>
      <w:r w:rsidRPr="007C13BF">
        <w:rPr>
          <w:rFonts w:ascii="Arial" w:eastAsia="宋体" w:hAnsi="Arial" w:cs="Arial"/>
          <w:color w:val="333333"/>
          <w:kern w:val="0"/>
          <w:sz w:val="24"/>
          <w:szCs w:val="24"/>
        </w:rPr>
        <w:t>下挫。</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月中旬持仓量再度走上</w:t>
      </w:r>
      <w:r w:rsidRPr="007C13BF">
        <w:rPr>
          <w:rFonts w:ascii="Arial" w:eastAsia="宋体" w:hAnsi="Arial" w:cs="Arial"/>
          <w:color w:val="333333"/>
          <w:kern w:val="0"/>
          <w:sz w:val="24"/>
          <w:szCs w:val="24"/>
        </w:rPr>
        <w:t>18</w:t>
      </w:r>
      <w:r w:rsidRPr="007C13BF">
        <w:rPr>
          <w:rFonts w:ascii="Arial" w:eastAsia="宋体" w:hAnsi="Arial" w:cs="Arial"/>
          <w:color w:val="333333"/>
          <w:kern w:val="0"/>
          <w:sz w:val="24"/>
          <w:szCs w:val="24"/>
        </w:rPr>
        <w:t>万手，持续到</w:t>
      </w:r>
      <w:r w:rsidRPr="007C13BF">
        <w:rPr>
          <w:rFonts w:ascii="Arial" w:eastAsia="宋体" w:hAnsi="Arial" w:cs="Arial"/>
          <w:color w:val="333333"/>
          <w:kern w:val="0"/>
          <w:sz w:val="24"/>
          <w:szCs w:val="24"/>
        </w:rPr>
        <w:t>9</w:t>
      </w:r>
      <w:r w:rsidRPr="007C13BF">
        <w:rPr>
          <w:rFonts w:ascii="Arial" w:eastAsia="宋体" w:hAnsi="Arial" w:cs="Arial"/>
          <w:color w:val="333333"/>
          <w:kern w:val="0"/>
          <w:sz w:val="24"/>
          <w:szCs w:val="24"/>
        </w:rPr>
        <w:t>月中旬，</w:t>
      </w:r>
      <w:proofErr w:type="gramStart"/>
      <w:r w:rsidRPr="007C13BF">
        <w:rPr>
          <w:rFonts w:ascii="Arial" w:eastAsia="宋体" w:hAnsi="Arial" w:cs="Arial"/>
          <w:color w:val="333333"/>
          <w:kern w:val="0"/>
          <w:sz w:val="24"/>
          <w:szCs w:val="24"/>
        </w:rPr>
        <w:t>美豆主力</w:t>
      </w:r>
      <w:proofErr w:type="gramEnd"/>
      <w:r w:rsidRPr="007C13BF">
        <w:rPr>
          <w:rFonts w:ascii="Arial" w:eastAsia="宋体" w:hAnsi="Arial" w:cs="Arial"/>
          <w:color w:val="333333"/>
          <w:kern w:val="0"/>
          <w:sz w:val="24"/>
          <w:szCs w:val="24"/>
        </w:rPr>
        <w:t>合约价格于</w:t>
      </w:r>
      <w:r w:rsidRPr="007C13BF">
        <w:rPr>
          <w:rFonts w:ascii="Arial" w:eastAsia="宋体" w:hAnsi="Arial" w:cs="Arial"/>
          <w:color w:val="333333"/>
          <w:kern w:val="0"/>
          <w:sz w:val="24"/>
          <w:szCs w:val="24"/>
        </w:rPr>
        <w:t>2012</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8</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21</w:t>
      </w:r>
      <w:r w:rsidRPr="007C13BF">
        <w:rPr>
          <w:rFonts w:ascii="Arial" w:eastAsia="宋体" w:hAnsi="Arial" w:cs="Arial"/>
          <w:color w:val="333333"/>
          <w:kern w:val="0"/>
          <w:sz w:val="24"/>
          <w:szCs w:val="24"/>
        </w:rPr>
        <w:t>日达到创纪录的</w:t>
      </w:r>
      <w:r w:rsidRPr="007C13BF">
        <w:rPr>
          <w:rFonts w:ascii="Arial" w:eastAsia="宋体" w:hAnsi="Arial" w:cs="Arial"/>
          <w:color w:val="333333"/>
          <w:kern w:val="0"/>
          <w:sz w:val="24"/>
          <w:szCs w:val="24"/>
        </w:rPr>
        <w:t>1729</w:t>
      </w:r>
      <w:r w:rsidRPr="007C13BF">
        <w:rPr>
          <w:rFonts w:ascii="Arial" w:eastAsia="宋体" w:hAnsi="Arial" w:cs="Arial"/>
          <w:color w:val="333333"/>
          <w:kern w:val="0"/>
          <w:sz w:val="24"/>
          <w:szCs w:val="24"/>
        </w:rPr>
        <w:t>美分</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蒲式耳。</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2</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-4</w:t>
      </w:r>
      <w:r w:rsidRPr="007C13BF">
        <w:rPr>
          <w:rFonts w:ascii="Arial" w:eastAsia="宋体" w:hAnsi="Arial" w:cs="Arial"/>
          <w:color w:val="333333"/>
          <w:kern w:val="0"/>
          <w:sz w:val="24"/>
          <w:szCs w:val="24"/>
        </w:rPr>
        <w:t>月净持仓量也达到了</w:t>
      </w:r>
      <w:r w:rsidRPr="007C13BF">
        <w:rPr>
          <w:rFonts w:ascii="Arial" w:eastAsia="宋体" w:hAnsi="Arial" w:cs="Arial"/>
          <w:color w:val="333333"/>
          <w:kern w:val="0"/>
          <w:sz w:val="24"/>
          <w:szCs w:val="24"/>
        </w:rPr>
        <w:t>18</w:t>
      </w:r>
      <w:r w:rsidRPr="007C13BF">
        <w:rPr>
          <w:rFonts w:ascii="Arial" w:eastAsia="宋体" w:hAnsi="Arial" w:cs="Arial"/>
          <w:color w:val="333333"/>
          <w:kern w:val="0"/>
          <w:sz w:val="24"/>
          <w:szCs w:val="24"/>
        </w:rPr>
        <w:t>万手以上，</w:t>
      </w:r>
      <w:proofErr w:type="gramStart"/>
      <w:r w:rsidRPr="007C13BF">
        <w:rPr>
          <w:rFonts w:ascii="Arial" w:eastAsia="宋体" w:hAnsi="Arial" w:cs="Arial"/>
          <w:color w:val="333333"/>
          <w:kern w:val="0"/>
          <w:sz w:val="24"/>
          <w:szCs w:val="24"/>
        </w:rPr>
        <w:t>美豆期货</w:t>
      </w:r>
      <w:proofErr w:type="gramEnd"/>
      <w:r w:rsidRPr="007C13BF">
        <w:rPr>
          <w:rFonts w:ascii="Arial" w:eastAsia="宋体" w:hAnsi="Arial" w:cs="Arial"/>
          <w:color w:val="333333"/>
          <w:kern w:val="0"/>
          <w:sz w:val="24"/>
          <w:szCs w:val="24"/>
        </w:rPr>
        <w:t>价格也在</w:t>
      </w:r>
      <w:r w:rsidRPr="007C13BF">
        <w:rPr>
          <w:rFonts w:ascii="Arial" w:eastAsia="宋体" w:hAnsi="Arial" w:cs="Arial"/>
          <w:color w:val="333333"/>
          <w:kern w:val="0"/>
          <w:sz w:val="24"/>
          <w:szCs w:val="24"/>
        </w:rPr>
        <w:t>4</w:t>
      </w:r>
      <w:r w:rsidRPr="007C13BF">
        <w:rPr>
          <w:rFonts w:ascii="Arial" w:eastAsia="宋体" w:hAnsi="Arial" w:cs="Arial"/>
          <w:color w:val="333333"/>
          <w:kern w:val="0"/>
          <w:sz w:val="24"/>
          <w:szCs w:val="24"/>
        </w:rPr>
        <w:t>月达到阶段性顶部的</w:t>
      </w:r>
      <w:r w:rsidRPr="007C13BF">
        <w:rPr>
          <w:rFonts w:ascii="Arial" w:eastAsia="宋体" w:hAnsi="Arial" w:cs="Arial"/>
          <w:color w:val="333333"/>
          <w:kern w:val="0"/>
          <w:sz w:val="24"/>
          <w:szCs w:val="24"/>
        </w:rPr>
        <w:t>1516</w:t>
      </w:r>
      <w:r w:rsidRPr="007C13BF">
        <w:rPr>
          <w:rFonts w:ascii="Arial" w:eastAsia="宋体" w:hAnsi="Arial" w:cs="Arial"/>
          <w:color w:val="333333"/>
          <w:kern w:val="0"/>
          <w:sz w:val="24"/>
          <w:szCs w:val="24"/>
        </w:rPr>
        <w:t>美分</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蒲式耳。</w:t>
      </w:r>
      <w:r w:rsidRPr="007C13BF">
        <w:rPr>
          <w:rFonts w:ascii="Arial" w:eastAsia="宋体" w:hAnsi="Arial" w:cs="Arial"/>
          <w:color w:val="333333"/>
          <w:kern w:val="0"/>
          <w:sz w:val="24"/>
          <w:szCs w:val="24"/>
        </w:rPr>
        <w:t>2016</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5</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-7</w:t>
      </w:r>
      <w:r w:rsidRPr="007C13BF">
        <w:rPr>
          <w:rFonts w:ascii="Arial" w:eastAsia="宋体" w:hAnsi="Arial" w:cs="Arial"/>
          <w:color w:val="333333"/>
          <w:kern w:val="0"/>
          <w:sz w:val="24"/>
          <w:szCs w:val="24"/>
        </w:rPr>
        <w:t>月净持仓连续在</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万手以上，</w:t>
      </w:r>
      <w:proofErr w:type="gramStart"/>
      <w:r w:rsidRPr="007C13BF">
        <w:rPr>
          <w:rFonts w:ascii="Arial" w:eastAsia="宋体" w:hAnsi="Arial" w:cs="Arial"/>
          <w:color w:val="333333"/>
          <w:kern w:val="0"/>
          <w:sz w:val="24"/>
          <w:szCs w:val="24"/>
        </w:rPr>
        <w:t>美豆价格</w:t>
      </w:r>
      <w:proofErr w:type="gramEnd"/>
      <w:r w:rsidRPr="007C13BF">
        <w:rPr>
          <w:rFonts w:ascii="Arial" w:eastAsia="宋体" w:hAnsi="Arial" w:cs="Arial"/>
          <w:color w:val="333333"/>
          <w:kern w:val="0"/>
          <w:sz w:val="24"/>
          <w:szCs w:val="24"/>
        </w:rPr>
        <w:t>也在</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月中达到阶段性顶部。</w:t>
      </w:r>
      <w:proofErr w:type="gramStart"/>
      <w:r w:rsidRPr="007C13BF">
        <w:rPr>
          <w:rFonts w:ascii="Arial" w:eastAsia="宋体" w:hAnsi="Arial" w:cs="Arial"/>
          <w:color w:val="333333"/>
          <w:kern w:val="0"/>
          <w:sz w:val="24"/>
          <w:szCs w:val="24"/>
        </w:rPr>
        <w:t>反观美豆价格</w:t>
      </w:r>
      <w:proofErr w:type="gramEnd"/>
      <w:r w:rsidRPr="007C13BF">
        <w:rPr>
          <w:rFonts w:ascii="Arial" w:eastAsia="宋体" w:hAnsi="Arial" w:cs="Arial"/>
          <w:color w:val="333333"/>
          <w:kern w:val="0"/>
          <w:sz w:val="24"/>
          <w:szCs w:val="24"/>
        </w:rPr>
        <w:t>底部，基本出现在净空单在</w:t>
      </w:r>
      <w:r w:rsidRPr="007C13BF">
        <w:rPr>
          <w:rFonts w:ascii="Arial" w:eastAsia="宋体" w:hAnsi="Arial" w:cs="Arial"/>
          <w:color w:val="333333"/>
          <w:kern w:val="0"/>
          <w:sz w:val="24"/>
          <w:szCs w:val="24"/>
        </w:rPr>
        <w:t>5</w:t>
      </w:r>
      <w:r w:rsidRPr="007C13BF">
        <w:rPr>
          <w:rFonts w:ascii="Arial" w:eastAsia="宋体" w:hAnsi="Arial" w:cs="Arial"/>
          <w:color w:val="333333"/>
          <w:kern w:val="0"/>
          <w:sz w:val="24"/>
          <w:szCs w:val="24"/>
        </w:rPr>
        <w:t>万手或以上。每当大豆净持仓达到</w:t>
      </w:r>
      <w:r w:rsidRPr="007C13BF">
        <w:rPr>
          <w:rFonts w:ascii="Arial" w:eastAsia="宋体" w:hAnsi="Arial" w:cs="Arial"/>
          <w:color w:val="333333"/>
          <w:kern w:val="0"/>
          <w:sz w:val="24"/>
          <w:szCs w:val="24"/>
        </w:rPr>
        <w:t>18</w:t>
      </w:r>
      <w:r w:rsidRPr="007C13BF">
        <w:rPr>
          <w:rFonts w:ascii="Arial" w:eastAsia="宋体" w:hAnsi="Arial" w:cs="Arial"/>
          <w:color w:val="333333"/>
          <w:kern w:val="0"/>
          <w:sz w:val="24"/>
          <w:szCs w:val="24"/>
        </w:rPr>
        <w:t>万手，后期行情也紧随而至。</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方面，净持仓在</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万手以上容易出现价格顶部，净空单在</w:t>
      </w:r>
      <w:r w:rsidRPr="007C13BF">
        <w:rPr>
          <w:rFonts w:ascii="Arial" w:eastAsia="宋体" w:hAnsi="Arial" w:cs="Arial"/>
          <w:color w:val="333333"/>
          <w:kern w:val="0"/>
          <w:sz w:val="24"/>
          <w:szCs w:val="24"/>
        </w:rPr>
        <w:t>2</w:t>
      </w:r>
      <w:r w:rsidRPr="007C13BF">
        <w:rPr>
          <w:rFonts w:ascii="Arial" w:eastAsia="宋体" w:hAnsi="Arial" w:cs="Arial"/>
          <w:color w:val="333333"/>
          <w:kern w:val="0"/>
          <w:sz w:val="24"/>
          <w:szCs w:val="24"/>
        </w:rPr>
        <w:t>万手以上时容易出现底部。豆油方面，</w:t>
      </w:r>
      <w:r w:rsidRPr="007C13BF">
        <w:rPr>
          <w:rFonts w:ascii="Arial" w:eastAsia="宋体" w:hAnsi="Arial" w:cs="Arial"/>
          <w:color w:val="333333"/>
          <w:kern w:val="0"/>
          <w:sz w:val="24"/>
          <w:szCs w:val="24"/>
        </w:rPr>
        <w:t>2013</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年初豆油整体净持仓为负，</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1</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21</w:t>
      </w:r>
      <w:r w:rsidRPr="007C13BF">
        <w:rPr>
          <w:rFonts w:ascii="Arial" w:eastAsia="宋体" w:hAnsi="Arial" w:cs="Arial"/>
          <w:color w:val="333333"/>
          <w:kern w:val="0"/>
          <w:sz w:val="24"/>
          <w:szCs w:val="24"/>
        </w:rPr>
        <w:t>日净空</w:t>
      </w:r>
      <w:proofErr w:type="gramStart"/>
      <w:r w:rsidRPr="007C13BF">
        <w:rPr>
          <w:rFonts w:ascii="Arial" w:eastAsia="宋体" w:hAnsi="Arial" w:cs="Arial"/>
          <w:color w:val="333333"/>
          <w:kern w:val="0"/>
          <w:sz w:val="24"/>
          <w:szCs w:val="24"/>
        </w:rPr>
        <w:t>单达到</w:t>
      </w:r>
      <w:proofErr w:type="gramEnd"/>
      <w:r w:rsidRPr="007C13BF">
        <w:rPr>
          <w:rFonts w:ascii="Arial" w:eastAsia="宋体" w:hAnsi="Arial" w:cs="Arial"/>
          <w:color w:val="333333"/>
          <w:kern w:val="0"/>
          <w:sz w:val="24"/>
          <w:szCs w:val="24"/>
        </w:rPr>
        <w:t>创纪录的</w:t>
      </w:r>
      <w:r w:rsidRPr="007C13BF">
        <w:rPr>
          <w:rFonts w:ascii="Arial" w:eastAsia="宋体" w:hAnsi="Arial" w:cs="Arial"/>
          <w:color w:val="333333"/>
          <w:kern w:val="0"/>
          <w:sz w:val="24"/>
          <w:szCs w:val="24"/>
        </w:rPr>
        <w:t>64537</w:t>
      </w:r>
      <w:r w:rsidRPr="007C13BF">
        <w:rPr>
          <w:rFonts w:ascii="Arial" w:eastAsia="宋体" w:hAnsi="Arial" w:cs="Arial"/>
          <w:color w:val="333333"/>
          <w:kern w:val="0"/>
          <w:sz w:val="24"/>
          <w:szCs w:val="24"/>
        </w:rPr>
        <w:t>手，下周</w:t>
      </w:r>
      <w:r w:rsidRPr="007C13BF">
        <w:rPr>
          <w:rFonts w:ascii="Arial" w:eastAsia="宋体" w:hAnsi="Arial" w:cs="Arial"/>
          <w:color w:val="333333"/>
          <w:kern w:val="0"/>
          <w:sz w:val="24"/>
          <w:szCs w:val="24"/>
        </w:rPr>
        <w:t>1</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29</w:t>
      </w:r>
      <w:r w:rsidRPr="007C13BF">
        <w:rPr>
          <w:rFonts w:ascii="Arial" w:eastAsia="宋体" w:hAnsi="Arial" w:cs="Arial"/>
          <w:color w:val="333333"/>
          <w:kern w:val="0"/>
          <w:sz w:val="24"/>
          <w:szCs w:val="24"/>
        </w:rPr>
        <w:t>日空头回补，期价出现阶段性底部。在</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月净持仓空转多后，豆油价格逐渐企稳，在</w:t>
      </w:r>
      <w:r w:rsidRPr="007C13BF">
        <w:rPr>
          <w:rFonts w:ascii="Arial" w:eastAsia="宋体" w:hAnsi="Arial" w:cs="Arial"/>
          <w:color w:val="333333"/>
          <w:kern w:val="0"/>
          <w:sz w:val="24"/>
          <w:szCs w:val="24"/>
        </w:rPr>
        <w:t>2015</w:t>
      </w:r>
      <w:r w:rsidRPr="007C13BF">
        <w:rPr>
          <w:rFonts w:ascii="Arial" w:eastAsia="宋体" w:hAnsi="Arial" w:cs="Arial"/>
          <w:color w:val="333333"/>
          <w:kern w:val="0"/>
          <w:sz w:val="24"/>
          <w:szCs w:val="24"/>
        </w:rPr>
        <w:t>年净持仓迅速下跌，豆油价格也应声下挫。</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lastRenderedPageBreak/>
        <w:t xml:space="preserve">　　此外，我们发现豆油大多数时间处于净多持仓，</w:t>
      </w:r>
      <w:proofErr w:type="gramStart"/>
      <w:r w:rsidRPr="007C13BF">
        <w:rPr>
          <w:rFonts w:ascii="Arial" w:eastAsia="宋体" w:hAnsi="Arial" w:cs="Arial"/>
          <w:color w:val="333333"/>
          <w:kern w:val="0"/>
          <w:sz w:val="24"/>
          <w:szCs w:val="24"/>
        </w:rPr>
        <w:t>当净多持仓</w:t>
      </w:r>
      <w:proofErr w:type="gramEnd"/>
      <w:r w:rsidRPr="007C13BF">
        <w:rPr>
          <w:rFonts w:ascii="Arial" w:eastAsia="宋体" w:hAnsi="Arial" w:cs="Arial"/>
          <w:color w:val="333333"/>
          <w:kern w:val="0"/>
          <w:sz w:val="24"/>
          <w:szCs w:val="24"/>
        </w:rPr>
        <w:t>转成净空时就需要警惕豆油价格下跌。在关注净持仓极端值的同时，还需要关注多空转换的时间点。</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我们发现，豆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年净持仓量与</w:t>
      </w:r>
      <w:r w:rsidRPr="007C13BF">
        <w:rPr>
          <w:rFonts w:ascii="Arial" w:eastAsia="宋体" w:hAnsi="Arial" w:cs="Arial"/>
          <w:color w:val="333333"/>
          <w:kern w:val="0"/>
          <w:sz w:val="24"/>
          <w:szCs w:val="24"/>
        </w:rPr>
        <w:t>2016</w:t>
      </w:r>
      <w:r w:rsidRPr="007C13BF">
        <w:rPr>
          <w:rFonts w:ascii="Arial" w:eastAsia="宋体" w:hAnsi="Arial" w:cs="Arial"/>
          <w:color w:val="333333"/>
          <w:kern w:val="0"/>
          <w:sz w:val="24"/>
          <w:szCs w:val="24"/>
        </w:rPr>
        <w:t>年净持仓量均在</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万手以上，为什么</w:t>
      </w:r>
      <w:r w:rsidRPr="007C13BF">
        <w:rPr>
          <w:rFonts w:ascii="Arial" w:eastAsia="宋体" w:hAnsi="Arial" w:cs="Arial"/>
          <w:color w:val="333333"/>
          <w:kern w:val="0"/>
          <w:sz w:val="24"/>
          <w:szCs w:val="24"/>
        </w:rPr>
        <w:t>2016</w:t>
      </w:r>
      <w:r w:rsidRPr="007C13BF">
        <w:rPr>
          <w:rFonts w:ascii="Arial" w:eastAsia="宋体" w:hAnsi="Arial" w:cs="Arial"/>
          <w:color w:val="333333"/>
          <w:kern w:val="0"/>
          <w:sz w:val="24"/>
          <w:szCs w:val="24"/>
        </w:rPr>
        <w:t>年豆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的高点却达不到</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年的高度，这时候只看绝对量就会出现失效，还需要看相对量。通过基金多头占比就会发现，</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年基金多头占比达到</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以上，而</w:t>
      </w:r>
      <w:r w:rsidRPr="007C13BF">
        <w:rPr>
          <w:rFonts w:ascii="Arial" w:eastAsia="宋体" w:hAnsi="Arial" w:cs="Arial"/>
          <w:color w:val="333333"/>
          <w:kern w:val="0"/>
          <w:sz w:val="24"/>
          <w:szCs w:val="24"/>
        </w:rPr>
        <w:t>2016</w:t>
      </w:r>
      <w:r w:rsidRPr="007C13BF">
        <w:rPr>
          <w:rFonts w:ascii="Arial" w:eastAsia="宋体" w:hAnsi="Arial" w:cs="Arial"/>
          <w:color w:val="333333"/>
          <w:kern w:val="0"/>
          <w:sz w:val="24"/>
          <w:szCs w:val="24"/>
        </w:rPr>
        <w:t>年的多头占比只有</w:t>
      </w:r>
      <w:r w:rsidRPr="007C13BF">
        <w:rPr>
          <w:rFonts w:ascii="Arial" w:eastAsia="宋体" w:hAnsi="Arial" w:cs="Arial"/>
          <w:color w:val="333333"/>
          <w:kern w:val="0"/>
          <w:sz w:val="24"/>
          <w:szCs w:val="24"/>
        </w:rPr>
        <w:t>15%</w:t>
      </w:r>
      <w:r w:rsidRPr="007C13BF">
        <w:rPr>
          <w:rFonts w:ascii="Arial" w:eastAsia="宋体" w:hAnsi="Arial" w:cs="Arial"/>
          <w:color w:val="333333"/>
          <w:kern w:val="0"/>
          <w:sz w:val="24"/>
          <w:szCs w:val="24"/>
        </w:rPr>
        <w:t>，</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总持仓量更少，但豆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多头持仓量却更多。对于大豆而言，当大豆头多占比大于</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时，就要</w:t>
      </w:r>
      <w:proofErr w:type="gramStart"/>
      <w:r w:rsidRPr="007C13BF">
        <w:rPr>
          <w:rFonts w:ascii="Arial" w:eastAsia="宋体" w:hAnsi="Arial" w:cs="Arial"/>
          <w:color w:val="333333"/>
          <w:kern w:val="0"/>
          <w:sz w:val="24"/>
          <w:szCs w:val="24"/>
        </w:rPr>
        <w:t>警惕豆价顶部</w:t>
      </w:r>
      <w:proofErr w:type="gramEnd"/>
      <w:r w:rsidRPr="007C13BF">
        <w:rPr>
          <w:rFonts w:ascii="Arial" w:eastAsia="宋体" w:hAnsi="Arial" w:cs="Arial"/>
          <w:color w:val="333333"/>
          <w:kern w:val="0"/>
          <w:sz w:val="24"/>
          <w:szCs w:val="24"/>
        </w:rPr>
        <w:t>即将到来，当大豆头多占比小于</w:t>
      </w:r>
      <w:r w:rsidRPr="007C13BF">
        <w:rPr>
          <w:rFonts w:ascii="Arial" w:eastAsia="宋体" w:hAnsi="Arial" w:cs="Arial"/>
          <w:color w:val="333333"/>
          <w:kern w:val="0"/>
          <w:sz w:val="24"/>
          <w:szCs w:val="24"/>
        </w:rPr>
        <w:t>12%</w:t>
      </w:r>
      <w:r w:rsidRPr="007C13BF">
        <w:rPr>
          <w:rFonts w:ascii="Arial" w:eastAsia="宋体" w:hAnsi="Arial" w:cs="Arial"/>
          <w:color w:val="333333"/>
          <w:kern w:val="0"/>
          <w:sz w:val="24"/>
          <w:szCs w:val="24"/>
        </w:rPr>
        <w:t>，就要注意大豆底部的到来。对于豆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而言，近三年当多占比大于</w:t>
      </w:r>
      <w:r w:rsidRPr="007C13BF">
        <w:rPr>
          <w:rFonts w:ascii="Arial" w:eastAsia="宋体" w:hAnsi="Arial" w:cs="Arial"/>
          <w:color w:val="333333"/>
          <w:kern w:val="0"/>
          <w:sz w:val="24"/>
          <w:szCs w:val="24"/>
        </w:rPr>
        <w:t>15%</w:t>
      </w:r>
      <w:r w:rsidRPr="007C13BF">
        <w:rPr>
          <w:rFonts w:ascii="Arial" w:eastAsia="宋体" w:hAnsi="Arial" w:cs="Arial"/>
          <w:color w:val="333333"/>
          <w:kern w:val="0"/>
          <w:sz w:val="24"/>
          <w:szCs w:val="24"/>
        </w:rPr>
        <w:t>时，就要警惕豆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价顶部即将到来，当豆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多头多占比小于</w:t>
      </w:r>
      <w:r w:rsidRPr="007C13BF">
        <w:rPr>
          <w:rFonts w:ascii="Arial" w:eastAsia="宋体" w:hAnsi="Arial" w:cs="Arial"/>
          <w:color w:val="333333"/>
          <w:kern w:val="0"/>
          <w:sz w:val="24"/>
          <w:szCs w:val="24"/>
        </w:rPr>
        <w:t>12%</w:t>
      </w:r>
      <w:r w:rsidRPr="007C13BF">
        <w:rPr>
          <w:rFonts w:ascii="Arial" w:eastAsia="宋体" w:hAnsi="Arial" w:cs="Arial"/>
          <w:color w:val="333333"/>
          <w:kern w:val="0"/>
          <w:sz w:val="24"/>
          <w:szCs w:val="24"/>
        </w:rPr>
        <w:t>，就要注意豆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底部的到来。对于豆油而言，因其自身价格基数小，更多时候后关注比值趋势。</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综上，净多头持仓与多头比值有异曲同工的作用。两者相结合能更好的帮助投资者分析价格。</w:t>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3CA348E8" wp14:editId="4C4BDFE6">
            <wp:extent cx="4762500" cy="2000250"/>
            <wp:effectExtent l="0" t="0" r="0" b="0"/>
            <wp:docPr id="5" name="图片 5" descr="https://ss2.baidu.com/6ONYsjip0QIZ8tyhnq/it/u=2131036475,1569708982&amp;fm=173&amp;s=6D80841B87F1498A50E521C4030080B1&amp;w=500&amp;h=210&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2.baidu.com/6ONYsjip0QIZ8tyhnq/it/u=2131036475,1569708982&amp;fm=173&amp;s=6D80841B87F1498A50E521C4030080B1&amp;w=500&amp;h=210&amp;im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00250"/>
                    </a:xfrm>
                    <a:prstGeom prst="rect">
                      <a:avLst/>
                    </a:prstGeom>
                    <a:noFill/>
                    <a:ln>
                      <a:noFill/>
                    </a:ln>
                  </pic:spPr>
                </pic:pic>
              </a:graphicData>
            </a:graphic>
          </wp:inline>
        </w:drawing>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5F30C84B" wp14:editId="14785209">
            <wp:extent cx="4762500" cy="1971675"/>
            <wp:effectExtent l="0" t="0" r="0" b="9525"/>
            <wp:docPr id="6" name="图片 6" descr="https://ss2.baidu.com/6ONYsjip0QIZ8tyhnq/it/u=2136530078,1575386923&amp;fm=173&amp;s=6410AC3B87F04980026DC9CE030070B3&amp;w=500&amp;h=20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2.baidu.com/6ONYsjip0QIZ8tyhnq/it/u=2136530078,1575386923&amp;fm=173&amp;s=6410AC3B87F04980026DC9CE030070B3&amp;w=500&amp;h=207&amp;im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7C13BF" w:rsidRPr="007C13BF" w:rsidRDefault="007C13BF" w:rsidP="007C13BF">
      <w:pPr>
        <w:widowControl/>
        <w:shd w:val="clear" w:color="auto" w:fill="FFFFFF"/>
        <w:spacing w:before="39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下面我们</w:t>
      </w:r>
      <w:proofErr w:type="gramStart"/>
      <w:r w:rsidRPr="007C13BF">
        <w:rPr>
          <w:rFonts w:ascii="Arial" w:eastAsia="宋体" w:hAnsi="Arial" w:cs="Arial"/>
          <w:color w:val="333333"/>
          <w:kern w:val="0"/>
          <w:sz w:val="24"/>
          <w:szCs w:val="24"/>
        </w:rPr>
        <w:t>看商业净</w:t>
      </w:r>
      <w:proofErr w:type="gramEnd"/>
      <w:r w:rsidRPr="007C13BF">
        <w:rPr>
          <w:rFonts w:ascii="Arial" w:eastAsia="宋体" w:hAnsi="Arial" w:cs="Arial"/>
          <w:color w:val="333333"/>
          <w:kern w:val="0"/>
          <w:sz w:val="24"/>
          <w:szCs w:val="24"/>
        </w:rPr>
        <w:t>持仓与价格的关系，我们发现商业持仓多数时间以净空头为主，作为风险管理者不同于投机者的一点是，即使价格上升，也可以继续持有</w:t>
      </w:r>
      <w:r w:rsidRPr="007C13BF">
        <w:rPr>
          <w:rFonts w:ascii="Arial" w:eastAsia="宋体" w:hAnsi="Arial" w:cs="Arial"/>
          <w:color w:val="333333"/>
          <w:kern w:val="0"/>
          <w:sz w:val="24"/>
          <w:szCs w:val="24"/>
        </w:rPr>
        <w:lastRenderedPageBreak/>
        <w:t>净空头，因为他们具有现货头寸，在期货市场合约到期后可以行使交割。主要利用期货和期权市场进行套期保值，因为手上有现货头寸，即使期货价格上涨，依然可以选择做空。整体来看对于大豆、豆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和豆油来说商业持仓比基金持仓分析更为复杂，无论从净持仓的极值</w:t>
      </w:r>
      <w:proofErr w:type="gramStart"/>
      <w:r w:rsidRPr="007C13BF">
        <w:rPr>
          <w:rFonts w:ascii="Arial" w:eastAsia="宋体" w:hAnsi="Arial" w:cs="Arial"/>
          <w:color w:val="333333"/>
          <w:kern w:val="0"/>
          <w:sz w:val="24"/>
          <w:szCs w:val="24"/>
        </w:rPr>
        <w:t>或是多</w:t>
      </w:r>
      <w:proofErr w:type="gramEnd"/>
      <w:r w:rsidRPr="007C13BF">
        <w:rPr>
          <w:rFonts w:ascii="Arial" w:eastAsia="宋体" w:hAnsi="Arial" w:cs="Arial"/>
          <w:color w:val="333333"/>
          <w:kern w:val="0"/>
          <w:sz w:val="24"/>
          <w:szCs w:val="24"/>
        </w:rPr>
        <w:t>空转换的时间点来看都难以找到有效的信息。</w:t>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6D80C12E" wp14:editId="3B9D548D">
            <wp:extent cx="4762500" cy="1971675"/>
            <wp:effectExtent l="0" t="0" r="0" b="9525"/>
            <wp:docPr id="7" name="图片 7" descr="https://ss2.baidu.com/6ONYsjip0QIZ8tyhnq/it/u=2142023762,1585588195&amp;fm=173&amp;s=E800E01B87A04901166D29D0030050B1&amp;w=500&amp;h=20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2.baidu.com/6ONYsjip0QIZ8tyhnq/it/u=2142023762,1585588195&amp;fm=173&amp;s=E800E01B87A04901166D29D0030050B1&amp;w=500&amp;h=207&amp;im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7F7FFD0A" wp14:editId="09E85032">
            <wp:extent cx="4438650" cy="3495675"/>
            <wp:effectExtent l="0" t="0" r="0" b="9525"/>
            <wp:docPr id="8" name="图片 8" descr="https://ss2.baidu.com/6ONYsjip0QIZ8tyhnq/it/u=2147517338,1589758359&amp;fm=173&amp;s=ED00E41341CF7CE80AE185CC0200F0B3&amp;w=466&amp;h=367&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2.baidu.com/6ONYsjip0QIZ8tyhnq/it/u=2147517338,1589758359&amp;fm=173&amp;s=ED00E41341CF7CE80AE185CC0200F0B3&amp;w=466&amp;h=367&amp;im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3495675"/>
                    </a:xfrm>
                    <a:prstGeom prst="rect">
                      <a:avLst/>
                    </a:prstGeom>
                    <a:noFill/>
                    <a:ln>
                      <a:noFill/>
                    </a:ln>
                  </pic:spPr>
                </pic:pic>
              </a:graphicData>
            </a:graphic>
          </wp:inline>
        </w:drawing>
      </w:r>
    </w:p>
    <w:p w:rsidR="007C13BF" w:rsidRPr="007C13BF" w:rsidRDefault="007C13BF" w:rsidP="007C13BF">
      <w:pPr>
        <w:widowControl/>
        <w:shd w:val="clear" w:color="auto" w:fill="FFFFFF"/>
        <w:spacing w:before="39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我们发现基金持仓较商业持仓更具有指导意义，但对于净持仓关注的往往不是它正常的变化，这种变化提供的信息非常少，更多的关注要放在持仓极端情况和净持仓多空转换的时间段。</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4</w:t>
      </w:r>
      <w:r w:rsidRPr="007C13BF">
        <w:rPr>
          <w:rFonts w:ascii="Arial" w:eastAsia="宋体" w:hAnsi="Arial" w:cs="Arial"/>
          <w:color w:val="333333"/>
          <w:kern w:val="0"/>
          <w:sz w:val="24"/>
          <w:szCs w:val="24"/>
        </w:rPr>
        <w:t>、构造辅助指标观察净持仓变化</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lastRenderedPageBreak/>
        <w:t xml:space="preserve">　　国外研究员编制了</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指标来判断商业净持仓是否处于合理位置，该指标的公式如下：</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如果</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指标高于</w:t>
      </w:r>
      <w:r w:rsidRPr="007C13BF">
        <w:rPr>
          <w:rFonts w:ascii="Arial" w:eastAsia="宋体" w:hAnsi="Arial" w:cs="Arial"/>
          <w:color w:val="333333"/>
          <w:kern w:val="0"/>
          <w:sz w:val="24"/>
          <w:szCs w:val="24"/>
        </w:rPr>
        <w:t>80%</w:t>
      </w:r>
      <w:r w:rsidRPr="007C13BF">
        <w:rPr>
          <w:rFonts w:ascii="Arial" w:eastAsia="宋体" w:hAnsi="Arial" w:cs="Arial"/>
          <w:color w:val="333333"/>
          <w:kern w:val="0"/>
          <w:sz w:val="24"/>
          <w:szCs w:val="24"/>
        </w:rPr>
        <w:t>左右，一般认为基金对后期行情看好，如果低于</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左右则对后期行情并不看好。这一指标主要是根据历史数据经验得出。我们把这一指标应用在基金持仓上，来看这一指标与大豆、豆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、豆油的价格关系。从大豆来看，当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t>70%</w:t>
      </w:r>
      <w:r w:rsidRPr="007C13BF">
        <w:rPr>
          <w:rFonts w:ascii="Arial" w:eastAsia="宋体" w:hAnsi="Arial" w:cs="Arial"/>
          <w:color w:val="333333"/>
          <w:kern w:val="0"/>
          <w:sz w:val="24"/>
          <w:szCs w:val="24"/>
        </w:rPr>
        <w:t>，后期价格上涨，当高于</w:t>
      </w:r>
      <w:r w:rsidRPr="007C13BF">
        <w:rPr>
          <w:rFonts w:ascii="Arial" w:eastAsia="宋体" w:hAnsi="Arial" w:cs="Arial"/>
          <w:color w:val="333333"/>
          <w:kern w:val="0"/>
          <w:sz w:val="24"/>
          <w:szCs w:val="24"/>
        </w:rPr>
        <w:t>80%</w:t>
      </w:r>
      <w:r w:rsidRPr="007C13BF">
        <w:rPr>
          <w:rFonts w:ascii="Arial" w:eastAsia="宋体" w:hAnsi="Arial" w:cs="Arial"/>
          <w:color w:val="333333"/>
          <w:kern w:val="0"/>
          <w:sz w:val="24"/>
          <w:szCs w:val="24"/>
        </w:rPr>
        <w:t>时需要警惕价格顶部即将到来。当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指数低于</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时，需要注意底部即将到来。</w:t>
      </w:r>
      <w:r w:rsidRPr="007C13BF">
        <w:rPr>
          <w:rFonts w:ascii="Arial" w:eastAsia="宋体" w:hAnsi="Arial" w:cs="Arial"/>
          <w:color w:val="333333"/>
          <w:kern w:val="0"/>
          <w:sz w:val="24"/>
          <w:szCs w:val="24"/>
        </w:rPr>
        <w:t>2014</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2</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-4</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t>70%</w:t>
      </w:r>
      <w:r w:rsidRPr="007C13BF">
        <w:rPr>
          <w:rFonts w:ascii="Arial" w:eastAsia="宋体" w:hAnsi="Arial" w:cs="Arial"/>
          <w:color w:val="333333"/>
          <w:kern w:val="0"/>
          <w:sz w:val="24"/>
          <w:szCs w:val="24"/>
        </w:rPr>
        <w:t>，行情相应从</w:t>
      </w:r>
      <w:r w:rsidRPr="007C13BF">
        <w:rPr>
          <w:rFonts w:ascii="Arial" w:eastAsia="宋体" w:hAnsi="Arial" w:cs="Arial"/>
          <w:color w:val="333333"/>
          <w:kern w:val="0"/>
          <w:sz w:val="24"/>
          <w:szCs w:val="24"/>
        </w:rPr>
        <w:t>2</w:t>
      </w:r>
      <w:r w:rsidRPr="007C13BF">
        <w:rPr>
          <w:rFonts w:ascii="Arial" w:eastAsia="宋体" w:hAnsi="Arial" w:cs="Arial"/>
          <w:color w:val="333333"/>
          <w:kern w:val="0"/>
          <w:sz w:val="24"/>
          <w:szCs w:val="24"/>
        </w:rPr>
        <w:t>月开始，价格持续上涨至</w:t>
      </w:r>
      <w:r w:rsidRPr="007C13BF">
        <w:rPr>
          <w:rFonts w:ascii="Arial" w:eastAsia="宋体" w:hAnsi="Arial" w:cs="Arial"/>
          <w:color w:val="333333"/>
          <w:kern w:val="0"/>
          <w:sz w:val="24"/>
          <w:szCs w:val="24"/>
        </w:rPr>
        <w:t>4</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2016</w:t>
      </w:r>
      <w:r w:rsidRPr="007C13BF">
        <w:rPr>
          <w:rFonts w:ascii="Arial" w:eastAsia="宋体" w:hAnsi="Arial" w:cs="Arial"/>
          <w:color w:val="333333"/>
          <w:kern w:val="0"/>
          <w:sz w:val="24"/>
          <w:szCs w:val="24"/>
        </w:rPr>
        <w:t>年</w:t>
      </w:r>
      <w:r w:rsidRPr="007C13BF">
        <w:rPr>
          <w:rFonts w:ascii="Arial" w:eastAsia="宋体" w:hAnsi="Arial" w:cs="Arial"/>
          <w:color w:val="333333"/>
          <w:kern w:val="0"/>
          <w:sz w:val="24"/>
          <w:szCs w:val="24"/>
        </w:rPr>
        <w:t>4</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-7</w:t>
      </w:r>
      <w:r w:rsidRPr="007C13BF">
        <w:rPr>
          <w:rFonts w:ascii="Arial" w:eastAsia="宋体" w:hAnsi="Arial" w:cs="Arial"/>
          <w:color w:val="333333"/>
          <w:kern w:val="0"/>
          <w:sz w:val="24"/>
          <w:szCs w:val="24"/>
        </w:rPr>
        <w:t>月，</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指数持续在</w:t>
      </w:r>
      <w:r w:rsidRPr="007C13BF">
        <w:rPr>
          <w:rFonts w:ascii="Arial" w:eastAsia="宋体" w:hAnsi="Arial" w:cs="Arial"/>
          <w:color w:val="333333"/>
          <w:kern w:val="0"/>
          <w:sz w:val="24"/>
          <w:szCs w:val="24"/>
        </w:rPr>
        <w:t>70%</w:t>
      </w:r>
      <w:r w:rsidRPr="007C13BF">
        <w:rPr>
          <w:rFonts w:ascii="Arial" w:eastAsia="宋体" w:hAnsi="Arial" w:cs="Arial"/>
          <w:color w:val="333333"/>
          <w:kern w:val="0"/>
          <w:sz w:val="24"/>
          <w:szCs w:val="24"/>
        </w:rPr>
        <w:t>之上运行，大豆价格也在</w:t>
      </w:r>
      <w:r w:rsidRPr="007C13BF">
        <w:rPr>
          <w:rFonts w:ascii="Arial" w:eastAsia="宋体" w:hAnsi="Arial" w:cs="Arial"/>
          <w:color w:val="333333"/>
          <w:kern w:val="0"/>
          <w:sz w:val="24"/>
          <w:szCs w:val="24"/>
        </w:rPr>
        <w:t>6</w:t>
      </w:r>
      <w:r w:rsidRPr="007C13BF">
        <w:rPr>
          <w:rFonts w:ascii="Arial" w:eastAsia="宋体" w:hAnsi="Arial" w:cs="Arial"/>
          <w:color w:val="333333"/>
          <w:kern w:val="0"/>
          <w:sz w:val="24"/>
          <w:szCs w:val="24"/>
        </w:rPr>
        <w:t>月创下阶段新高。当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指数运行到</w:t>
      </w:r>
      <w:r w:rsidRPr="007C13BF">
        <w:rPr>
          <w:rFonts w:ascii="Arial" w:eastAsia="宋体" w:hAnsi="Arial" w:cs="Arial"/>
          <w:color w:val="333333"/>
          <w:kern w:val="0"/>
          <w:sz w:val="24"/>
          <w:szCs w:val="24"/>
        </w:rPr>
        <w:t>20%</w:t>
      </w:r>
      <w:r w:rsidRPr="007C13BF">
        <w:rPr>
          <w:rFonts w:ascii="Arial" w:eastAsia="宋体" w:hAnsi="Arial" w:cs="Arial"/>
          <w:color w:val="333333"/>
          <w:kern w:val="0"/>
          <w:sz w:val="24"/>
          <w:szCs w:val="24"/>
        </w:rPr>
        <w:t>以下时，大豆价格也逐渐到达底部。从豆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来看，当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t>70%</w:t>
      </w:r>
      <w:r w:rsidRPr="007C13BF">
        <w:rPr>
          <w:rFonts w:ascii="Arial" w:eastAsia="宋体" w:hAnsi="Arial" w:cs="Arial"/>
          <w:color w:val="333333"/>
          <w:kern w:val="0"/>
          <w:sz w:val="24"/>
          <w:szCs w:val="24"/>
        </w:rPr>
        <w:t>时，豆</w:t>
      </w:r>
      <w:proofErr w:type="gramStart"/>
      <w:r w:rsidRPr="007C13BF">
        <w:rPr>
          <w:rFonts w:ascii="Arial" w:eastAsia="宋体" w:hAnsi="Arial" w:cs="Arial"/>
          <w:color w:val="333333"/>
          <w:kern w:val="0"/>
          <w:sz w:val="24"/>
          <w:szCs w:val="24"/>
        </w:rPr>
        <w:t>粕</w:t>
      </w:r>
      <w:proofErr w:type="gramEnd"/>
      <w:r w:rsidRPr="007C13BF">
        <w:rPr>
          <w:rFonts w:ascii="Arial" w:eastAsia="宋体" w:hAnsi="Arial" w:cs="Arial"/>
          <w:color w:val="333333"/>
          <w:kern w:val="0"/>
          <w:sz w:val="24"/>
          <w:szCs w:val="24"/>
        </w:rPr>
        <w:t>价格上涨，容易出现阶段性顶部，当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指数到</w:t>
      </w:r>
      <w:r w:rsidRPr="007C13BF">
        <w:rPr>
          <w:rFonts w:ascii="Arial" w:eastAsia="宋体" w:hAnsi="Arial" w:cs="Arial"/>
          <w:color w:val="333333"/>
          <w:kern w:val="0"/>
          <w:sz w:val="24"/>
          <w:szCs w:val="24"/>
        </w:rPr>
        <w:t>25%</w:t>
      </w:r>
      <w:r w:rsidRPr="007C13BF">
        <w:rPr>
          <w:rFonts w:ascii="Arial" w:eastAsia="宋体" w:hAnsi="Arial" w:cs="Arial"/>
          <w:color w:val="333333"/>
          <w:kern w:val="0"/>
          <w:sz w:val="24"/>
          <w:szCs w:val="24"/>
        </w:rPr>
        <w:t>以下时，价格下跌容易出现底部。对于豆油而言，</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指数高于</w:t>
      </w:r>
      <w:r w:rsidRPr="007C13BF">
        <w:rPr>
          <w:rFonts w:ascii="Arial" w:eastAsia="宋体" w:hAnsi="Arial" w:cs="Arial"/>
          <w:color w:val="333333"/>
          <w:kern w:val="0"/>
          <w:sz w:val="24"/>
          <w:szCs w:val="24"/>
        </w:rPr>
        <w:t>80%</w:t>
      </w:r>
      <w:r w:rsidRPr="007C13BF">
        <w:rPr>
          <w:rFonts w:ascii="Arial" w:eastAsia="宋体" w:hAnsi="Arial" w:cs="Arial"/>
          <w:color w:val="333333"/>
          <w:kern w:val="0"/>
          <w:sz w:val="24"/>
          <w:szCs w:val="24"/>
        </w:rPr>
        <w:t>时需要警惕顶部将要到来，当</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指数低于</w:t>
      </w:r>
      <w:r w:rsidRPr="007C13BF">
        <w:rPr>
          <w:rFonts w:ascii="Arial" w:eastAsia="宋体" w:hAnsi="Arial" w:cs="Arial"/>
          <w:color w:val="333333"/>
          <w:kern w:val="0"/>
          <w:sz w:val="24"/>
          <w:szCs w:val="24"/>
        </w:rPr>
        <w:t>40%</w:t>
      </w:r>
      <w:r w:rsidRPr="007C13BF">
        <w:rPr>
          <w:rFonts w:ascii="Arial" w:eastAsia="宋体" w:hAnsi="Arial" w:cs="Arial"/>
          <w:color w:val="333333"/>
          <w:kern w:val="0"/>
          <w:sz w:val="24"/>
          <w:szCs w:val="24"/>
        </w:rPr>
        <w:t>时，需要注意底部即将到来。用</w:t>
      </w:r>
      <w:r w:rsidRPr="007C13BF">
        <w:rPr>
          <w:rFonts w:ascii="Arial" w:eastAsia="宋体" w:hAnsi="Arial" w:cs="Arial"/>
          <w:color w:val="333333"/>
          <w:kern w:val="0"/>
          <w:sz w:val="24"/>
          <w:szCs w:val="24"/>
        </w:rPr>
        <w:t>COT</w:t>
      </w:r>
      <w:r w:rsidRPr="007C13BF">
        <w:rPr>
          <w:rFonts w:ascii="Arial" w:eastAsia="宋体" w:hAnsi="Arial" w:cs="Arial"/>
          <w:color w:val="333333"/>
          <w:kern w:val="0"/>
          <w:sz w:val="24"/>
          <w:szCs w:val="24"/>
        </w:rPr>
        <w:t>指标能较好的帮助投资者判断行情阶段性顶部和底部。</w:t>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6C1B683C" wp14:editId="50960F76">
            <wp:extent cx="4762500" cy="1838325"/>
            <wp:effectExtent l="0" t="0" r="0" b="9525"/>
            <wp:docPr id="9" name="图片 9" descr="https://ss2.baidu.com/6ONYsjip0QIZ8tyhnq/it/u=2105163080,1565523282&amp;fm=173&amp;s=4D50C51B85A049014265B9CE030080B3&amp;w=500&amp;h=19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2.baidu.com/6ONYsjip0QIZ8tyhnq/it/u=2105163080,1565523282&amp;fm=173&amp;s=4D50C51B85A049014265B9CE030080B3&amp;w=500&amp;h=193&amp;im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rsidR="007C13BF" w:rsidRPr="007C13BF" w:rsidRDefault="007C13BF" w:rsidP="007C13BF">
      <w:pPr>
        <w:widowControl/>
        <w:shd w:val="clear" w:color="auto" w:fill="FFFFFF"/>
        <w:jc w:val="left"/>
        <w:rPr>
          <w:rFonts w:ascii="Arial" w:eastAsia="宋体" w:hAnsi="Arial" w:cs="Arial"/>
          <w:color w:val="000000"/>
          <w:kern w:val="0"/>
          <w:sz w:val="18"/>
          <w:szCs w:val="18"/>
        </w:rPr>
      </w:pPr>
      <w:r w:rsidRPr="007C13BF">
        <w:rPr>
          <w:rFonts w:ascii="Arial" w:eastAsia="宋体" w:hAnsi="Arial" w:cs="Arial"/>
          <w:noProof/>
          <w:color w:val="000000"/>
          <w:kern w:val="0"/>
          <w:sz w:val="18"/>
          <w:szCs w:val="18"/>
        </w:rPr>
        <w:drawing>
          <wp:inline distT="0" distB="0" distL="0" distR="0" wp14:anchorId="727AAC85" wp14:editId="583F1A0E">
            <wp:extent cx="4457700" cy="3248025"/>
            <wp:effectExtent l="0" t="0" r="0" b="9525"/>
            <wp:docPr id="10" name="图片 10" descr="https://ss2.baidu.com/6ONYsjip0QIZ8tyhnq/it/u=2110656440,1557631230&amp;fm=173&amp;s=EDC0E513410E7EE85361E4C60200A0A3&amp;w=468&amp;h=341&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s2.baidu.com/6ONYsjip0QIZ8tyhnq/it/u=2110656440,1557631230&amp;fm=173&amp;s=EDC0E513410E7EE85361E4C60200A0A3&amp;w=468&amp;h=341&amp;im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248025"/>
                    </a:xfrm>
                    <a:prstGeom prst="rect">
                      <a:avLst/>
                    </a:prstGeom>
                    <a:noFill/>
                    <a:ln>
                      <a:noFill/>
                    </a:ln>
                  </pic:spPr>
                </pic:pic>
              </a:graphicData>
            </a:graphic>
          </wp:inline>
        </w:drawing>
      </w:r>
    </w:p>
    <w:p w:rsidR="007C13BF" w:rsidRPr="007C13BF" w:rsidRDefault="007C13BF" w:rsidP="007C13BF">
      <w:pPr>
        <w:widowControl/>
        <w:shd w:val="clear" w:color="auto" w:fill="FFFFFF"/>
        <w:spacing w:before="39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lastRenderedPageBreak/>
        <w:t>5</w:t>
      </w:r>
      <w:r w:rsidRPr="007C13BF">
        <w:rPr>
          <w:rFonts w:ascii="Arial" w:eastAsia="宋体" w:hAnsi="Arial" w:cs="Arial"/>
          <w:color w:val="333333"/>
          <w:kern w:val="0"/>
          <w:sz w:val="24"/>
          <w:szCs w:val="24"/>
        </w:rPr>
        <w:t>、总结</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w:t>
      </w:r>
      <w:r w:rsidRPr="007C13BF">
        <w:rPr>
          <w:rFonts w:ascii="Arial" w:eastAsia="宋体" w:hAnsi="Arial" w:cs="Arial"/>
          <w:color w:val="333333"/>
          <w:kern w:val="0"/>
          <w:sz w:val="24"/>
          <w:szCs w:val="24"/>
        </w:rPr>
        <w:t>CFTC</w:t>
      </w:r>
      <w:r w:rsidRPr="007C13BF">
        <w:rPr>
          <w:rFonts w:ascii="Arial" w:eastAsia="宋体" w:hAnsi="Arial" w:cs="Arial"/>
          <w:color w:val="333333"/>
          <w:kern w:val="0"/>
          <w:sz w:val="24"/>
          <w:szCs w:val="24"/>
        </w:rPr>
        <w:t>持仓报告分析方法很多，但分析目的只有一个，就是</w:t>
      </w:r>
      <w:proofErr w:type="gramStart"/>
      <w:r w:rsidRPr="007C13BF">
        <w:rPr>
          <w:rFonts w:ascii="Arial" w:eastAsia="宋体" w:hAnsi="Arial" w:cs="Arial"/>
          <w:color w:val="333333"/>
          <w:kern w:val="0"/>
          <w:sz w:val="24"/>
          <w:szCs w:val="24"/>
        </w:rPr>
        <w:t>找出市</w:t>
      </w:r>
      <w:proofErr w:type="gramEnd"/>
      <w:r w:rsidRPr="007C13BF">
        <w:rPr>
          <w:rFonts w:ascii="Arial" w:eastAsia="宋体" w:hAnsi="Arial" w:cs="Arial"/>
          <w:color w:val="333333"/>
          <w:kern w:val="0"/>
          <w:sz w:val="24"/>
          <w:szCs w:val="24"/>
        </w:rPr>
        <w:t>场主力持仓变化，以此判断主力对行情的看法。依然需注意的是，不论大型风险管理商还是大型基金，他们对行情的把握和预测并非完全正确，否则风险管理者不需要进行风险管理，基金也不会被淘汰。</w:t>
      </w:r>
    </w:p>
    <w:p w:rsidR="007C13BF" w:rsidRPr="007C13BF" w:rsidRDefault="007C13BF" w:rsidP="007C13BF">
      <w:pPr>
        <w:widowControl/>
        <w:shd w:val="clear" w:color="auto" w:fill="FFFFFF"/>
        <w:spacing w:before="330" w:line="360" w:lineRule="atLeast"/>
        <w:rPr>
          <w:rFonts w:ascii="Arial" w:eastAsia="宋体" w:hAnsi="Arial" w:cs="Arial"/>
          <w:color w:val="333333"/>
          <w:kern w:val="0"/>
          <w:sz w:val="24"/>
          <w:szCs w:val="24"/>
        </w:rPr>
      </w:pPr>
      <w:r w:rsidRPr="007C13BF">
        <w:rPr>
          <w:rFonts w:ascii="Arial" w:eastAsia="宋体" w:hAnsi="Arial" w:cs="Arial"/>
          <w:color w:val="333333"/>
          <w:kern w:val="0"/>
          <w:sz w:val="24"/>
          <w:szCs w:val="24"/>
        </w:rPr>
        <w:t xml:space="preserve">　　此外，掌握任何一种方法也绝非一劳永逸，它们只能提供一种参考，一个验证的维度，去帮助投资者更好的在金融游戏中玩耍。当然，鉴于报告反映的是期货交易所截至当周周二时的持</w:t>
      </w:r>
      <w:proofErr w:type="gramStart"/>
      <w:r w:rsidRPr="007C13BF">
        <w:rPr>
          <w:rFonts w:ascii="Arial" w:eastAsia="宋体" w:hAnsi="Arial" w:cs="Arial"/>
          <w:color w:val="333333"/>
          <w:kern w:val="0"/>
          <w:sz w:val="24"/>
          <w:szCs w:val="24"/>
        </w:rPr>
        <w:t>仓头寸</w:t>
      </w:r>
      <w:proofErr w:type="gramEnd"/>
      <w:r w:rsidRPr="007C13BF">
        <w:rPr>
          <w:rFonts w:ascii="Arial" w:eastAsia="宋体" w:hAnsi="Arial" w:cs="Arial"/>
          <w:color w:val="333333"/>
          <w:kern w:val="0"/>
          <w:sz w:val="24"/>
          <w:szCs w:val="24"/>
        </w:rPr>
        <w:t>情况，不可避免有一定的滞后性。</w:t>
      </w:r>
    </w:p>
    <w:p w:rsidR="003D151D" w:rsidRPr="007C13BF" w:rsidRDefault="007C13BF"/>
    <w:sectPr w:rsidR="003D151D" w:rsidRPr="007C13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5E"/>
    <w:rsid w:val="007C13BF"/>
    <w:rsid w:val="007D6A5E"/>
    <w:rsid w:val="00B84CFD"/>
    <w:rsid w:val="00BB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32FF7-58C9-4EA0-886B-B4F7C30C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69701">
      <w:bodyDiv w:val="1"/>
      <w:marLeft w:val="0"/>
      <w:marRight w:val="0"/>
      <w:marTop w:val="0"/>
      <w:marBottom w:val="0"/>
      <w:divBdr>
        <w:top w:val="none" w:sz="0" w:space="0" w:color="auto"/>
        <w:left w:val="none" w:sz="0" w:space="0" w:color="auto"/>
        <w:bottom w:val="none" w:sz="0" w:space="0" w:color="auto"/>
        <w:right w:val="none" w:sz="0" w:space="0" w:color="auto"/>
      </w:divBdr>
      <w:divsChild>
        <w:div w:id="49426177">
          <w:marLeft w:val="0"/>
          <w:marRight w:val="0"/>
          <w:marTop w:val="0"/>
          <w:marBottom w:val="0"/>
          <w:divBdr>
            <w:top w:val="none" w:sz="0" w:space="0" w:color="auto"/>
            <w:left w:val="none" w:sz="0" w:space="0" w:color="auto"/>
            <w:bottom w:val="none" w:sz="0" w:space="0" w:color="auto"/>
            <w:right w:val="none" w:sz="0" w:space="0" w:color="auto"/>
          </w:divBdr>
        </w:div>
        <w:div w:id="1294946043">
          <w:marLeft w:val="0"/>
          <w:marRight w:val="0"/>
          <w:marTop w:val="75"/>
          <w:marBottom w:val="0"/>
          <w:divBdr>
            <w:top w:val="none" w:sz="0" w:space="0" w:color="auto"/>
            <w:left w:val="none" w:sz="0" w:space="0" w:color="auto"/>
            <w:bottom w:val="none" w:sz="0" w:space="0" w:color="auto"/>
            <w:right w:val="none" w:sz="0" w:space="0" w:color="auto"/>
          </w:divBdr>
        </w:div>
        <w:div w:id="999307515">
          <w:marLeft w:val="0"/>
          <w:marRight w:val="0"/>
          <w:marTop w:val="255"/>
          <w:marBottom w:val="0"/>
          <w:divBdr>
            <w:top w:val="none" w:sz="0" w:space="0" w:color="auto"/>
            <w:left w:val="none" w:sz="0" w:space="0" w:color="auto"/>
            <w:bottom w:val="none" w:sz="0" w:space="0" w:color="auto"/>
            <w:right w:val="none" w:sz="0" w:space="0" w:color="auto"/>
          </w:divBdr>
          <w:divsChild>
            <w:div w:id="153225385">
              <w:marLeft w:val="0"/>
              <w:marRight w:val="0"/>
              <w:marTop w:val="450"/>
              <w:marBottom w:val="0"/>
              <w:divBdr>
                <w:top w:val="none" w:sz="0" w:space="0" w:color="auto"/>
                <w:left w:val="none" w:sz="0" w:space="0" w:color="auto"/>
                <w:bottom w:val="none" w:sz="0" w:space="0" w:color="auto"/>
                <w:right w:val="none" w:sz="0" w:space="0" w:color="auto"/>
              </w:divBdr>
            </w:div>
            <w:div w:id="1068259696">
              <w:marLeft w:val="0"/>
              <w:marRight w:val="0"/>
              <w:marTop w:val="450"/>
              <w:marBottom w:val="0"/>
              <w:divBdr>
                <w:top w:val="none" w:sz="0" w:space="0" w:color="auto"/>
                <w:left w:val="none" w:sz="0" w:space="0" w:color="auto"/>
                <w:bottom w:val="none" w:sz="0" w:space="0" w:color="auto"/>
                <w:right w:val="none" w:sz="0" w:space="0" w:color="auto"/>
              </w:divBdr>
            </w:div>
            <w:div w:id="1177160763">
              <w:marLeft w:val="0"/>
              <w:marRight w:val="0"/>
              <w:marTop w:val="450"/>
              <w:marBottom w:val="0"/>
              <w:divBdr>
                <w:top w:val="none" w:sz="0" w:space="0" w:color="auto"/>
                <w:left w:val="none" w:sz="0" w:space="0" w:color="auto"/>
                <w:bottom w:val="none" w:sz="0" w:space="0" w:color="auto"/>
                <w:right w:val="none" w:sz="0" w:space="0" w:color="auto"/>
              </w:divBdr>
            </w:div>
            <w:div w:id="1140416197">
              <w:marLeft w:val="0"/>
              <w:marRight w:val="0"/>
              <w:marTop w:val="450"/>
              <w:marBottom w:val="0"/>
              <w:divBdr>
                <w:top w:val="none" w:sz="0" w:space="0" w:color="auto"/>
                <w:left w:val="none" w:sz="0" w:space="0" w:color="auto"/>
                <w:bottom w:val="none" w:sz="0" w:space="0" w:color="auto"/>
                <w:right w:val="none" w:sz="0" w:space="0" w:color="auto"/>
              </w:divBdr>
            </w:div>
            <w:div w:id="1583493768">
              <w:marLeft w:val="0"/>
              <w:marRight w:val="0"/>
              <w:marTop w:val="450"/>
              <w:marBottom w:val="0"/>
              <w:divBdr>
                <w:top w:val="none" w:sz="0" w:space="0" w:color="auto"/>
                <w:left w:val="none" w:sz="0" w:space="0" w:color="auto"/>
                <w:bottom w:val="none" w:sz="0" w:space="0" w:color="auto"/>
                <w:right w:val="none" w:sz="0" w:space="0" w:color="auto"/>
              </w:divBdr>
            </w:div>
            <w:div w:id="689187045">
              <w:marLeft w:val="0"/>
              <w:marRight w:val="0"/>
              <w:marTop w:val="450"/>
              <w:marBottom w:val="0"/>
              <w:divBdr>
                <w:top w:val="none" w:sz="0" w:space="0" w:color="auto"/>
                <w:left w:val="none" w:sz="0" w:space="0" w:color="auto"/>
                <w:bottom w:val="none" w:sz="0" w:space="0" w:color="auto"/>
                <w:right w:val="none" w:sz="0" w:space="0" w:color="auto"/>
              </w:divBdr>
            </w:div>
            <w:div w:id="1772814481">
              <w:marLeft w:val="0"/>
              <w:marRight w:val="0"/>
              <w:marTop w:val="450"/>
              <w:marBottom w:val="0"/>
              <w:divBdr>
                <w:top w:val="none" w:sz="0" w:space="0" w:color="auto"/>
                <w:left w:val="none" w:sz="0" w:space="0" w:color="auto"/>
                <w:bottom w:val="none" w:sz="0" w:space="0" w:color="auto"/>
                <w:right w:val="none" w:sz="0" w:space="0" w:color="auto"/>
              </w:divBdr>
            </w:div>
            <w:div w:id="987592487">
              <w:marLeft w:val="0"/>
              <w:marRight w:val="0"/>
              <w:marTop w:val="450"/>
              <w:marBottom w:val="0"/>
              <w:divBdr>
                <w:top w:val="none" w:sz="0" w:space="0" w:color="auto"/>
                <w:left w:val="none" w:sz="0" w:space="0" w:color="auto"/>
                <w:bottom w:val="none" w:sz="0" w:space="0" w:color="auto"/>
                <w:right w:val="none" w:sz="0" w:space="0" w:color="auto"/>
              </w:divBdr>
            </w:div>
            <w:div w:id="734399852">
              <w:marLeft w:val="0"/>
              <w:marRight w:val="0"/>
              <w:marTop w:val="450"/>
              <w:marBottom w:val="0"/>
              <w:divBdr>
                <w:top w:val="none" w:sz="0" w:space="0" w:color="auto"/>
                <w:left w:val="none" w:sz="0" w:space="0" w:color="auto"/>
                <w:bottom w:val="none" w:sz="0" w:space="0" w:color="auto"/>
                <w:right w:val="none" w:sz="0" w:space="0" w:color="auto"/>
              </w:divBdr>
            </w:div>
            <w:div w:id="19204842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2017-09-08T08:33:00Z</dcterms:created>
  <dcterms:modified xsi:type="dcterms:W3CDTF">2017-09-08T08:33:00Z</dcterms:modified>
</cp:coreProperties>
</file>