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062" w:rsidRPr="00EC6062" w:rsidRDefault="00504E18" w:rsidP="00EC6062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Arial"/>
          <w:b/>
          <w:bCs/>
          <w:color w:val="000000"/>
          <w:kern w:val="0"/>
          <w:sz w:val="42"/>
          <w:szCs w:val="42"/>
        </w:rPr>
      </w:pPr>
      <w:proofErr w:type="gramStart"/>
      <w:r>
        <w:rPr>
          <w:rFonts w:ascii="微软雅黑" w:eastAsia="微软雅黑" w:hAnsi="微软雅黑" w:cs="Arial"/>
          <w:b/>
          <w:bCs/>
          <w:color w:val="000000"/>
          <w:kern w:val="0"/>
          <w:sz w:val="42"/>
          <w:szCs w:val="42"/>
        </w:rPr>
        <w:t>s</w:t>
      </w:r>
      <w:proofErr w:type="gramEnd"/>
    </w:p>
    <w:p w:rsidR="00EC6062" w:rsidRPr="00EC6062" w:rsidRDefault="00EC6062" w:rsidP="00EC6062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  <w:r w:rsidRPr="00EC6062">
        <w:rPr>
          <w:rFonts w:ascii="Arial" w:eastAsia="宋体" w:hAnsi="Arial" w:cs="Arial"/>
          <w:color w:val="999999"/>
          <w:kern w:val="0"/>
          <w:sz w:val="20"/>
          <w:szCs w:val="20"/>
        </w:rPr>
        <w:t>和讯网</w:t>
      </w:r>
      <w:r w:rsidRPr="00EC6062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EC6062">
        <w:rPr>
          <w:rFonts w:ascii="Arial" w:eastAsia="宋体" w:hAnsi="Arial" w:cs="Arial"/>
          <w:color w:val="999999"/>
          <w:kern w:val="0"/>
          <w:sz w:val="20"/>
          <w:szCs w:val="20"/>
        </w:rPr>
        <w:t>09-12</w:t>
      </w:r>
      <w:r w:rsidRPr="00EC6062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EC6062">
        <w:rPr>
          <w:rFonts w:ascii="Arial" w:eastAsia="宋体" w:hAnsi="Arial" w:cs="Arial"/>
          <w:color w:val="999999"/>
          <w:kern w:val="0"/>
          <w:sz w:val="20"/>
          <w:szCs w:val="20"/>
        </w:rPr>
        <w:t>08:39</w:t>
      </w:r>
    </w:p>
    <w:p w:rsidR="00EC6062" w:rsidRPr="00EC6062" w:rsidRDefault="00EC6062" w:rsidP="00EC6062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灵活调整套保比率方能获得利润</w:t>
      </w:r>
    </w:p>
    <w:p w:rsidR="00EC6062" w:rsidRPr="00EC6062" w:rsidRDefault="00EC6062" w:rsidP="00EC606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C6062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96000" cy="3857625"/>
            <wp:effectExtent l="0" t="0" r="0" b="9525"/>
            <wp:docPr id="6" name="图片 6" descr="https://ss0.baidu.com/6ONWsjip0QIZ8tyhnq/it/u=2193759954,1529912579&amp;fm=173&amp;s=FE8B722348D17CC20E15D5CA0100E0B1&amp;w=640&amp;h=405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aidu.com/6ONWsjip0QIZ8tyhnq/it/u=2193759954,1529912579&amp;fm=173&amp;s=FE8B722348D17CC20E15D5CA0100E0B1&amp;w=640&amp;h=405&amp;im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062" w:rsidRPr="00EC6062" w:rsidRDefault="00EC6062" w:rsidP="00EC6062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A 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压榨价差与压榨利润</w:t>
      </w:r>
    </w:p>
    <w:p w:rsidR="00EC6062" w:rsidRPr="00EC6062" w:rsidRDefault="00EC6062" w:rsidP="00EC606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大豆被加工成两种产品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豆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粕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和豆油，这个加工过程被称为压榨。压榨价差是产品组合价值与大豆价值之差，用来衡量大豆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压榨厂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的利润。大豆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压榨厂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将压榨价差作为其对冲策略的一部分，同时投机者看重压榨价差的交易机会。</w:t>
      </w:r>
    </w:p>
    <w:p w:rsidR="00EC6062" w:rsidRPr="00EC6062" w:rsidRDefault="00EC6062" w:rsidP="00EC606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在压榨价差交易中，交易者在大豆期货上持有多单，而在豆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粕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期货和豆油期货上持有空单。价差的价值代表着大豆的压榨毛利。</w:t>
      </w:r>
    </w:p>
    <w:p w:rsidR="00EC6062" w:rsidRPr="00EC6062" w:rsidRDefault="00EC6062" w:rsidP="00EC606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CBOT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每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蒲式耳（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60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磅）大豆产出约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磅豆油、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48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磅含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44%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蛋白的豆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粕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及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磅下脚料。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DCE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的豆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粕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合约规定蛋白含量为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43%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或以上，说明其豆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粕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含有豆皮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（这种压榨与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CBOT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的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盘面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压榨不同，后者产出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44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磅含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48%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蛋白的豆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粕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磅豆皮与下脚料）。此外，出油率取决于不同的生长条件，这也影响压榨比率。以百分比论，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个单位大豆产出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80%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豆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粕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18.3%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豆油及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1.7%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的下脚料。为确定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个单位大豆的压榨利润，我们采用产品的百分比价值减去大豆价</w:t>
      </w:r>
      <w:bookmarkStart w:id="0" w:name="_GoBack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值：压榨利润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=80%×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豆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粕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+18.3%×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豆油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-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大豆（某些交易员为方便计算采用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20%</w:t>
      </w:r>
      <w:bookmarkEnd w:id="0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的豆油和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80%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的豆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粕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:rsidR="00EC6062" w:rsidRPr="00EC6062" w:rsidRDefault="00EC6062" w:rsidP="00EC606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我们运用上述公式对在中国销售的豆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粕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、豆油与从美国采购的大豆确定压榨利润。由于豆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粕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、豆油以人民币报价（元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吨），而大豆则以美元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蒲式耳报价，在计算压榨利润时，我们将大豆换算单位转换为元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吨。在撰写本文之时，两种货币的汇率为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美元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=6.6010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人民币（在岸人民币央行中间价）。我们在以下例子中使用这一汇率，采用以下公式将大豆当前价格从美元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蒲式耳转换为元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吨：大豆价格（元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吨）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=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大豆价格（美元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蒲式耳）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×36.7437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蒲式耳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×6.6010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EC6062" w:rsidRPr="00EC6062" w:rsidRDefault="00EC6062" w:rsidP="00EC606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采用这一公式，在美国以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9.35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美元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蒲式耳交易的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CBOT11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合约大豆相当于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2268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吨。</w:t>
      </w:r>
    </w:p>
    <w:p w:rsidR="00EC6062" w:rsidRPr="00EC6062" w:rsidRDefault="00EC6062" w:rsidP="00EC606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DCE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豆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粕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1801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合约价格为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2697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吨，豆油为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6296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吨，则压榨利润为：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2697×0.8+6296×0.183-2268=1042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吨。</w:t>
      </w:r>
    </w:p>
    <w:p w:rsidR="00EC6062" w:rsidRPr="00EC6062" w:rsidRDefault="00EC6062" w:rsidP="00EC606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请注意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此利润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中并未扣除运输费和加工费，它仅反映中国豆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粕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、豆油卖出价格与美国大豆买入价格之差。</w:t>
      </w:r>
    </w:p>
    <w:p w:rsidR="00EC6062" w:rsidRPr="00EC6062" w:rsidRDefault="00EC6062" w:rsidP="00EC606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B 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合约大小差异</w:t>
      </w:r>
    </w:p>
    <w:p w:rsidR="00EC6062" w:rsidRPr="00EC6062" w:rsidRDefault="00EC6062" w:rsidP="00EC606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从合约规模上看，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CBOT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大豆合约为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5000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蒲式耳，相当于约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136.1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吨；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DCE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豆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粕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与豆油合约各为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吨。使用上述百分比公式，则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136.1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吨大豆可产出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108.9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吨豆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粕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与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24.9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吨豆油。因此，为在大致等量基础上进行压榨，交易者在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CBOT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买入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手大豆合约，将需要在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DCE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卖出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手豆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粕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合约（合计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110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吨）和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手豆油合约（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20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吨）。这将使交易时在豆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粕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上略微对冲过度，而在豆油上略微对冲不足。</w:t>
      </w:r>
    </w:p>
    <w:p w:rsidR="00EC6062" w:rsidRPr="00EC6062" w:rsidRDefault="00EC6062" w:rsidP="00EC606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为使压榨利润更为准确，交易员可以在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CBOT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买入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手大豆合约（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272.2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吨），并在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DCE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卖出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22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手豆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粕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合约（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220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吨）及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手豆油合约（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50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吨）。压榨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272.2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吨大豆将产出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217.7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吨豆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粕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及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49.9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吨豆油（表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:rsidR="00EC6062" w:rsidRPr="00EC6062" w:rsidRDefault="00EC6062" w:rsidP="00EC606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在上述方案中，第二个方案更为准确地反映出实际的压榨比例，但其交易要求的成本较高，总体美元风险可能较大。更大的交易适用于更大的交易者，而较小的交易者会发现较小的比率更加适合其需求。另外，这里所用的比率并不一定反映任何特定企业的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理想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套期保值，这些仅是基于一般的压榨利润的例子。套期保值者应根据自身的需要对合约数量进行调整。对于投机者同样如此，做空压榨利润和做多压榨利润时，内外头寸的比例可能有很大区别的，本文的计算称之为完全压榨套利。</w:t>
      </w:r>
    </w:p>
    <w:p w:rsidR="00EC6062" w:rsidRPr="00EC6062" w:rsidRDefault="00EC6062" w:rsidP="00EC606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C6062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371975" cy="1771650"/>
            <wp:effectExtent l="0" t="0" r="9525" b="0"/>
            <wp:docPr id="5" name="图片 5" descr="https://ss0.baidu.com/6ONWsjip0QIZ8tyhnq/it/u=2199253665,1541621628&amp;fm=173&amp;s=8110EC328F8041495C4DE4CA0000E0B1&amp;w=459&amp;h=186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0.baidu.com/6ONWsjip0QIZ8tyhnq/it/u=2199253665,1541621628&amp;fm=173&amp;s=8110EC328F8041495C4DE4CA0000E0B1&amp;w=459&amp;h=186&amp;img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062" w:rsidRPr="00EC6062" w:rsidRDefault="00EC6062" w:rsidP="00EC6062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表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 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大豆压榨套利比较</w:t>
      </w:r>
    </w:p>
    <w:p w:rsidR="00EC6062" w:rsidRPr="00EC6062" w:rsidRDefault="00EC6062" w:rsidP="00EC606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C 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压榨比率套期保值</w:t>
      </w:r>
    </w:p>
    <w:p w:rsidR="00EC6062" w:rsidRPr="00EC6062" w:rsidRDefault="00EC6062" w:rsidP="00EC606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再看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月大豆压榨，即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CBOT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大豆合约与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DCE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豆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粕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合约及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DCE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豆油合约配对。这大约提供一个月的装运期和一个月的压榨期（表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:rsidR="00EC6062" w:rsidRPr="00EC6062" w:rsidRDefault="00EC6062" w:rsidP="00EC606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表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 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大豆及其产品期货价格</w:t>
      </w:r>
    </w:p>
    <w:p w:rsidR="00EC6062" w:rsidRPr="00EC6062" w:rsidRDefault="00EC6062" w:rsidP="00EC606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C6062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371975" cy="7496175"/>
            <wp:effectExtent l="0" t="0" r="9525" b="9525"/>
            <wp:docPr id="4" name="图片 4" descr="https://ss0.baidu.com/6ONWsjip0QIZ8tyhnq/it/u=2210240763,1546946402&amp;fm=173&amp;s=0DA2753391DF41CA12F5E5DA0000E0B1&amp;w=459&amp;h=787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0.baidu.com/6ONWsjip0QIZ8tyhnq/it/u=2210240763,1546946402&amp;fm=173&amp;s=0DA2753391DF41CA12F5E5DA0000E0B1&amp;w=459&amp;h=787&amp;img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062" w:rsidRPr="00EC6062" w:rsidRDefault="00EC6062" w:rsidP="00EC6062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表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3 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大豆压榨套期保值</w:t>
      </w:r>
    </w:p>
    <w:p w:rsidR="00EC6062" w:rsidRPr="00EC6062" w:rsidRDefault="00EC6062" w:rsidP="00EC606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在这种情景下，国内的某一大豆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压榨厂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在预期压榨某一数量的大豆时希望获得保障，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使其套期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保值利润在随后一个季度内免遭损失。他们计划在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月从美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国进口大豆，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12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月或之前卖出成品。作为对此利润损失的保障，该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压榨厂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通过买入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CBOT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大豆并卖出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DCE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豆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粕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及豆油来考虑进行压榨操作。他们可在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9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月做套期保值，当他们对美国大豆定价发运时解除其中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CBOT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大豆部分，而当他们卖出豆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粕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和豆油时解除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DCE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产品部分。</w:t>
      </w:r>
    </w:p>
    <w:p w:rsidR="00EC6062" w:rsidRPr="00EC6062" w:rsidRDefault="00EC6062" w:rsidP="00EC606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我们先用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这个比率。首先，让我们考虑如果压榨利润收窄时将会发生什么情况。在这些例子中，我们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作出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一些理论上的假设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即基差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与美元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人民币汇率保持不变（表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:rsidR="00EC6062" w:rsidRPr="00EC6062" w:rsidRDefault="00EC6062" w:rsidP="00EC606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在本例中，大豆及其产品价格自套期保值开始之后上涨，但由于大豆价格比豆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粕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与豆油的组合价值上涨更多，压榨利润下降。在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9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月至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12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月期间，压榨业务遭遇了加工利润下跌每吨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53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元的情况，等于每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136.1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吨（相当于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CBOT1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手大豆期货合约）净损失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7213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元。但通过运用套期保值，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压榨厂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在其期货头寸获得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8504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元的净收益，相当于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62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吨。</w:t>
      </w:r>
    </w:p>
    <w:p w:rsidR="00EC6062" w:rsidRPr="00EC6062" w:rsidRDefault="00EC6062" w:rsidP="00EC606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要注意，期货收益略高于现货市场的损失，这主要是由于合约大小的差异。该套期保值只涵盖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20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吨豆油，仅为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压榨厂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现货头寸敞口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24.9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吨的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80%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。市场情况（价格上涨）意味着套期保值的多头一边（在本例中即是大豆头寸）获得收益，而套期保值的空头一边（豆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粕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和豆油）出现下跌。由于套期保值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100%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覆盖大豆，套期保值者实际从这里获益。正如我们在下例中所看到的，若价格不涨反跌，则套期保值者可能发现套期保值的不精确对其不利。套期保值规模越大，则其表现与现货市场越密切，例如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22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的比率。下面让我们来看看在相同时间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段利润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增加的情况下相同套期保值的表现（表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:rsidR="00EC6062" w:rsidRPr="00EC6062" w:rsidRDefault="00EC6062" w:rsidP="00EC606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在本例中，大豆及其产品价格自套期保值开始之后下跌，但由于大豆价格比豆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粕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与豆油的组合价值下跌更多，压榨利润增加。在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9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月至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12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月期间，压榨业务出现了加工利润增长每吨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40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元的情况，等于每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136.1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吨（相当于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CBOT1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手大豆期货合约）净收益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5444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元。但通过运用套期保值，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压榨厂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在其期货头寸承受了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8264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元的净损失，相当于压榨利润下跌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60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元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吨。</w:t>
      </w:r>
    </w:p>
    <w:p w:rsidR="00EC6062" w:rsidRPr="00EC6062" w:rsidRDefault="00EC6062" w:rsidP="00EC606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注意期货损失略微高于现货市场收益。如第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例，这主要是因为豆油期货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头寸仅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覆盖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80%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的现货头寸，受限于套期保值的规模大小。</w:t>
      </w:r>
    </w:p>
    <w:p w:rsidR="00EC6062" w:rsidRPr="00EC6062" w:rsidRDefault="00EC6062" w:rsidP="00EC606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正如我们已经注意到的，使用该套期保值对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现实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的压榨有所不足。该套期保值使用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手（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5000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蒲式耳或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136.1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吨）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CBOT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大豆合约对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手（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吨）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DCE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豆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粕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合约及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手（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吨）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DCE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豆油合约是基于一个近似的压榨比率：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5000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蒲式耳大豆可榨出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108.9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吨含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44%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蛋白的豆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粕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及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24.9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吨豆油。同样重要的是必须认识到没有十全十美套保工具。此处未考虑其他因素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例如基差与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货币风险，它们也将影响压榨套期保值成功与否。</w:t>
      </w:r>
    </w:p>
    <w:p w:rsidR="00EC6062" w:rsidRPr="00EC6062" w:rsidRDefault="00EC6062" w:rsidP="00EC606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C6062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371975" cy="7096125"/>
            <wp:effectExtent l="0" t="0" r="9525" b="9525"/>
            <wp:docPr id="3" name="图片 3" descr="https://ss0.baidu.com/6ONWsjip0QIZ8tyhnq/it/u=2226721653,1568503556&amp;fm=173&amp;s=BC207433119F45C816D5D5DA0000E0B1&amp;w=459&amp;h=745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s0.baidu.com/6ONWsjip0QIZ8tyhnq/it/u=2226721653,1568503556&amp;fm=173&amp;s=BC207433119F45C816D5D5DA0000E0B1&amp;w=459&amp;h=745&amp;img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062" w:rsidRPr="00EC6062" w:rsidRDefault="00EC6062" w:rsidP="00EC6062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表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4 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大豆压榨套期保值</w:t>
      </w:r>
    </w:p>
    <w:p w:rsidR="00EC6062" w:rsidRPr="00EC6062" w:rsidRDefault="00EC6062" w:rsidP="00EC606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D 2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22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压榨比率套期保值</w:t>
      </w:r>
    </w:p>
    <w:p w:rsidR="00EC6062" w:rsidRPr="00EC6062" w:rsidRDefault="00EC6062" w:rsidP="00EC606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采用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22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压榨比率进行套期保值现在让我们看看较大规模、较为精确的压榨套期保值，例如在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CBOT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买入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手大豆合约并在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DCE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卖出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22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手豆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粕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合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约及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手豆油合约。这一套期保值一次涵盖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10,000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蒲式耳或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272.2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吨的压榨。首先来看看压榨利润减少的情形（表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:rsidR="00EC6062" w:rsidRPr="00EC6062" w:rsidRDefault="00EC6062" w:rsidP="00EC606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C6062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886325" cy="6762750"/>
            <wp:effectExtent l="0" t="0" r="9525" b="0"/>
            <wp:docPr id="2" name="图片 2" descr="https://ss0.baidu.com/6ONWsjip0QIZ8tyhnq/it/u=2232215040,1562119281&amp;fm=173&amp;s=A9A6713289DF45CA0EF5D5DA0000C0B1&amp;w=513&amp;h=710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s0.baidu.com/6ONWsjip0QIZ8tyhnq/it/u=2232215040,1562119281&amp;fm=173&amp;s=A9A6713289DF45CA0EF5D5DA0000C0B1&amp;w=513&amp;h=710&amp;img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062" w:rsidRPr="00EC6062" w:rsidRDefault="00EC6062" w:rsidP="00EC6062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表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5 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大豆压榨套期保值</w:t>
      </w:r>
    </w:p>
    <w:p w:rsidR="00EC6062" w:rsidRPr="00EC6062" w:rsidRDefault="00EC6062" w:rsidP="00EC606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在本例中，压榨利润下跌每吨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53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元的情况，等于每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272.2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吨（相当于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CBOT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两手大豆期货合约）净损失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14427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元。但通过运用套期保值，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压榨厂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在其期货头寸获得每吨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51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元或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14108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元的净收益。本例中期货抵消比以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比率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的套期保值更接近于现货一边的损失，这表示套期保值利润更接近套期保值建立当日的初始现货利润。现在让我们考虑利润增加的情形（表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6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:rsidR="00EC6062" w:rsidRPr="00EC6062" w:rsidRDefault="00EC6062" w:rsidP="00EC6062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C6062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895850" cy="6629400"/>
            <wp:effectExtent l="0" t="0" r="0" b="0"/>
            <wp:docPr id="1" name="图片 1" descr="https://ss0.baidu.com/6ONWsjip0QIZ8tyhnq/it/u=2237708751,1573828330&amp;fm=173&amp;s=98207532510F414D1EDDE5CA0000E0B2&amp;w=514&amp;h=696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s0.baidu.com/6ONWsjip0QIZ8tyhnq/it/u=2237708751,1573828330&amp;fm=173&amp;s=98207532510F414D1EDDE5CA0000E0B2&amp;w=514&amp;h=696&amp;img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062" w:rsidRPr="00EC6062" w:rsidRDefault="00EC6062" w:rsidP="00EC6062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表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6 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大豆压榨套期保值</w:t>
      </w:r>
    </w:p>
    <w:p w:rsidR="00EC6062" w:rsidRPr="00EC6062" w:rsidRDefault="00EC6062" w:rsidP="00EC606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在本例中，</w:t>
      </w:r>
      <w:proofErr w:type="gramStart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压榨厂</w:t>
      </w:r>
      <w:proofErr w:type="gramEnd"/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现货头寸获利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12248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元，被期货上损失抵消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13228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元。由于交易了更大数量的合约，这一套期保值比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11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比率的套期保值更贴近地反映了现货市场头寸的情况。</w:t>
      </w:r>
    </w:p>
    <w:p w:rsidR="00EC6062" w:rsidRPr="00EC6062" w:rsidRDefault="00EC6062" w:rsidP="00EC6062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 xml:space="preserve">　　通过以上几个简单例子可以看出，进行内外压榨套利时，并不是机械地进行完全套保，需要考虑的因素是多方面的，包括汇率、基差，另外套保的比率也至关重要。在特定的时间段，必须要对未来的压榨利润可能会好转还是恶化进行预判，否则难以通过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CBOT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DCE</w:t>
      </w:r>
      <w:r w:rsidRPr="00EC6062">
        <w:rPr>
          <w:rFonts w:ascii="Arial" w:eastAsia="宋体" w:hAnsi="Arial" w:cs="Arial"/>
          <w:color w:val="333333"/>
          <w:kern w:val="0"/>
          <w:sz w:val="24"/>
          <w:szCs w:val="24"/>
        </w:rPr>
        <w:t>的套保获得收益。</w:t>
      </w:r>
    </w:p>
    <w:p w:rsidR="003D151D" w:rsidRPr="00EC6062" w:rsidRDefault="00504E18"/>
    <w:sectPr w:rsidR="003D151D" w:rsidRPr="00EC6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21"/>
    <w:rsid w:val="00470007"/>
    <w:rsid w:val="00504E18"/>
    <w:rsid w:val="005A6221"/>
    <w:rsid w:val="00B84CFD"/>
    <w:rsid w:val="00BB47E2"/>
    <w:rsid w:val="00EC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B8908-C13B-4DD7-85AC-AFE3D39E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C60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C606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source">
    <w:name w:val="source"/>
    <w:basedOn w:val="a0"/>
    <w:rsid w:val="00EC6062"/>
  </w:style>
  <w:style w:type="character" w:customStyle="1" w:styleId="date">
    <w:name w:val="date"/>
    <w:basedOn w:val="a0"/>
    <w:rsid w:val="00EC6062"/>
  </w:style>
  <w:style w:type="character" w:customStyle="1" w:styleId="time">
    <w:name w:val="time"/>
    <w:basedOn w:val="a0"/>
    <w:rsid w:val="00EC6062"/>
  </w:style>
  <w:style w:type="paragraph" w:styleId="a3">
    <w:name w:val="Normal (Web)"/>
    <w:basedOn w:val="a"/>
    <w:uiPriority w:val="99"/>
    <w:semiHidden/>
    <w:unhideWhenUsed/>
    <w:rsid w:val="00EC60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7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47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56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906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37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51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71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53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2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gxy</dc:creator>
  <cp:keywords/>
  <dc:description/>
  <cp:lastModifiedBy>gxy</cp:lastModifiedBy>
  <cp:revision>4</cp:revision>
  <dcterms:created xsi:type="dcterms:W3CDTF">2017-09-12T00:45:00Z</dcterms:created>
  <dcterms:modified xsi:type="dcterms:W3CDTF">2017-09-12T01:53:00Z</dcterms:modified>
</cp:coreProperties>
</file>