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95" w:rsidRPr="00D95195" w:rsidRDefault="00D95195" w:rsidP="00D95195">
      <w:pPr>
        <w:widowControl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4"/>
          <w:szCs w:val="54"/>
        </w:rPr>
      </w:pPr>
      <w:bookmarkStart w:id="0" w:name="_GoBack"/>
      <w:r w:rsidRPr="00D95195"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基于季节性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的热卷与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螺纹钢套利机会分析</w:t>
      </w:r>
    </w:p>
    <w:bookmarkEnd w:id="0"/>
    <w:p w:rsidR="00D95195" w:rsidRPr="00D95195" w:rsidRDefault="00D95195" w:rsidP="00D95195">
      <w:pPr>
        <w:widowControl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95195">
        <w:rPr>
          <w:rFonts w:ascii="微软雅黑" w:eastAsia="微软雅黑" w:hAnsi="微软雅黑" w:cs="宋体" w:hint="eastAsia"/>
          <w:color w:val="666666"/>
          <w:kern w:val="0"/>
          <w:szCs w:val="21"/>
        </w:rPr>
        <w:t>2017-01-18 07:54:07 </w:t>
      </w:r>
      <w:hyperlink r:id="rId4" w:tgtFrame="_blank" w:history="1">
        <w:proofErr w:type="gramStart"/>
        <w:r w:rsidRPr="00D95195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和讯网</w:t>
        </w:r>
        <w:proofErr w:type="gramEnd"/>
      </w:hyperlink>
      <w:r w:rsidRPr="00D95195">
        <w:rPr>
          <w:rFonts w:ascii="微软雅黑" w:eastAsia="微软雅黑" w:hAnsi="微软雅黑" w:cs="宋体" w:hint="eastAsia"/>
          <w:color w:val="666666"/>
          <w:kern w:val="0"/>
          <w:szCs w:val="21"/>
        </w:rPr>
        <w:t>  信达期货 韩飞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    二者虽分属不同品种，却存有很强的相关性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A 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热卷和</w:t>
      </w:r>
      <w:proofErr w:type="gramEnd"/>
      <w:r w:rsidRPr="00D95195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D95195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"http://futures.hexun.com/steel/" \t "_blank" </w:instrText>
      </w:r>
      <w:r w:rsidRPr="00D95195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D95195">
        <w:rPr>
          <w:rFonts w:ascii="微软雅黑" w:eastAsia="微软雅黑" w:hAnsi="微软雅黑" w:cs="宋体" w:hint="eastAsia"/>
          <w:color w:val="485A90"/>
          <w:kern w:val="0"/>
          <w:sz w:val="24"/>
          <w:szCs w:val="24"/>
        </w:rPr>
        <w:t>螺纹钢</w:t>
      </w:r>
      <w:r w:rsidRPr="00D95195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的区别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hyperlink r:id="rId5" w:tgtFrame="_blank" w:history="1">
        <w:r w:rsidRPr="00D95195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钢材</w:t>
        </w:r>
      </w:hyperlink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应用广泛、品种繁多，按成品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材特点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可分为建材、管材、板材和型材四类。建材主要包括螺纹钢、</w:t>
      </w:r>
      <w:hyperlink r:id="rId6" w:tgtFrame="_blank" w:history="1">
        <w:r w:rsidRPr="00D95195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线材</w:t>
        </w:r>
      </w:hyperlink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、盘螺、圆钢；管材主要包括无缝管、焊管；板材主要包括冷、热轧板/卷、中厚板、彩涂板、硅钢、带钢；型材主要包括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工角槽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、H型钢、方钢、扁钢、球扁钢。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从生产工艺来看，一般长流程钢材的加工过程为：高炉炼铁、转炉炼钢，最后通过轧机轧制为成材。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螺纹钢是以方坯为原料，由小型轧机生产的带肋钢筋，主要用于</w:t>
      </w:r>
      <w:hyperlink r:id="rId7" w:tgtFrame="_blank" w:history="1">
        <w:r w:rsidRPr="00D95195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房地产</w:t>
        </w:r>
      </w:hyperlink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、基建，包括房屋、桥梁、道路等土建工程建设等公用设施。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而热轧卷板是以板坯为原料，经加热炉加热后由粗轧机组及精轧机组轧制成的带钢，一般包括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中厚宽钢带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热轧薄宽钢带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和热轧薄板，用于冷轧轧机、汽车、船舶等制造行业，而汽车用钢中冷轧和热轧又占据较大比例，所以可以将汽车产销作为代表热轧下游需求变化的一个重要指标。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B 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</w:t>
      </w:r>
      <w:hyperlink r:id="rId8" w:tgtFrame="_blank" w:history="1">
        <w:r w:rsidRPr="00D95195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现货</w:t>
        </w:r>
      </w:hyperlink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价差的季节性规律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从生产成本来看，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由于热卷生产线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相比螺纹钢生产线具有投入大、轧制成本高及设备维护费高的特点，一般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认为热卷要比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螺纹钢成本高200—300元/吨。但从历年现货的表现来看，两个品种的价差并没有表现出成本差值的恒定约束。</w:t>
      </w: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33875" cy="2447925"/>
            <wp:effectExtent l="0" t="0" r="9525" b="9525"/>
            <wp:docPr id="5" name="图片 5" descr="图为热卷/螺纹钢现货价差历史走势(单位：元/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为热卷/螺纹钢现货价差历史走势(单位：元/吨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图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为热卷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/螺纹钢现货价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差历史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走势(单位：元/吨)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现货层面，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价差存在很大的弹性，低点可以在-400至-300点的区间波动，高点最大价差可以触及500点，上下极值约有900点的波动区间。从这一层面来看，较大的波动区间似乎为我们创造了可进行套利的基础条件。进一步地，我们试着对现货价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差数据做季节性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分析，以期发现某些更具体的规律。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数据涵盖了2007—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2016年热卷和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螺纹钢的表现，数据时间段内包含了2007—2010年的牛熊结构转换、2011—2015年钢材的漫漫熊市，较好地区分了钢材牛熊市不同市场结构下的季节性差异。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通过观察，我们很容易发现一些比较明显的季节性特征：第一，每年的11月上旬至次年元旦，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螺纹钢现货价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差存在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明显的向上驱动，价差整体上有个由低走高的过程，个别年份价差高点会持续到次年3月。</w:t>
      </w: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52925" cy="2695575"/>
            <wp:effectExtent l="0" t="0" r="9525" b="9525"/>
            <wp:docPr id="4" name="图片 4" descr="图为热卷与螺纹钢的季节性（单位：元/吨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为热卷与螺纹钢的季节性（单位：元/吨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螺纹钢的季节性（单位：元/吨）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从时间点来看，每年的11月上旬至次年元旦，这个时间段恰恰对应汽车产销量走高到峰值，而螺纹钢需求减弱的动态期，二者共同驱动下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使得热卷与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螺纹钢价差有个明显走高的过程。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从数值的相对强弱来看，除了2010年，其他年份该时间段内价差的走高都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对应热卷要比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螺纹钢表现出色：以2011年作为区分点，2011年之前主要表现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为热卷螺纹钢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齐涨，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热卷比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螺纹钢涨势更好；2011—2015年，钢材进入熊市结构后，热卷在该时间段内仍表现为上涨，但螺纹钢却表现为下跌，价差也呈现走高趋势；2016年则再度表现为二者同步走高下的价差扩大。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第二，每年的5月上旬至6月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上旬热卷与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价差整体表现上有一轮走高的过程，或和梅雨季节预期有关，梅雨季节对建筑用钢螺纹钢的影响较大，特别是在熊市结构中，比如2011—2015年，这一季节性效应会突显，加入2011年之前的上涨年份后则效果淡化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第三，关于统计异常点的解释：包括历史极值和骤然变化。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螺纹钢现货价差在2008年四季度创出新低、2016年创出新高；比较明显的短时回落则出现在2009年1—2月及2013年2月。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螺纹钢现货价差波动范围大致集中在-400至500点的区间内，而2008年四季度却创出了接近-800点的历史极值，主要是由于金融危机带来的连锁反应。而2016年价差创出历史新高，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得益于热卷基本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面持续好于螺纹钢，2015年年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底汽车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购置税的减半使得汽车产销量表现异军突起，数据表现明显好于往年，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热卷紧张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程度高于螺纹钢。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对于短时骤然回落的解释：其一是2009年1—2月，其二是2013年2月，两次价差的回落皆是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由于热卷大幅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下跌所致。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表为两次价差的骤然回落（单位：元/吨）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总体来看，我们发现一年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之中热卷与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现货价差会出现两次比较明显的季节性驱动：一是每年的11月上旬至次年1月，该行情可能会延续至3月，确定性较强；二是表现在每年5—6月的梅雨季节预期可能导致的价差走高，在钢材熊市中这一效果表现更为明显。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现货角度如此，那么</w:t>
      </w:r>
      <w:hyperlink r:id="rId11" w:tgtFrame="_blank" w:history="1">
        <w:r w:rsidRPr="00D95195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期货</w:t>
        </w:r>
      </w:hyperlink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盘面又如何表现呢？我们试着做进一步分析。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C 盘面价差表现行为归纳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从现货价差的季节性角度，我们认为一年可能有比较明显的两次机会供我们把握，分别在每年11月至次年1月以及5—6月，由于这两个时间段对应的期货主力合约也不一致，我们对一年中的三个主力合约做综合分析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热卷合约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上市时间为2014年3月21日，合约数目较少，我们试着对照现货，以期找出一些不完全统计规律。对照现货，我们较容易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发现热卷与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螺纹钢盘面价差表现的一些特征：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一是与现货表现相同的是：对于1月及5月合约，11月至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次年1月热卷与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螺纹钢价差确实表现出走高的过程，与现货表现存较好的契合性。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二是与现货表现不同的是：现货每年1月的价差高点可能持续至3月，但期货盘面在1月左右即出现明显的拐点并开始回落，体现在5月及10月合约上；现货每年5—6月的价差走高并没有在1月及10月合约上明显体现出来，作为交易机会的可挖掘性不大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三是单独抽出临近交割因素来看，临近交割月，如交割月前一月至一个半月，易出现价差走高的现象，这一特征在1月、5月及10月合约上均有表现。这和参与交割后，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热卷接货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后要比螺纹钢更容易处理有一定关系，但同时临近交割月后，影响价差走势的干扰因素也变多。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总体来看，首先，无论是现货还是期货，每年的11月至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次年1月热卷与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价差走高是逻辑线比较清晰的，是一年中可以把握的首要机会。其次，由不完全统计，每年的1月后如果远期合约价差在高点，往往对应年中的统计相对高点，可以尝试沽空远月价差，但是一定要考虑止损的设置。最后，当每个合约临近交割时，盘面价差易出现走高的情形，这与螺纹钢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和热卷的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交割规则设置存在较大关系，拥有交割实力的现货贸易投资者能更好地把握机会。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43400" cy="2343150"/>
            <wp:effectExtent l="0" t="0" r="0" b="0"/>
            <wp:docPr id="3" name="图片 3" descr="基于季节性的热卷与螺纹钢套利机会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基于季节性的热卷与螺纹钢套利机会分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　　</w:t>
      </w: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371975" cy="4972050"/>
            <wp:effectExtent l="0" t="0" r="9525" b="0"/>
            <wp:docPr id="2" name="图片 2" descr="图为1月、5月及10月合约热卷与螺纹钢盘面价差季节性（单位：元/吨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为1月、5月及10月合约热卷与螺纹钢盘面价差季节性（单位：元/吨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图为1月、5月及10月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合约热卷与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螺纹钢盘面价差季节性（单位：元/吨）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　　D 策略构建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　　季节性视角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机会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：从上文的分析可以看出，一年中首要把握的机会是每年的11月至次年的1月，三个主力合约上均可建仓。从历次的盘面价差走势上来看，该时间段内起点有高有低。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在该情形下，我们主要倚重的逻辑是基本面驱动及盘面交割因素（体现在1月合约上），对于一个完整策略的构建，我们首先确定了时间段，时间区间及涨幅可以作为止盈的参考依据，再要考虑的是止损的设置。由于该时间段内做多价差，历次盘面无一出现亏损，我们可以考虑从总资金角度止损，建议单笔止损放置在总资金的2%—4%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机会二：从盘面的季节性表现来看，每年的元旦以后，是可以考虑的沽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空热卷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与螺纹钢价差的机会。以历次的盘面价差走势来看，对应的5月及10月合约在1月初基本对应年内相对高点。</w:t>
      </w: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743325" cy="2819400"/>
            <wp:effectExtent l="0" t="0" r="9525" b="0"/>
            <wp:docPr id="1" name="图片 1" descr="表为1—2月5月及10月合约热卷与螺纹钢价差表现（单位：元/吨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表为1—2月5月及10月合约热卷与螺纹钢价差表现（单位：元/吨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95" w:rsidRPr="00D95195" w:rsidRDefault="00D95195" w:rsidP="00D95195">
      <w:pPr>
        <w:widowControl/>
        <w:spacing w:line="51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表为1—2月5月及10月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合约热卷与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螺纹钢价差表现（单位：元/吨）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机会三：提前交割日1.5—2个月，考虑做多临近交割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合约热卷与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螺纹钢价差。临近交割月前的价差走高，由于螺纹钢接货存在较大的不确定性，面临规格及品牌认可度的问题，导致交割时往往存在大幅贴水，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而热卷规格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则相对更</w:t>
      </w: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为简单，临近交割，拥有现货贸易渠道的投资者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对接热卷接货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有较少顾忌，也为他们做多热卷与螺纹钢盘面价差提供了更多的优势。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统计套利视角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如果从基本面季节性的视角来决定该套利交易，存在的缺陷是较为明显的，一是基于基本面可挖掘的套利次数较少，年内可挖掘的仅有3—4次，这对于高频交易的投资者是不能满足的；二是对于盈亏止损的设置仍存在着较强的模糊性。我们试图从统计套利的角度，对以上两点进行补充：一是挖掘更多的交易机会，二是辅助我们更好地考虑出入场及止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损设置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问题。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我们采集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螺纹钢合约盘面价差的历史数据，分别对1月、5月及10月合约价差数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据分别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做了正态分布模拟统计，发现单个合约呈现以下特征：如果以5%作为小概率事件发生的临界点，对于1月合约，盘面价差小于-30点或大于390点，进入小概率事件发生区间；对于5月合约，盘面价差值出现概率小于5%对应的情形区间是小于20点或大于340点；对于10月合约，盘面价差值出现概率小于5%对应的情形区间是小于-30点或大于370点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所以，根据统计规律，一般认为：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螺纹钢盘面价差进入0值附近时是做多该价差的较佳时机，结合盘面止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损可以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设置50—100个点。盘面价差达到340—390点以上区间时，出现概率小于5%；进入400点以上区间时，整体概率小于3%。因此进入400点以上区间时，可尝试沽空，结合盘面来看，</w:t>
      </w: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目标价差可看至100—150点附近，参照历史价差极值600个点，可设置200个点的止损。</w:t>
      </w:r>
    </w:p>
    <w:p w:rsidR="00D95195" w:rsidRPr="00D95195" w:rsidRDefault="00D95195" w:rsidP="00D95195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因此，从统计的角度来看，做多该价差要比做空该价差更好把握，但机会较少；做空价差则要面临更大的止损弹性，可考虑适当上移入场区间，以降低极端行情带来的亏损的幅度，如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在热卷上涨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存在更为明显的基本面驱动时。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E 启示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统计套利的基础是完全依据对历史数据的统计分析，那么这里存在一个悖论，即历史数据反映过去，能不能预测未来？过去所发生的，在未来并不一定会发生，但是如果不去依靠历史，我们对未来也将一无所知。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因此，对待历史数据我们应该持有正确的态度，不能是看到历史数据的局限性而弃之不用，而是在挖掘历史数据信息的同时，对照当下基本面信息以应对它的局限性，形成更为可靠的交易策略，这也是我们追求的最终目标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从现货层面来看，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螺纹钢价差存在很大的弹性，高低约有900点的波动区间，这为我们创造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螺纹钢之间套利的基础条件。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从现货角度，每年的11月上旬至次年1月，对应汽车产销量走高到峰值，而螺纹钢需求减弱的动态期，二者共同驱动下使得价差有个明显走高的过程，个别年份价差高点会持续到次年3月。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从盘面价差角度我们发现，无论是现货还是期货，每年的11月至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次年热卷与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螺纹钢价差走高是逻辑线比较清晰的，是一年中可以把握的首要机会。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期货盘面在1月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左右远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月合约即出现明显的拐点并开始回落，这与现货每年1月的价差高点可能持续至3月不同。该时点也往往对应年中的统计相对高点，可以尝试沽空远月价差。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单独抽出临近交割因素来看，临近交割月，如交割月前一月至一个半月，易出现价差走高的现象。这与螺纹钢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和热卷的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交割规则设置存在较大关系，拥有交割实力的现货贸易投资者能更好地把握机会。</w:t>
      </w:r>
    </w:p>
    <w:p w:rsidR="00D95195" w:rsidRPr="00D95195" w:rsidRDefault="00D95195" w:rsidP="00D95195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从统计特征来看，一般认为：</w:t>
      </w:r>
      <w:proofErr w:type="gramStart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热卷与</w:t>
      </w:r>
      <w:proofErr w:type="gramEnd"/>
      <w:r w:rsidRPr="00D9519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螺纹钢盘面价差进入0值附近时是做多该价差的较佳时机，结合盘面止损可设置50—100个点；盘面价差进入季节性相对高位后，如1705合约进入400点以上区间时（概率小于3%），可尝试沽空策略，结合盘面来看，目标价差可看至100—150点附近，参照历史价差极值和基本面信息可考虑适当移动入场区间，以降低极端行情带来的亏损幅度。</w:t>
      </w:r>
    </w:p>
    <w:p w:rsidR="003D151D" w:rsidRPr="00D95195" w:rsidRDefault="00D95195"/>
    <w:sectPr w:rsidR="003D151D" w:rsidRPr="00D95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11"/>
    <w:rsid w:val="00950811"/>
    <w:rsid w:val="00B84CFD"/>
    <w:rsid w:val="00BB47E2"/>
    <w:rsid w:val="00D9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1ABA7-DC82-4D5A-A034-A9C3C4C4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51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51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20">
    <w:name w:val="pr20"/>
    <w:basedOn w:val="a0"/>
    <w:rsid w:val="00D95195"/>
  </w:style>
  <w:style w:type="character" w:styleId="a3">
    <w:name w:val="Hyperlink"/>
    <w:basedOn w:val="a0"/>
    <w:uiPriority w:val="99"/>
    <w:semiHidden/>
    <w:unhideWhenUsed/>
    <w:rsid w:val="00D95195"/>
    <w:rPr>
      <w:color w:val="0000FF"/>
      <w:u w:val="single"/>
    </w:rPr>
  </w:style>
  <w:style w:type="character" w:styleId="a4">
    <w:name w:val="Strong"/>
    <w:basedOn w:val="a0"/>
    <w:uiPriority w:val="22"/>
    <w:qFormat/>
    <w:rsid w:val="00D95195"/>
    <w:rPr>
      <w:b/>
      <w:bCs/>
    </w:rPr>
  </w:style>
  <w:style w:type="paragraph" w:styleId="a5">
    <w:name w:val="Normal (Web)"/>
    <w:basedOn w:val="a"/>
    <w:uiPriority w:val="99"/>
    <w:semiHidden/>
    <w:unhideWhenUsed/>
    <w:rsid w:val="00D951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6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huo.hexun.com/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jingzhi.funds.hexun.com/160628.shtml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utures.hexun.com/xc1/index.html" TargetMode="External"/><Relationship Id="rId11" Type="http://schemas.openxmlformats.org/officeDocument/2006/relationships/hyperlink" Target="http://futures.hexun.com/" TargetMode="External"/><Relationship Id="rId5" Type="http://schemas.openxmlformats.org/officeDocument/2006/relationships/hyperlink" Target="http://futures.hexun.com/steel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hyperlink" Target="http://www.hexun.com/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gxy</cp:lastModifiedBy>
  <cp:revision>2</cp:revision>
  <dcterms:created xsi:type="dcterms:W3CDTF">2017-11-23T03:27:00Z</dcterms:created>
  <dcterms:modified xsi:type="dcterms:W3CDTF">2017-11-23T03:28:00Z</dcterms:modified>
</cp:coreProperties>
</file>