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F54" w:rsidRPr="00453F54" w:rsidRDefault="00453F54" w:rsidP="00453F54">
      <w:pPr>
        <w:widowControl/>
        <w:shd w:val="clear" w:color="auto" w:fill="EEEEEE"/>
        <w:jc w:val="left"/>
        <w:rPr>
          <w:rFonts w:ascii="微软雅黑" w:eastAsia="微软雅黑" w:hAnsi="微软雅黑" w:cs="宋体"/>
          <w:b/>
          <w:bCs/>
          <w:color w:val="444444"/>
          <w:kern w:val="0"/>
          <w:sz w:val="36"/>
          <w:szCs w:val="36"/>
        </w:rPr>
      </w:pPr>
      <w:bookmarkStart w:id="0" w:name="_GoBack"/>
      <w:r w:rsidRPr="00453F54">
        <w:rPr>
          <w:rFonts w:ascii="微软雅黑" w:eastAsia="微软雅黑" w:hAnsi="微软雅黑" w:cs="宋体" w:hint="eastAsia"/>
          <w:b/>
          <w:bCs/>
          <w:color w:val="444444"/>
          <w:kern w:val="0"/>
          <w:sz w:val="36"/>
          <w:szCs w:val="36"/>
        </w:rPr>
        <w:t>铁合金龙头，钢价高位+产品供需格局改善共助公司业绩腾飞</w:t>
      </w:r>
    </w:p>
    <w:bookmarkEnd w:id="0"/>
    <w:p w:rsidR="00453F54" w:rsidRPr="00453F54" w:rsidRDefault="00453F54" w:rsidP="00453F54">
      <w:pPr>
        <w:widowControl/>
        <w:shd w:val="clear" w:color="auto" w:fill="EEEEEE"/>
        <w:jc w:val="left"/>
        <w:rPr>
          <w:rFonts w:ascii="宋体" w:eastAsia="宋体" w:hAnsi="宋体" w:cs="宋体" w:hint="eastAsia"/>
          <w:color w:val="444444"/>
          <w:kern w:val="0"/>
          <w:sz w:val="18"/>
          <w:szCs w:val="18"/>
        </w:rPr>
      </w:pPr>
      <w:r w:rsidRPr="00453F54">
        <w:rPr>
          <w:rFonts w:ascii="宋体" w:eastAsia="宋体" w:hAnsi="宋体" w:cs="宋体" w:hint="eastAsia"/>
          <w:color w:val="444444"/>
          <w:kern w:val="0"/>
          <w:sz w:val="18"/>
          <w:szCs w:val="18"/>
        </w:rPr>
        <w:t>所属机构：</w:t>
      </w:r>
    </w:p>
    <w:p w:rsidR="00453F54" w:rsidRPr="00453F54" w:rsidRDefault="00453F54" w:rsidP="00453F54">
      <w:pPr>
        <w:widowControl/>
        <w:shd w:val="clear" w:color="auto" w:fill="EEEEEE"/>
        <w:ind w:left="720"/>
        <w:jc w:val="left"/>
        <w:rPr>
          <w:rFonts w:ascii="宋体" w:eastAsia="宋体" w:hAnsi="宋体" w:cs="宋体" w:hint="eastAsia"/>
          <w:color w:val="2591DC"/>
          <w:kern w:val="0"/>
          <w:sz w:val="18"/>
          <w:szCs w:val="18"/>
        </w:rPr>
      </w:pPr>
      <w:r w:rsidRPr="00453F54">
        <w:rPr>
          <w:rFonts w:ascii="宋体" w:eastAsia="宋体" w:hAnsi="宋体" w:cs="宋体" w:hint="eastAsia"/>
          <w:color w:val="2591DC"/>
          <w:kern w:val="0"/>
          <w:sz w:val="18"/>
          <w:szCs w:val="18"/>
        </w:rPr>
        <w:t>华创证券</w:t>
      </w:r>
    </w:p>
    <w:p w:rsidR="00453F54" w:rsidRPr="00453F54" w:rsidRDefault="00453F54" w:rsidP="00453F54">
      <w:pPr>
        <w:widowControl/>
        <w:shd w:val="clear" w:color="auto" w:fill="EEEEEE"/>
        <w:jc w:val="left"/>
        <w:rPr>
          <w:rFonts w:ascii="宋体" w:eastAsia="宋体" w:hAnsi="宋体" w:cs="宋体" w:hint="eastAsia"/>
          <w:color w:val="444444"/>
          <w:kern w:val="0"/>
          <w:sz w:val="18"/>
          <w:szCs w:val="18"/>
        </w:rPr>
      </w:pPr>
      <w:proofErr w:type="gramStart"/>
      <w:r w:rsidRPr="00453F54">
        <w:rPr>
          <w:rFonts w:ascii="宋体" w:eastAsia="宋体" w:hAnsi="宋体" w:cs="宋体" w:hint="eastAsia"/>
          <w:color w:val="444444"/>
          <w:kern w:val="0"/>
          <w:sz w:val="18"/>
          <w:szCs w:val="18"/>
        </w:rPr>
        <w:t>研</w:t>
      </w:r>
      <w:proofErr w:type="gramEnd"/>
      <w:r w:rsidRPr="00453F54">
        <w:rPr>
          <w:rFonts w:ascii="宋体" w:eastAsia="宋体" w:hAnsi="宋体" w:cs="宋体" w:hint="eastAsia"/>
          <w:color w:val="444444"/>
          <w:kern w:val="0"/>
          <w:sz w:val="18"/>
          <w:szCs w:val="18"/>
        </w:rPr>
        <w:t>报作者：</w:t>
      </w:r>
    </w:p>
    <w:p w:rsidR="00453F54" w:rsidRPr="00453F54" w:rsidRDefault="00453F54" w:rsidP="00453F54">
      <w:pPr>
        <w:widowControl/>
        <w:shd w:val="clear" w:color="auto" w:fill="EEEEEE"/>
        <w:ind w:left="720"/>
        <w:jc w:val="left"/>
        <w:rPr>
          <w:rFonts w:ascii="宋体" w:eastAsia="宋体" w:hAnsi="宋体" w:cs="宋体" w:hint="eastAsia"/>
          <w:color w:val="2591DC"/>
          <w:kern w:val="0"/>
          <w:sz w:val="18"/>
          <w:szCs w:val="18"/>
        </w:rPr>
      </w:pPr>
      <w:proofErr w:type="gramStart"/>
      <w:r w:rsidRPr="00453F54">
        <w:rPr>
          <w:rFonts w:ascii="宋体" w:eastAsia="宋体" w:hAnsi="宋体" w:cs="宋体" w:hint="eastAsia"/>
          <w:color w:val="2591DC"/>
          <w:kern w:val="0"/>
          <w:sz w:val="18"/>
          <w:szCs w:val="18"/>
        </w:rPr>
        <w:t>牛播坤</w:t>
      </w:r>
      <w:proofErr w:type="gramEnd"/>
    </w:p>
    <w:p w:rsidR="00453F54" w:rsidRPr="00453F54" w:rsidRDefault="00453F54" w:rsidP="00453F54">
      <w:pPr>
        <w:widowControl/>
        <w:shd w:val="clear" w:color="auto" w:fill="EEEEEE"/>
        <w:jc w:val="left"/>
        <w:rPr>
          <w:rFonts w:ascii="宋体" w:eastAsia="宋体" w:hAnsi="宋体" w:cs="宋体" w:hint="eastAsia"/>
          <w:color w:val="000000"/>
          <w:kern w:val="0"/>
          <w:sz w:val="18"/>
          <w:szCs w:val="18"/>
        </w:rPr>
      </w:pPr>
      <w:r w:rsidRPr="00453F54">
        <w:rPr>
          <w:rFonts w:ascii="宋体" w:eastAsia="宋体" w:hAnsi="宋体" w:cs="宋体" w:hint="eastAsia"/>
          <w:color w:val="000000"/>
          <w:kern w:val="0"/>
          <w:sz w:val="18"/>
          <w:szCs w:val="18"/>
        </w:rPr>
        <w:t>发表时间:2017-08-08 18:30:38</w:t>
      </w:r>
    </w:p>
    <w:p w:rsidR="00453F54" w:rsidRPr="00453F54" w:rsidRDefault="00453F54" w:rsidP="00453F54">
      <w:pPr>
        <w:widowControl/>
        <w:shd w:val="clear" w:color="auto" w:fill="FFFFFF"/>
        <w:spacing w:line="555" w:lineRule="atLeast"/>
        <w:jc w:val="left"/>
        <w:rPr>
          <w:rFonts w:ascii="宋体" w:eastAsia="宋体" w:hAnsi="宋体" w:cs="宋体" w:hint="eastAsia"/>
          <w:b/>
          <w:bCs/>
          <w:color w:val="333333"/>
          <w:kern w:val="0"/>
          <w:sz w:val="24"/>
          <w:szCs w:val="24"/>
        </w:rPr>
      </w:pPr>
      <w:r w:rsidRPr="00453F54">
        <w:rPr>
          <w:rFonts w:ascii="宋体" w:eastAsia="宋体" w:hAnsi="宋体" w:cs="宋体" w:hint="eastAsia"/>
          <w:b/>
          <w:bCs/>
          <w:color w:val="333333"/>
          <w:kern w:val="0"/>
          <w:sz w:val="24"/>
          <w:szCs w:val="24"/>
        </w:rPr>
        <w:t>内容摘要</w:t>
      </w:r>
    </w:p>
    <w:p w:rsidR="00453F54" w:rsidRPr="00453F54" w:rsidRDefault="00453F54" w:rsidP="00453F54">
      <w:pPr>
        <w:widowControl/>
        <w:shd w:val="clear" w:color="auto" w:fill="FFFFFF"/>
        <w:jc w:val="left"/>
        <w:rPr>
          <w:rFonts w:ascii="微软雅黑" w:eastAsia="微软雅黑" w:hAnsi="微软雅黑" w:cs="宋体" w:hint="eastAsia"/>
          <w:color w:val="000000"/>
          <w:kern w:val="0"/>
          <w:sz w:val="18"/>
          <w:szCs w:val="18"/>
        </w:rPr>
      </w:pPr>
      <w:r w:rsidRPr="00453F54">
        <w:rPr>
          <w:rFonts w:ascii="微软雅黑" w:eastAsia="微软雅黑" w:hAnsi="微软雅黑" w:cs="宋体" w:hint="eastAsia"/>
          <w:color w:val="999999"/>
          <w:kern w:val="0"/>
          <w:sz w:val="18"/>
          <w:szCs w:val="18"/>
        </w:rPr>
        <w:t>分享</w:t>
      </w:r>
    </w:p>
    <w:p w:rsidR="00453F54" w:rsidRPr="00453F54" w:rsidRDefault="00453F54" w:rsidP="00453F54">
      <w:pPr>
        <w:widowControl/>
        <w:shd w:val="clear" w:color="auto" w:fill="FFFFFF"/>
        <w:spacing w:line="450" w:lineRule="atLeast"/>
        <w:jc w:val="left"/>
        <w:rPr>
          <w:rFonts w:ascii="宋体" w:eastAsia="宋体" w:hAnsi="宋体" w:cs="宋体" w:hint="eastAsia"/>
          <w:color w:val="444444"/>
          <w:kern w:val="0"/>
          <w:szCs w:val="21"/>
        </w:rPr>
      </w:pPr>
      <w:r w:rsidRPr="00453F54">
        <w:rPr>
          <w:rFonts w:ascii="宋体" w:eastAsia="宋体" w:hAnsi="宋体" w:cs="宋体" w:hint="eastAsia"/>
          <w:color w:val="444444"/>
          <w:kern w:val="0"/>
          <w:szCs w:val="21"/>
        </w:rPr>
        <w:t xml:space="preserve">　　独到见解：</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市场对公司的认识普遍止于环保+“穿水工艺”对供需格局的影响。我们认为，“穿水工艺”对硅锰需求的实际提升有限，并且，硅铁、硅锰供给弹性相对较大，供需格局对铁合金价格影响相对有限。而硅铁、硅锰在钢铁产业链中定价权不强，价格</w:t>
      </w:r>
      <w:proofErr w:type="gramStart"/>
      <w:r w:rsidRPr="00453F54">
        <w:rPr>
          <w:rFonts w:ascii="宋体" w:eastAsia="宋体" w:hAnsi="宋体" w:cs="宋体" w:hint="eastAsia"/>
          <w:color w:val="444444"/>
          <w:kern w:val="0"/>
          <w:szCs w:val="21"/>
        </w:rPr>
        <w:t>主要受钢价</w:t>
      </w:r>
      <w:proofErr w:type="gramEnd"/>
      <w:r w:rsidRPr="00453F54">
        <w:rPr>
          <w:rFonts w:ascii="宋体" w:eastAsia="宋体" w:hAnsi="宋体" w:cs="宋体" w:hint="eastAsia"/>
          <w:color w:val="444444"/>
          <w:kern w:val="0"/>
          <w:szCs w:val="21"/>
        </w:rPr>
        <w:t>攀升及产业</w:t>
      </w:r>
      <w:proofErr w:type="gramStart"/>
      <w:r w:rsidRPr="00453F54">
        <w:rPr>
          <w:rFonts w:ascii="宋体" w:eastAsia="宋体" w:hAnsi="宋体" w:cs="宋体" w:hint="eastAsia"/>
          <w:color w:val="444444"/>
          <w:kern w:val="0"/>
          <w:szCs w:val="21"/>
        </w:rPr>
        <w:t>链利润</w:t>
      </w:r>
      <w:proofErr w:type="gramEnd"/>
      <w:r w:rsidRPr="00453F54">
        <w:rPr>
          <w:rFonts w:ascii="宋体" w:eastAsia="宋体" w:hAnsi="宋体" w:cs="宋体" w:hint="eastAsia"/>
          <w:color w:val="444444"/>
          <w:kern w:val="0"/>
          <w:szCs w:val="21"/>
        </w:rPr>
        <w:t>蛋糕做大影响；供需格局能夯实价格基础而不能决定。在钢价持续维持高位</w:t>
      </w:r>
      <w:proofErr w:type="gramStart"/>
      <w:r w:rsidRPr="00453F54">
        <w:rPr>
          <w:rFonts w:ascii="宋体" w:eastAsia="宋体" w:hAnsi="宋体" w:cs="宋体" w:hint="eastAsia"/>
          <w:color w:val="444444"/>
          <w:kern w:val="0"/>
          <w:szCs w:val="21"/>
        </w:rPr>
        <w:t>且产业链利润</w:t>
      </w:r>
      <w:proofErr w:type="gramEnd"/>
      <w:r w:rsidRPr="00453F54">
        <w:rPr>
          <w:rFonts w:ascii="宋体" w:eastAsia="宋体" w:hAnsi="宋体" w:cs="宋体" w:hint="eastAsia"/>
          <w:color w:val="444444"/>
          <w:kern w:val="0"/>
          <w:szCs w:val="21"/>
        </w:rPr>
        <w:t>蛋糕持续向上游传导的过程中，公司铁合金板块极具弹性。</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投资要点</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1.决定硅铁、硅锰价格的关键因素不是市场认为的供需，而是钢价</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我们详细分析了历史上硅铁、硅锰价格与钢价、自身供需格局的时间轴关系，发现硅铁、硅锰价格与钢</w:t>
      </w:r>
      <w:proofErr w:type="gramStart"/>
      <w:r w:rsidRPr="00453F54">
        <w:rPr>
          <w:rFonts w:ascii="宋体" w:eastAsia="宋体" w:hAnsi="宋体" w:cs="宋体" w:hint="eastAsia"/>
          <w:color w:val="444444"/>
          <w:kern w:val="0"/>
          <w:szCs w:val="21"/>
        </w:rPr>
        <w:t>价高度</w:t>
      </w:r>
      <w:proofErr w:type="gramEnd"/>
      <w:r w:rsidRPr="00453F54">
        <w:rPr>
          <w:rFonts w:ascii="宋体" w:eastAsia="宋体" w:hAnsi="宋体" w:cs="宋体" w:hint="eastAsia"/>
          <w:color w:val="444444"/>
          <w:kern w:val="0"/>
          <w:szCs w:val="21"/>
        </w:rPr>
        <w:t>相关而与自身供需格局关联度不高。事实上，硅铁、硅锰作为钢铁原材料中的</w:t>
      </w:r>
      <w:proofErr w:type="gramStart"/>
      <w:r w:rsidRPr="00453F54">
        <w:rPr>
          <w:rFonts w:ascii="宋体" w:eastAsia="宋体" w:hAnsi="宋体" w:cs="宋体" w:hint="eastAsia"/>
          <w:color w:val="444444"/>
          <w:kern w:val="0"/>
          <w:szCs w:val="21"/>
        </w:rPr>
        <w:t>小品种其定价</w:t>
      </w:r>
      <w:proofErr w:type="gramEnd"/>
      <w:r w:rsidRPr="00453F54">
        <w:rPr>
          <w:rFonts w:ascii="宋体" w:eastAsia="宋体" w:hAnsi="宋体" w:cs="宋体" w:hint="eastAsia"/>
          <w:color w:val="444444"/>
          <w:kern w:val="0"/>
          <w:szCs w:val="21"/>
        </w:rPr>
        <w:t>权较弱，价格走势</w:t>
      </w:r>
      <w:proofErr w:type="gramStart"/>
      <w:r w:rsidRPr="00453F54">
        <w:rPr>
          <w:rFonts w:ascii="宋体" w:eastAsia="宋体" w:hAnsi="宋体" w:cs="宋体" w:hint="eastAsia"/>
          <w:color w:val="444444"/>
          <w:kern w:val="0"/>
          <w:szCs w:val="21"/>
        </w:rPr>
        <w:t>基本随钢价</w:t>
      </w:r>
      <w:proofErr w:type="gramEnd"/>
      <w:r w:rsidRPr="00453F54">
        <w:rPr>
          <w:rFonts w:ascii="宋体" w:eastAsia="宋体" w:hAnsi="宋体" w:cs="宋体" w:hint="eastAsia"/>
          <w:color w:val="444444"/>
          <w:kern w:val="0"/>
          <w:szCs w:val="21"/>
        </w:rPr>
        <w:t>而动；因此钢价是硅铁、硅锰价格的主要决定因素，而供需格局能起到加强趋势的作用。</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2.钢价强势上行+铁合金供需优化有望使铁合金价格持续攀升，板块极具业绩弹性</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钢价的高位上行是大概率事件，而质监局核查“穿水工艺”将在略微改善硅锰供需格局的情况下将作为催化剂引发对板块的关注，铁合金价格有望持续攀升。历史上，硅锰成本占钢价比值区间位于1.23%到2.66%，硅铁成本占钢价比值区间位于0.58%到1.15%，若</w:t>
      </w:r>
      <w:r w:rsidRPr="00453F54">
        <w:rPr>
          <w:rFonts w:ascii="宋体" w:eastAsia="宋体" w:hAnsi="宋体" w:cs="宋体" w:hint="eastAsia"/>
          <w:color w:val="444444"/>
          <w:kern w:val="0"/>
          <w:szCs w:val="21"/>
        </w:rPr>
        <w:lastRenderedPageBreak/>
        <w:t>按中枢值计算硅铁硅锰价格相对于当前还有13%和17%的涨幅空间；将导致公司净利润分别上涨4.47亿元和0.97亿元；考虑到2017年硅铁、硅锰均价已达5581元/吨和6733元/吨，即便简单将当前均价作为全年公司售价均值，</w:t>
      </w:r>
      <w:proofErr w:type="gramStart"/>
      <w:r w:rsidRPr="00453F54">
        <w:rPr>
          <w:rFonts w:ascii="宋体" w:eastAsia="宋体" w:hAnsi="宋体" w:cs="宋体" w:hint="eastAsia"/>
          <w:color w:val="444444"/>
          <w:kern w:val="0"/>
          <w:szCs w:val="21"/>
        </w:rPr>
        <w:t>单吨均价</w:t>
      </w:r>
      <w:proofErr w:type="gramEnd"/>
      <w:r w:rsidRPr="00453F54">
        <w:rPr>
          <w:rFonts w:ascii="宋体" w:eastAsia="宋体" w:hAnsi="宋体" w:cs="宋体" w:hint="eastAsia"/>
          <w:color w:val="444444"/>
          <w:kern w:val="0"/>
          <w:szCs w:val="21"/>
        </w:rPr>
        <w:t>已有865元和920元的增长，且我们预计公司硅铁、硅锰产销率较2016年也将有明显提升，最终导致公司业绩大幅增长。</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3.羊绒</w:t>
      </w:r>
      <w:proofErr w:type="gramStart"/>
      <w:r w:rsidRPr="00453F54">
        <w:rPr>
          <w:rFonts w:ascii="宋体" w:eastAsia="宋体" w:hAnsi="宋体" w:cs="宋体" w:hint="eastAsia"/>
          <w:color w:val="444444"/>
          <w:kern w:val="0"/>
          <w:szCs w:val="21"/>
        </w:rPr>
        <w:t>板块定增加码</w:t>
      </w:r>
      <w:proofErr w:type="gramEnd"/>
      <w:r w:rsidRPr="00453F54">
        <w:rPr>
          <w:rFonts w:ascii="宋体" w:eastAsia="宋体" w:hAnsi="宋体" w:cs="宋体" w:hint="eastAsia"/>
          <w:color w:val="444444"/>
          <w:kern w:val="0"/>
          <w:szCs w:val="21"/>
        </w:rPr>
        <w:t>品牌重塑，板块业绩增长可期</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羊绒作为公司的传统重要业务板块，近年来因为品牌定位、渠道落后的问题增长乏力；但是鄂尔多斯品牌作为高端羊绒服装的代名词，在国内消费者中有深厚的口碑积淀，</w:t>
      </w:r>
      <w:proofErr w:type="gramStart"/>
      <w:r w:rsidRPr="00453F54">
        <w:rPr>
          <w:rFonts w:ascii="宋体" w:eastAsia="宋体" w:hAnsi="宋体" w:cs="宋体" w:hint="eastAsia"/>
          <w:color w:val="444444"/>
          <w:kern w:val="0"/>
          <w:szCs w:val="21"/>
        </w:rPr>
        <w:t>一旦定增后</w:t>
      </w:r>
      <w:proofErr w:type="gramEnd"/>
      <w:r w:rsidRPr="00453F54">
        <w:rPr>
          <w:rFonts w:ascii="宋体" w:eastAsia="宋体" w:hAnsi="宋体" w:cs="宋体" w:hint="eastAsia"/>
          <w:color w:val="444444"/>
          <w:kern w:val="0"/>
          <w:szCs w:val="21"/>
        </w:rPr>
        <w:t>在品牌的时尚重塑、营销及渠道等领域精耕细作，必将成为公司业绩增长的稳健动力。</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4.投资建议：</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预计公司2017-2019年营收分别为204.17亿元、211.54亿元和219.57亿元；对应</w:t>
      </w:r>
      <w:proofErr w:type="gramStart"/>
      <w:r w:rsidRPr="00453F54">
        <w:rPr>
          <w:rFonts w:ascii="宋体" w:eastAsia="宋体" w:hAnsi="宋体" w:cs="宋体" w:hint="eastAsia"/>
          <w:color w:val="444444"/>
          <w:kern w:val="0"/>
          <w:szCs w:val="21"/>
        </w:rPr>
        <w:t>归母净利润</w:t>
      </w:r>
      <w:proofErr w:type="gramEnd"/>
      <w:r w:rsidRPr="00453F54">
        <w:rPr>
          <w:rFonts w:ascii="宋体" w:eastAsia="宋体" w:hAnsi="宋体" w:cs="宋体" w:hint="eastAsia"/>
          <w:color w:val="444444"/>
          <w:kern w:val="0"/>
          <w:szCs w:val="21"/>
        </w:rPr>
        <w:t>分别为8.23亿元、9.45亿元和10.85亿元，同比分别增长209.6%、14.9%和14.8%；对应EPS分别为0.80元、0.92元和1.05元，PE18X、16X、14X。公司的合理估值应为214亿元，对应当前42%涨幅空间，给予推荐评级。</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风险提示：</w:t>
      </w:r>
      <w:r w:rsidRPr="00453F54">
        <w:rPr>
          <w:rFonts w:ascii="宋体" w:eastAsia="宋体" w:hAnsi="宋体" w:cs="宋体" w:hint="eastAsia"/>
          <w:color w:val="444444"/>
          <w:kern w:val="0"/>
          <w:szCs w:val="21"/>
        </w:rPr>
        <w:br/>
      </w:r>
      <w:r w:rsidRPr="00453F54">
        <w:rPr>
          <w:rFonts w:ascii="宋体" w:eastAsia="宋体" w:hAnsi="宋体" w:cs="宋体" w:hint="eastAsia"/>
          <w:color w:val="444444"/>
          <w:kern w:val="0"/>
          <w:szCs w:val="21"/>
        </w:rPr>
        <w:br/>
        <w:t xml:space="preserve">　　钢价出现重大变化、铁合金行业供给端放量导致供需格局恶化、羊绒</w:t>
      </w:r>
      <w:proofErr w:type="gramStart"/>
      <w:r w:rsidRPr="00453F54">
        <w:rPr>
          <w:rFonts w:ascii="宋体" w:eastAsia="宋体" w:hAnsi="宋体" w:cs="宋体" w:hint="eastAsia"/>
          <w:color w:val="444444"/>
          <w:kern w:val="0"/>
          <w:szCs w:val="21"/>
        </w:rPr>
        <w:t>募投项目</w:t>
      </w:r>
      <w:proofErr w:type="gramEnd"/>
      <w:r w:rsidRPr="00453F54">
        <w:rPr>
          <w:rFonts w:ascii="宋体" w:eastAsia="宋体" w:hAnsi="宋体" w:cs="宋体" w:hint="eastAsia"/>
          <w:color w:val="444444"/>
          <w:kern w:val="0"/>
          <w:szCs w:val="21"/>
        </w:rPr>
        <w:t>推进不达预期</w:t>
      </w:r>
    </w:p>
    <w:p w:rsidR="003D151D" w:rsidRPr="00453F54" w:rsidRDefault="00453F54"/>
    <w:sectPr w:rsidR="003D151D" w:rsidRPr="00453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466"/>
    <w:rsid w:val="00453F54"/>
    <w:rsid w:val="00791466"/>
    <w:rsid w:val="00B84CFD"/>
    <w:rsid w:val="00BB4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34ED-1B9D-4A9C-826A-64BDAE23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aretext">
    <w:name w:val="sharetext"/>
    <w:basedOn w:val="a0"/>
    <w:rsid w:val="00453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7946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766">
          <w:marLeft w:val="0"/>
          <w:marRight w:val="0"/>
          <w:marTop w:val="825"/>
          <w:marBottom w:val="0"/>
          <w:divBdr>
            <w:top w:val="single" w:sz="18" w:space="13" w:color="D8D8D8"/>
            <w:left w:val="none" w:sz="0" w:space="0" w:color="auto"/>
            <w:bottom w:val="none" w:sz="0" w:space="0" w:color="auto"/>
            <w:right w:val="none" w:sz="0" w:space="0" w:color="auto"/>
          </w:divBdr>
          <w:divsChild>
            <w:div w:id="857892094">
              <w:marLeft w:val="0"/>
              <w:marRight w:val="0"/>
              <w:marTop w:val="0"/>
              <w:marBottom w:val="0"/>
              <w:divBdr>
                <w:top w:val="none" w:sz="0" w:space="0" w:color="auto"/>
                <w:left w:val="none" w:sz="0" w:space="0" w:color="auto"/>
                <w:bottom w:val="none" w:sz="0" w:space="0" w:color="auto"/>
                <w:right w:val="none" w:sz="0" w:space="0" w:color="auto"/>
              </w:divBdr>
            </w:div>
            <w:div w:id="1106542316">
              <w:marLeft w:val="0"/>
              <w:marRight w:val="0"/>
              <w:marTop w:val="0"/>
              <w:marBottom w:val="0"/>
              <w:divBdr>
                <w:top w:val="none" w:sz="0" w:space="0" w:color="auto"/>
                <w:left w:val="none" w:sz="0" w:space="0" w:color="auto"/>
                <w:bottom w:val="none" w:sz="0" w:space="0" w:color="auto"/>
                <w:right w:val="none" w:sz="0" w:space="0" w:color="auto"/>
              </w:divBdr>
              <w:divsChild>
                <w:div w:id="357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099">
          <w:marLeft w:val="0"/>
          <w:marRight w:val="0"/>
          <w:marTop w:val="0"/>
          <w:marBottom w:val="0"/>
          <w:divBdr>
            <w:top w:val="single" w:sz="6" w:space="0" w:color="D2D2D2"/>
            <w:left w:val="single" w:sz="6" w:space="0" w:color="D2D2D2"/>
            <w:bottom w:val="single" w:sz="6" w:space="0" w:color="D2D2D2"/>
            <w:right w:val="single" w:sz="6" w:space="0" w:color="D2D2D2"/>
          </w:divBdr>
          <w:divsChild>
            <w:div w:id="1039624744">
              <w:marLeft w:val="0"/>
              <w:marRight w:val="0"/>
              <w:marTop w:val="0"/>
              <w:marBottom w:val="0"/>
              <w:divBdr>
                <w:top w:val="none" w:sz="0" w:space="0" w:color="auto"/>
                <w:left w:val="none" w:sz="0" w:space="0" w:color="auto"/>
                <w:bottom w:val="single" w:sz="6" w:space="0" w:color="ECECEC"/>
                <w:right w:val="none" w:sz="0" w:space="0" w:color="auto"/>
              </w:divBdr>
              <w:divsChild>
                <w:div w:id="203912941">
                  <w:marLeft w:val="0"/>
                  <w:marRight w:val="0"/>
                  <w:marTop w:val="0"/>
                  <w:marBottom w:val="0"/>
                  <w:divBdr>
                    <w:top w:val="none" w:sz="0" w:space="0" w:color="auto"/>
                    <w:left w:val="none" w:sz="0" w:space="0" w:color="auto"/>
                    <w:bottom w:val="none" w:sz="0" w:space="0" w:color="auto"/>
                    <w:right w:val="none" w:sz="0" w:space="0" w:color="auto"/>
                  </w:divBdr>
                </w:div>
                <w:div w:id="1507749687">
                  <w:marLeft w:val="0"/>
                  <w:marRight w:val="0"/>
                  <w:marTop w:val="0"/>
                  <w:marBottom w:val="0"/>
                  <w:divBdr>
                    <w:top w:val="none" w:sz="0" w:space="0" w:color="auto"/>
                    <w:left w:val="none" w:sz="0" w:space="0" w:color="auto"/>
                    <w:bottom w:val="none" w:sz="0" w:space="0" w:color="auto"/>
                    <w:right w:val="none" w:sz="0" w:space="0" w:color="auto"/>
                  </w:divBdr>
                  <w:divsChild>
                    <w:div w:id="1622879771">
                      <w:marLeft w:val="0"/>
                      <w:marRight w:val="0"/>
                      <w:marTop w:val="0"/>
                      <w:marBottom w:val="0"/>
                      <w:divBdr>
                        <w:top w:val="none" w:sz="0" w:space="0" w:color="auto"/>
                        <w:left w:val="none" w:sz="0" w:space="0" w:color="auto"/>
                        <w:bottom w:val="none" w:sz="0" w:space="0" w:color="auto"/>
                        <w:right w:val="none" w:sz="0" w:space="0" w:color="auto"/>
                      </w:divBdr>
                      <w:divsChild>
                        <w:div w:id="4347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2</cp:revision>
  <dcterms:created xsi:type="dcterms:W3CDTF">2017-08-21T03:46:00Z</dcterms:created>
  <dcterms:modified xsi:type="dcterms:W3CDTF">2017-08-21T03:46:00Z</dcterms:modified>
</cp:coreProperties>
</file>