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FFA" w:rsidRPr="00352FFA" w:rsidRDefault="00352FFA" w:rsidP="00352FFA">
      <w:pPr>
        <w:widowControl/>
        <w:shd w:val="clear" w:color="auto" w:fill="FAFAF9"/>
        <w:spacing w:line="450" w:lineRule="atLeast"/>
        <w:jc w:val="left"/>
        <w:outlineLvl w:val="0"/>
        <w:rPr>
          <w:rFonts w:ascii="微软雅黑" w:eastAsia="微软雅黑" w:hAnsi="微软雅黑" w:cs="宋体"/>
          <w:b/>
          <w:bCs/>
          <w:color w:val="393535"/>
          <w:kern w:val="36"/>
          <w:sz w:val="24"/>
          <w:szCs w:val="24"/>
        </w:rPr>
      </w:pPr>
      <w:bookmarkStart w:id="0" w:name="_GoBack"/>
      <w:r w:rsidRPr="00352FFA">
        <w:rPr>
          <w:rFonts w:ascii="微软雅黑" w:eastAsia="微软雅黑" w:hAnsi="微软雅黑" w:cs="宋体" w:hint="eastAsia"/>
          <w:b/>
          <w:bCs/>
          <w:color w:val="393535"/>
          <w:kern w:val="36"/>
          <w:sz w:val="24"/>
          <w:szCs w:val="24"/>
        </w:rPr>
        <w:t>镍专题报告_沪伦镍跨市套利研究</w:t>
      </w:r>
    </w:p>
    <w:bookmarkEnd w:id="0"/>
    <w:p w:rsidR="00352FFA" w:rsidRPr="00352FFA" w:rsidRDefault="00352FFA" w:rsidP="00352FFA">
      <w:pPr>
        <w:widowControl/>
        <w:shd w:val="clear" w:color="auto" w:fill="FAFAF9"/>
        <w:spacing w:line="330" w:lineRule="atLeast"/>
        <w:jc w:val="left"/>
        <w:rPr>
          <w:rFonts w:ascii="微软雅黑" w:eastAsia="微软雅黑" w:hAnsi="微软雅黑" w:cs="宋体" w:hint="eastAsia"/>
          <w:color w:val="A09E9C"/>
          <w:kern w:val="0"/>
          <w:sz w:val="18"/>
          <w:szCs w:val="18"/>
        </w:rPr>
      </w:pPr>
      <w:r w:rsidRPr="00352FFA">
        <w:rPr>
          <w:rFonts w:ascii="微软雅黑" w:eastAsia="微软雅黑" w:hAnsi="微软雅黑" w:cs="宋体" w:hint="eastAsia"/>
          <w:color w:val="A09E9C"/>
          <w:kern w:val="0"/>
          <w:sz w:val="18"/>
          <w:szCs w:val="18"/>
          <w:bdr w:val="none" w:sz="0" w:space="0" w:color="auto" w:frame="1"/>
        </w:rPr>
        <w:t>有色金属专题</w:t>
      </w:r>
      <w:r w:rsidRPr="00352FFA">
        <w:rPr>
          <w:rFonts w:ascii="微软雅黑" w:eastAsia="微软雅黑" w:hAnsi="微软雅黑" w:cs="宋体" w:hint="eastAsia"/>
          <w:color w:val="A09E9C"/>
          <w:kern w:val="0"/>
          <w:sz w:val="18"/>
          <w:szCs w:val="18"/>
        </w:rPr>
        <w:t> </w:t>
      </w:r>
      <w:hyperlink r:id="rId4" w:history="1">
        <w:r w:rsidRPr="00352FFA">
          <w:rPr>
            <w:rFonts w:ascii="微软雅黑" w:eastAsia="微软雅黑" w:hAnsi="微软雅黑" w:cs="宋体" w:hint="eastAsia"/>
            <w:color w:val="333333"/>
            <w:kern w:val="0"/>
            <w:sz w:val="18"/>
            <w:szCs w:val="18"/>
            <w:u w:val="single"/>
            <w:bdr w:val="none" w:sz="0" w:space="0" w:color="auto" w:frame="1"/>
          </w:rPr>
          <w:t>我要分享</w:t>
        </w:r>
      </w:hyperlink>
      <w:r w:rsidRPr="00352FFA">
        <w:rPr>
          <w:rFonts w:ascii="微软雅黑" w:eastAsia="微软雅黑" w:hAnsi="微软雅黑" w:cs="宋体"/>
          <w:noProof/>
          <w:color w:val="333333"/>
          <w:kern w:val="0"/>
          <w:sz w:val="18"/>
          <w:szCs w:val="18"/>
          <w:bdr w:val="none" w:sz="0" w:space="0" w:color="auto" w:frame="1"/>
        </w:rPr>
        <w:drawing>
          <wp:inline distT="0" distB="0" distL="0" distR="0">
            <wp:extent cx="438150" cy="171450"/>
            <wp:effectExtent l="0" t="0" r="0" b="0"/>
            <wp:docPr id="13" name="图片 13" descr="http://www.jrqh.com.cn/Content/jrstyle/images/ico-stor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rqh.com.cn/Content/jrstyle/images/ico-stor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p>
    <w:p w:rsidR="00352FFA" w:rsidRPr="00352FFA" w:rsidRDefault="00352FFA" w:rsidP="00352FFA">
      <w:pPr>
        <w:widowControl/>
        <w:shd w:val="clear" w:color="auto" w:fill="FAFAF9"/>
        <w:jc w:val="left"/>
        <w:rPr>
          <w:rFonts w:ascii="微软雅黑" w:eastAsia="微软雅黑" w:hAnsi="微软雅黑" w:cs="宋体" w:hint="eastAsia"/>
          <w:color w:val="555555"/>
          <w:kern w:val="0"/>
          <w:szCs w:val="21"/>
        </w:rPr>
      </w:pPr>
      <w:r w:rsidRPr="00352FFA">
        <w:rPr>
          <w:rFonts w:ascii="微软雅黑" w:eastAsia="微软雅黑" w:hAnsi="微软雅黑" w:cs="宋体"/>
          <w:noProof/>
          <w:color w:val="555555"/>
          <w:kern w:val="0"/>
          <w:szCs w:val="21"/>
        </w:rPr>
        <w:drawing>
          <wp:inline distT="0" distB="0" distL="0" distR="0">
            <wp:extent cx="4762500" cy="6867525"/>
            <wp:effectExtent l="0" t="0" r="0" b="9525"/>
            <wp:docPr id="12" name="图片 12" descr="http://files.jrqh.com.cn/uploads/webapi/20150616/b1f96165-13fd-11e5-8fa1-e503f983a5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s.jrqh.com.cn/uploads/webapi/20150616/b1f96165-13fd-11e5-8fa1-e503f983a59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6867525"/>
                    </a:xfrm>
                    <a:prstGeom prst="rect">
                      <a:avLst/>
                    </a:prstGeom>
                    <a:noFill/>
                    <a:ln>
                      <a:noFill/>
                    </a:ln>
                  </pic:spPr>
                </pic:pic>
              </a:graphicData>
            </a:graphic>
          </wp:inline>
        </w:drawing>
      </w:r>
    </w:p>
    <w:p w:rsidR="00352FFA" w:rsidRPr="00352FFA" w:rsidRDefault="00352FFA" w:rsidP="00352FFA">
      <w:pPr>
        <w:widowControl/>
        <w:shd w:val="clear" w:color="auto" w:fill="FFFFFF"/>
        <w:spacing w:line="432" w:lineRule="atLeast"/>
        <w:jc w:val="left"/>
        <w:rPr>
          <w:rFonts w:ascii="微软雅黑" w:eastAsia="微软雅黑" w:hAnsi="微软雅黑" w:cs="宋体" w:hint="eastAsia"/>
          <w:color w:val="534D4D"/>
          <w:kern w:val="0"/>
          <w:szCs w:val="21"/>
        </w:rPr>
      </w:pPr>
      <w:r w:rsidRPr="00352FFA">
        <w:rPr>
          <w:rFonts w:ascii="微软雅黑" w:eastAsia="微软雅黑" w:hAnsi="微软雅黑" w:cs="宋体" w:hint="eastAsia"/>
          <w:color w:val="534D4D"/>
          <w:kern w:val="0"/>
          <w:szCs w:val="21"/>
        </w:rPr>
        <w:t>金瑞期货_镍专题报告_沪伦镍跨市套利研究</w:t>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b/>
          <w:bCs/>
          <w:color w:val="555555"/>
          <w:kern w:val="0"/>
          <w:sz w:val="27"/>
          <w:szCs w:val="27"/>
        </w:rPr>
        <w:t>沪伦镍跨市套利研究</w:t>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color w:val="555555"/>
          <w:kern w:val="0"/>
          <w:szCs w:val="21"/>
          <w:bdr w:val="none" w:sz="0" w:space="0" w:color="auto" w:frame="1"/>
        </w:rPr>
        <w:lastRenderedPageBreak/>
        <w:t>我国作为全球镍产量和消费量最大的国家，资源对外依存度达82%，其中2013年年底进口印尼红土镍矿占总进口的57%。2014年1月印尼出口禁令生效后，国内对印尼的原矿进口量出现下降，但这并未改变中国进口依赖度较高的特点。为了满足国内现货交易的需要，上海期货交易所于2015年3月27日正式挂牌镍期货合约上市交易。考虑到地域、交易时间上的差异，上海期货交易所和伦敦金属交易所之间存在着套利机会。</w:t>
      </w:r>
    </w:p>
    <w:p w:rsidR="00352FFA" w:rsidRPr="00352FFA" w:rsidRDefault="00352FFA" w:rsidP="00352FFA">
      <w:pPr>
        <w:widowControl/>
        <w:shd w:val="clear" w:color="auto" w:fill="FAFAF9"/>
        <w:spacing w:line="360"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color w:val="555555"/>
          <w:kern w:val="0"/>
          <w:szCs w:val="21"/>
        </w:rPr>
        <w:t>从品种相关性来看，沪伦镍存在着较强的相关性，满足跨市套利交易条件。同时通过格兰杰因果关系检验，发现伦镍是国内镍价变化的主要原因，这也与符合中国对镍的进口依赖度比较高的特点。</w:t>
      </w:r>
      <w:r w:rsidRPr="00352FFA">
        <w:rPr>
          <w:rFonts w:ascii="微软雅黑" w:eastAsia="微软雅黑" w:hAnsi="微软雅黑" w:cs="宋体" w:hint="eastAsia"/>
          <w:color w:val="555555"/>
          <w:kern w:val="0"/>
          <w:szCs w:val="21"/>
        </w:rPr>
        <w:br/>
        <w:t>沪伦镍套利机会与沪伦比值的变化直接有关，当沪伦比值上升时，表明沪镍价格相对伦镍价格相对强势，因此可以采用买沪镍抛伦镍操作。反之，采用买伦镍抛沪镍操作。当前影响沪伦比值变化的影响因素主要有：1、国内外生产、消费的季节性差异。2、印尼出口政策。3、中国经济政策。4、人民币汇率的变化。</w:t>
      </w:r>
      <w:r w:rsidRPr="00352FFA">
        <w:rPr>
          <w:rFonts w:ascii="微软雅黑" w:eastAsia="微软雅黑" w:hAnsi="微软雅黑" w:cs="宋体" w:hint="eastAsia"/>
          <w:color w:val="555555"/>
          <w:kern w:val="0"/>
          <w:szCs w:val="21"/>
        </w:rPr>
        <w:br/>
        <w:t>我们认为未来沪伦镍比值将会继续上升，这主要是基于对基本面的把握。首先，LME库存持续攀高，而国内港口镍矿库存出现下降，这将支撑沪镍走强，伦镍走弱。其次，中国镍铁产量保持高速增长，开工率出现回升。在国内旺季消费周期和欧美消费淡季的影响下，沪镍走势将会强于伦镍。最后，中国精炼镍和镍矿的进口均出现下滑，国内供给收紧，进一步改善供应过剩现状，有助于支撑沪镍相对走强。</w:t>
      </w:r>
      <w:r w:rsidRPr="00352FFA">
        <w:rPr>
          <w:rFonts w:ascii="微软雅黑" w:eastAsia="微软雅黑" w:hAnsi="微软雅黑" w:cs="宋体" w:hint="eastAsia"/>
          <w:color w:val="555555"/>
          <w:kern w:val="0"/>
          <w:szCs w:val="21"/>
        </w:rPr>
        <w:br/>
        <w:t>同时，我们从统计角度来分析，当前沪伦比值稍高于进口均衡比值，但是沪伦比值有明显下降走势，并且已经靠近进口均衡比值上边界，因此此时进行正向套利效果不佳。结合以上我们认为沪伦比值未来将上升的判断，我们认为未来沪镍将会强于伦镍，因此在操作策略上倾向于选择：买沪镍抛伦镍。</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 w:val="27"/>
          <w:szCs w:val="27"/>
          <w:bdr w:val="none" w:sz="0" w:space="0" w:color="auto" w:frame="1"/>
        </w:rPr>
        <w:lastRenderedPageBreak/>
        <w:t>一、跨市套利理论基础</w:t>
      </w:r>
      <w:r w:rsidRPr="00352FFA">
        <w:rPr>
          <w:rFonts w:ascii="微软雅黑" w:eastAsia="微软雅黑" w:hAnsi="微软雅黑" w:cs="宋体" w:hint="eastAsia"/>
          <w:color w:val="555555"/>
          <w:kern w:val="0"/>
          <w:szCs w:val="21"/>
        </w:rPr>
        <w:br/>
        <w:t>1、跨市套利概念 </w:t>
      </w:r>
      <w:r w:rsidRPr="00352FFA">
        <w:rPr>
          <w:rFonts w:ascii="微软雅黑" w:eastAsia="微软雅黑" w:hAnsi="微软雅黑" w:cs="宋体" w:hint="eastAsia"/>
          <w:color w:val="555555"/>
          <w:kern w:val="0"/>
          <w:szCs w:val="21"/>
        </w:rPr>
        <w:br/>
        <w:t>跨市套利是指在两个不同的市场，对两个相同标的物、相同月份的期货合约同时进行反向操作，以期实现获利的套利方式。我国作为全球镍产量和消费量最大的国家，资源对外依存度达82%，其中进口印尼红土镍矿占总进口的57%。为了满足国内现货交易的需要，上海期货交易所于2015年3月27日正式挂牌镍期货合约上市交易。考虑到地域、交易时间上的差异，上海期货交易所和伦敦金属交易所之间存在着套利机会。</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t>2、理论依据</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t> 期货合约标的物相同或者相似</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t> 两个市场的期货品种具有较强的相关性</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t> 进口政策宽松，商品能够在两个市场自由流通</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t>3、跨市套利分类</w:t>
      </w:r>
      <w:r w:rsidRPr="00352FFA">
        <w:rPr>
          <w:rFonts w:ascii="微软雅黑" w:eastAsia="微软雅黑" w:hAnsi="微软雅黑" w:cs="宋体" w:hint="eastAsia"/>
          <w:color w:val="555555"/>
          <w:kern w:val="0"/>
          <w:szCs w:val="21"/>
        </w:rPr>
        <w:br/>
        <w:t>正向套利：当前国内镍主要以进口为主，在LME做多的同时，在上海期货交易所做空，这样的交易称为正向套利。当LME的价格相对偏低的时候，存在正向套利机会。</w:t>
      </w:r>
      <w:r w:rsidRPr="00352FFA">
        <w:rPr>
          <w:rFonts w:ascii="微软雅黑" w:eastAsia="微软雅黑" w:hAnsi="微软雅黑" w:cs="宋体" w:hint="eastAsia"/>
          <w:color w:val="555555"/>
          <w:kern w:val="0"/>
          <w:szCs w:val="21"/>
        </w:rPr>
        <w:br/>
        <w:t>反向套利: 与正向套利相反，当LME的价格相对偏高的时候，存在反向套利机会。由于国内调降有色金属出口退税比率，使得镍的出口难度较大，因此反向套利存在贸易流通风险。</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 w:val="27"/>
          <w:szCs w:val="27"/>
          <w:bdr w:val="none" w:sz="0" w:space="0" w:color="auto" w:frame="1"/>
        </w:rPr>
        <w:t>二、沪镍和伦镍相关性分析</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lastRenderedPageBreak/>
        <w:t>1、沪伦镍相关性较高</w:t>
      </w:r>
      <w:r w:rsidRPr="00352FFA">
        <w:rPr>
          <w:rFonts w:ascii="微软雅黑" w:eastAsia="微软雅黑" w:hAnsi="微软雅黑" w:cs="宋体" w:hint="eastAsia"/>
          <w:color w:val="555555"/>
          <w:kern w:val="0"/>
          <w:szCs w:val="21"/>
        </w:rPr>
        <w:br/>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color w:val="555555"/>
          <w:kern w:val="0"/>
          <w:szCs w:val="21"/>
        </w:rPr>
        <w:t>由于上期所新上市镍合约从1507开始，缺少近月合约数据，因此我们采用上海物贸平均价作为参考。运用统计软件分析，结果显示伦镍3月合约与上海物贸平均价之前存在着较强的相关性。</w:t>
      </w:r>
    </w:p>
    <w:tbl>
      <w:tblPr>
        <w:tblW w:w="7655" w:type="dxa"/>
        <w:tblCellMar>
          <w:left w:w="0" w:type="dxa"/>
          <w:right w:w="0" w:type="dxa"/>
        </w:tblCellMar>
        <w:tblLook w:val="04A0" w:firstRow="1" w:lastRow="0" w:firstColumn="1" w:lastColumn="0" w:noHBand="0" w:noVBand="1"/>
      </w:tblPr>
      <w:tblGrid>
        <w:gridCol w:w="2410"/>
        <w:gridCol w:w="2548"/>
        <w:gridCol w:w="2697"/>
      </w:tblGrid>
      <w:tr w:rsidR="00352FFA" w:rsidRPr="00352FFA" w:rsidTr="00352FFA">
        <w:tc>
          <w:tcPr>
            <w:tcW w:w="241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jc w:val="left"/>
              <w:rPr>
                <w:rFonts w:ascii="微软雅黑" w:eastAsia="微软雅黑" w:hAnsi="微软雅黑" w:cs="宋体" w:hint="eastAsia"/>
                <w:color w:val="555555"/>
                <w:kern w:val="0"/>
                <w:szCs w:val="21"/>
              </w:rPr>
            </w:pPr>
          </w:p>
        </w:tc>
        <w:tc>
          <w:tcPr>
            <w:tcW w:w="255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kern w:val="0"/>
                <w:sz w:val="20"/>
                <w:szCs w:val="20"/>
                <w:bdr w:val="none" w:sz="0" w:space="0" w:color="auto" w:frame="1"/>
              </w:rPr>
              <w:t>LME3</w:t>
            </w:r>
            <w:r w:rsidRPr="00352FFA">
              <w:rPr>
                <w:rFonts w:ascii="宋体" w:eastAsia="宋体" w:hAnsi="宋体" w:cs="宋体" w:hint="eastAsia"/>
                <w:kern w:val="0"/>
                <w:sz w:val="20"/>
                <w:szCs w:val="20"/>
                <w:bdr w:val="none" w:sz="0" w:space="0" w:color="auto" w:frame="1"/>
              </w:rPr>
              <w:t>个月镍收盘价</w:t>
            </w:r>
          </w:p>
        </w:tc>
        <w:tc>
          <w:tcPr>
            <w:tcW w:w="270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上海物贸</w:t>
            </w:r>
            <w:r w:rsidRPr="00352FFA">
              <w:rPr>
                <w:rFonts w:ascii="宋体" w:eastAsia="宋体" w:hAnsi="宋体" w:cs="宋体"/>
                <w:kern w:val="0"/>
                <w:sz w:val="20"/>
                <w:szCs w:val="20"/>
                <w:bdr w:val="none" w:sz="0" w:space="0" w:color="auto" w:frame="1"/>
              </w:rPr>
              <w:t>:</w:t>
            </w:r>
            <w:r w:rsidRPr="00352FFA">
              <w:rPr>
                <w:rFonts w:ascii="宋体" w:eastAsia="宋体" w:hAnsi="宋体" w:cs="宋体" w:hint="eastAsia"/>
                <w:kern w:val="0"/>
                <w:sz w:val="20"/>
                <w:szCs w:val="20"/>
                <w:bdr w:val="none" w:sz="0" w:space="0" w:color="auto" w:frame="1"/>
              </w:rPr>
              <w:t>平均价</w:t>
            </w:r>
            <w:r w:rsidRPr="00352FFA">
              <w:rPr>
                <w:rFonts w:ascii="宋体" w:eastAsia="宋体" w:hAnsi="宋体" w:cs="宋体"/>
                <w:kern w:val="0"/>
                <w:sz w:val="20"/>
                <w:szCs w:val="20"/>
                <w:bdr w:val="none" w:sz="0" w:space="0" w:color="auto" w:frame="1"/>
              </w:rPr>
              <w:t>:</w:t>
            </w:r>
            <w:r w:rsidRPr="00352FFA">
              <w:rPr>
                <w:rFonts w:ascii="宋体" w:eastAsia="宋体" w:hAnsi="宋体" w:cs="宋体" w:hint="eastAsia"/>
                <w:kern w:val="0"/>
                <w:sz w:val="20"/>
                <w:szCs w:val="20"/>
                <w:bdr w:val="none" w:sz="0" w:space="0" w:color="auto" w:frame="1"/>
              </w:rPr>
              <w:t>镍</w:t>
            </w:r>
          </w:p>
        </w:tc>
      </w:tr>
      <w:tr w:rsidR="00352FFA" w:rsidRPr="00352FFA" w:rsidTr="00352FFA">
        <w:tc>
          <w:tcPr>
            <w:tcW w:w="241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kern w:val="0"/>
                <w:sz w:val="20"/>
                <w:szCs w:val="20"/>
                <w:bdr w:val="none" w:sz="0" w:space="0" w:color="auto" w:frame="1"/>
              </w:rPr>
              <w:t>LME3</w:t>
            </w:r>
            <w:r w:rsidRPr="00352FFA">
              <w:rPr>
                <w:rFonts w:ascii="宋体" w:eastAsia="宋体" w:hAnsi="宋体" w:cs="宋体" w:hint="eastAsia"/>
                <w:kern w:val="0"/>
                <w:sz w:val="20"/>
                <w:szCs w:val="20"/>
                <w:bdr w:val="none" w:sz="0" w:space="0" w:color="auto" w:frame="1"/>
              </w:rPr>
              <w:t>个月镍收盘价</w:t>
            </w:r>
          </w:p>
        </w:tc>
        <w:tc>
          <w:tcPr>
            <w:tcW w:w="255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ind w:left="780" w:firstLine="400"/>
              <w:jc w:val="left"/>
              <w:rPr>
                <w:rFonts w:ascii="宋体" w:eastAsia="宋体" w:hAnsi="宋体" w:cs="宋体"/>
                <w:kern w:val="0"/>
                <w:sz w:val="24"/>
                <w:szCs w:val="24"/>
              </w:rPr>
            </w:pPr>
            <w:r w:rsidRPr="00352FFA">
              <w:rPr>
                <w:rFonts w:ascii="宋体" w:eastAsia="宋体" w:hAnsi="宋体" w:cs="宋体"/>
                <w:kern w:val="0"/>
                <w:sz w:val="20"/>
                <w:szCs w:val="20"/>
                <w:bdr w:val="none" w:sz="0" w:space="0" w:color="auto" w:frame="1"/>
              </w:rPr>
              <w:t>1</w:t>
            </w:r>
          </w:p>
        </w:tc>
        <w:tc>
          <w:tcPr>
            <w:tcW w:w="270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jc w:val="left"/>
              <w:rPr>
                <w:rFonts w:ascii="宋体" w:eastAsia="宋体" w:hAnsi="宋体" w:cs="宋体"/>
                <w:kern w:val="0"/>
                <w:sz w:val="24"/>
                <w:szCs w:val="24"/>
              </w:rPr>
            </w:pPr>
          </w:p>
        </w:tc>
      </w:tr>
      <w:tr w:rsidR="00352FFA" w:rsidRPr="00352FFA" w:rsidTr="00352FFA">
        <w:tc>
          <w:tcPr>
            <w:tcW w:w="241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上海物贸</w:t>
            </w:r>
            <w:r w:rsidRPr="00352FFA">
              <w:rPr>
                <w:rFonts w:ascii="宋体" w:eastAsia="宋体" w:hAnsi="宋体" w:cs="宋体"/>
                <w:kern w:val="0"/>
                <w:sz w:val="20"/>
                <w:szCs w:val="20"/>
                <w:bdr w:val="none" w:sz="0" w:space="0" w:color="auto" w:frame="1"/>
              </w:rPr>
              <w:t>:</w:t>
            </w:r>
            <w:r w:rsidRPr="00352FFA">
              <w:rPr>
                <w:rFonts w:ascii="宋体" w:eastAsia="宋体" w:hAnsi="宋体" w:cs="宋体" w:hint="eastAsia"/>
                <w:kern w:val="0"/>
                <w:sz w:val="20"/>
                <w:szCs w:val="20"/>
                <w:bdr w:val="none" w:sz="0" w:space="0" w:color="auto" w:frame="1"/>
              </w:rPr>
              <w:t>平均价</w:t>
            </w:r>
            <w:r w:rsidRPr="00352FFA">
              <w:rPr>
                <w:rFonts w:ascii="宋体" w:eastAsia="宋体" w:hAnsi="宋体" w:cs="宋体"/>
                <w:kern w:val="0"/>
                <w:sz w:val="20"/>
                <w:szCs w:val="20"/>
                <w:bdr w:val="none" w:sz="0" w:space="0" w:color="auto" w:frame="1"/>
              </w:rPr>
              <w:t>:</w:t>
            </w:r>
            <w:r w:rsidRPr="00352FFA">
              <w:rPr>
                <w:rFonts w:ascii="宋体" w:eastAsia="宋体" w:hAnsi="宋体" w:cs="宋体" w:hint="eastAsia"/>
                <w:kern w:val="0"/>
                <w:sz w:val="20"/>
                <w:szCs w:val="20"/>
                <w:bdr w:val="none" w:sz="0" w:space="0" w:color="auto" w:frame="1"/>
              </w:rPr>
              <w:t>镍</w:t>
            </w:r>
          </w:p>
        </w:tc>
        <w:tc>
          <w:tcPr>
            <w:tcW w:w="255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ind w:firstLine="820"/>
              <w:jc w:val="left"/>
              <w:rPr>
                <w:rFonts w:ascii="宋体" w:eastAsia="宋体" w:hAnsi="宋体" w:cs="宋体"/>
                <w:kern w:val="0"/>
                <w:sz w:val="24"/>
                <w:szCs w:val="24"/>
              </w:rPr>
            </w:pPr>
            <w:r w:rsidRPr="00352FFA">
              <w:rPr>
                <w:rFonts w:ascii="宋体" w:eastAsia="宋体" w:hAnsi="宋体" w:cs="宋体"/>
                <w:kern w:val="0"/>
                <w:sz w:val="20"/>
                <w:szCs w:val="20"/>
                <w:bdr w:val="none" w:sz="0" w:space="0" w:color="auto" w:frame="1"/>
              </w:rPr>
              <w:t>0.974744</w:t>
            </w:r>
          </w:p>
        </w:tc>
        <w:tc>
          <w:tcPr>
            <w:tcW w:w="270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ind w:left="780" w:firstLine="400"/>
              <w:jc w:val="left"/>
              <w:rPr>
                <w:rFonts w:ascii="宋体" w:eastAsia="宋体" w:hAnsi="宋体" w:cs="宋体"/>
                <w:kern w:val="0"/>
                <w:sz w:val="24"/>
                <w:szCs w:val="24"/>
              </w:rPr>
            </w:pPr>
            <w:r w:rsidRPr="00352FFA">
              <w:rPr>
                <w:rFonts w:ascii="宋体" w:eastAsia="宋体" w:hAnsi="宋体" w:cs="宋体"/>
                <w:kern w:val="0"/>
                <w:sz w:val="20"/>
                <w:szCs w:val="20"/>
                <w:bdr w:val="none" w:sz="0" w:space="0" w:color="auto" w:frame="1"/>
              </w:rPr>
              <w:t>1</w:t>
            </w:r>
          </w:p>
        </w:tc>
      </w:tr>
    </w:tbl>
    <w:p w:rsidR="00352FFA" w:rsidRPr="00352FFA" w:rsidRDefault="00352FFA" w:rsidP="00352FFA">
      <w:pPr>
        <w:widowControl/>
        <w:shd w:val="clear" w:color="auto" w:fill="FAFAF9"/>
        <w:spacing w:line="360" w:lineRule="atLeast"/>
        <w:jc w:val="left"/>
        <w:rPr>
          <w:rFonts w:ascii="微软雅黑" w:eastAsia="微软雅黑" w:hAnsi="微软雅黑" w:cs="宋体"/>
          <w:color w:val="555555"/>
          <w:kern w:val="0"/>
          <w:szCs w:val="21"/>
        </w:rPr>
      </w:pP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Cs w:val="21"/>
        </w:rPr>
        <w:t>图1：伦镍价格走势和上海物贸现货价格走势</w:t>
      </w:r>
      <w:r w:rsidRPr="00352FFA">
        <w:rPr>
          <w:rFonts w:ascii="微软雅黑" w:eastAsia="微软雅黑" w:hAnsi="微软雅黑" w:cs="宋体" w:hint="eastAsia"/>
          <w:color w:val="555555"/>
          <w:kern w:val="0"/>
          <w:szCs w:val="21"/>
        </w:rPr>
        <w:br/>
        <w:t> </w:t>
      </w:r>
      <w:r w:rsidRPr="00352FFA">
        <w:rPr>
          <w:rFonts w:ascii="微软雅黑" w:eastAsia="微软雅黑" w:hAnsi="微软雅黑" w:cs="宋体"/>
          <w:noProof/>
          <w:color w:val="555555"/>
          <w:kern w:val="0"/>
          <w:szCs w:val="21"/>
        </w:rPr>
        <w:drawing>
          <wp:inline distT="0" distB="0" distL="0" distR="0">
            <wp:extent cx="5305425" cy="3076575"/>
            <wp:effectExtent l="0" t="0" r="9525" b="9525"/>
            <wp:docPr id="11" name="图片 11" descr="http://files.jrqh.com.cn/uploads/management/image/20150604/d7535f4a-f9a3-4d4b-9cd2-f3fa868fbe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jrqh.com.cn/uploads/management/image/20150604/d7535f4a-f9a3-4d4b-9cd2-f3fa868fbea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076575"/>
                    </a:xfrm>
                    <a:prstGeom prst="rect">
                      <a:avLst/>
                    </a:prstGeom>
                    <a:noFill/>
                    <a:ln>
                      <a:noFill/>
                    </a:ln>
                  </pic:spPr>
                </pic:pic>
              </a:graphicData>
            </a:graphic>
          </wp:inline>
        </w:drawing>
      </w:r>
      <w:r w:rsidRPr="00352FFA">
        <w:rPr>
          <w:rFonts w:ascii="微软雅黑" w:eastAsia="微软雅黑" w:hAnsi="微软雅黑" w:cs="宋体" w:hint="eastAsia"/>
          <w:color w:val="555555"/>
          <w:kern w:val="0"/>
          <w:szCs w:val="21"/>
        </w:rPr>
        <w:br/>
        <w:t>资料来源：wind资讯  金瑞期货</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t>2、伦镍主导国内镍价走势</w:t>
      </w:r>
      <w:r w:rsidRPr="00352FFA">
        <w:rPr>
          <w:rFonts w:ascii="微软雅黑" w:eastAsia="微软雅黑" w:hAnsi="微软雅黑" w:cs="宋体" w:hint="eastAsia"/>
          <w:color w:val="555555"/>
          <w:kern w:val="0"/>
          <w:szCs w:val="21"/>
        </w:rPr>
        <w:br/>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color w:val="555555"/>
          <w:kern w:val="0"/>
          <w:szCs w:val="21"/>
        </w:rPr>
        <w:lastRenderedPageBreak/>
        <w:t>通过格兰杰因果检验发现，伦镍3月价格是上海物贸镍平均价格变化的原因，而上海物贸镍平均价格不是伦镍3月价格变化的原因，沪镍期货价格和上海物贸镍平均价相互影响。因此，我们认为伦镍主导了国内的镍价走势，这也与符合中国对镍的进口依赖度比较高的特点。</w:t>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p>
    <w:tbl>
      <w:tblPr>
        <w:tblW w:w="0" w:type="auto"/>
        <w:tblCellMar>
          <w:left w:w="0" w:type="dxa"/>
          <w:right w:w="0" w:type="dxa"/>
        </w:tblCellMar>
        <w:tblLook w:val="04A0" w:firstRow="1" w:lastRow="0" w:firstColumn="1" w:lastColumn="0" w:noHBand="0" w:noVBand="1"/>
      </w:tblPr>
      <w:tblGrid>
        <w:gridCol w:w="5085"/>
        <w:gridCol w:w="2730"/>
      </w:tblGrid>
      <w:tr w:rsidR="00352FFA" w:rsidRPr="00352FFA" w:rsidTr="00352FFA">
        <w:tc>
          <w:tcPr>
            <w:tcW w:w="508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hint="eastAsia"/>
                <w:kern w:val="0"/>
                <w:sz w:val="24"/>
                <w:szCs w:val="24"/>
              </w:rPr>
            </w:pPr>
            <w:r w:rsidRPr="00352FFA">
              <w:rPr>
                <w:rFonts w:ascii="宋体" w:eastAsia="宋体" w:hAnsi="宋体" w:cs="宋体" w:hint="eastAsia"/>
                <w:kern w:val="0"/>
                <w:sz w:val="20"/>
                <w:szCs w:val="20"/>
                <w:bdr w:val="none" w:sz="0" w:space="0" w:color="auto" w:frame="1"/>
              </w:rPr>
              <w:t>假设</w:t>
            </w:r>
          </w:p>
        </w:tc>
        <w:tc>
          <w:tcPr>
            <w:tcW w:w="273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center"/>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格兰杰因果检验</w:t>
            </w:r>
          </w:p>
        </w:tc>
      </w:tr>
      <w:tr w:rsidR="00352FFA" w:rsidRPr="00352FFA" w:rsidTr="00352FFA">
        <w:tc>
          <w:tcPr>
            <w:tcW w:w="508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上海物贸现货镍平均价不是伦镍</w:t>
            </w:r>
            <w:r w:rsidRPr="00352FFA">
              <w:rPr>
                <w:rFonts w:ascii="宋体" w:eastAsia="宋体" w:hAnsi="宋体" w:cs="宋体"/>
                <w:kern w:val="0"/>
                <w:sz w:val="20"/>
                <w:szCs w:val="20"/>
                <w:bdr w:val="none" w:sz="0" w:space="0" w:color="auto" w:frame="1"/>
              </w:rPr>
              <w:t>3</w:t>
            </w:r>
            <w:r w:rsidRPr="00352FFA">
              <w:rPr>
                <w:rFonts w:ascii="宋体" w:eastAsia="宋体" w:hAnsi="宋体" w:cs="宋体" w:hint="eastAsia"/>
                <w:kern w:val="0"/>
                <w:sz w:val="20"/>
                <w:szCs w:val="20"/>
                <w:bdr w:val="none" w:sz="0" w:space="0" w:color="auto" w:frame="1"/>
              </w:rPr>
              <w:t>价格变化的原因</w:t>
            </w:r>
          </w:p>
        </w:tc>
        <w:tc>
          <w:tcPr>
            <w:tcW w:w="273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center"/>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同意</w:t>
            </w:r>
          </w:p>
        </w:tc>
      </w:tr>
      <w:tr w:rsidR="00352FFA" w:rsidRPr="00352FFA" w:rsidTr="00352FFA">
        <w:tc>
          <w:tcPr>
            <w:tcW w:w="508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伦镍</w:t>
            </w:r>
            <w:r w:rsidRPr="00352FFA">
              <w:rPr>
                <w:rFonts w:ascii="宋体" w:eastAsia="宋体" w:hAnsi="宋体" w:cs="宋体"/>
                <w:kern w:val="0"/>
                <w:sz w:val="20"/>
                <w:szCs w:val="20"/>
                <w:bdr w:val="none" w:sz="0" w:space="0" w:color="auto" w:frame="1"/>
              </w:rPr>
              <w:t>3</w:t>
            </w:r>
            <w:r w:rsidRPr="00352FFA">
              <w:rPr>
                <w:rFonts w:ascii="宋体" w:eastAsia="宋体" w:hAnsi="宋体" w:cs="宋体" w:hint="eastAsia"/>
                <w:kern w:val="0"/>
                <w:sz w:val="20"/>
                <w:szCs w:val="20"/>
                <w:bdr w:val="none" w:sz="0" w:space="0" w:color="auto" w:frame="1"/>
              </w:rPr>
              <w:t>月价格不是上海物贸镍平均价格变化的原因</w:t>
            </w:r>
          </w:p>
        </w:tc>
        <w:tc>
          <w:tcPr>
            <w:tcW w:w="273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center"/>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拒绝</w:t>
            </w:r>
          </w:p>
        </w:tc>
      </w:tr>
    </w:tbl>
    <w:p w:rsidR="00352FFA" w:rsidRPr="00352FFA" w:rsidRDefault="00352FFA" w:rsidP="00352FFA">
      <w:pPr>
        <w:widowControl/>
        <w:shd w:val="clear" w:color="auto" w:fill="FAFAF9"/>
        <w:spacing w:after="240" w:line="360" w:lineRule="atLeast"/>
        <w:jc w:val="left"/>
        <w:rPr>
          <w:rFonts w:ascii="微软雅黑" w:eastAsia="微软雅黑" w:hAnsi="微软雅黑" w:cs="宋体"/>
          <w:color w:val="555555"/>
          <w:kern w:val="0"/>
          <w:szCs w:val="21"/>
        </w:rPr>
      </w:pP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 w:val="27"/>
          <w:szCs w:val="27"/>
          <w:bdr w:val="none" w:sz="0" w:space="0" w:color="auto" w:frame="1"/>
        </w:rPr>
        <w:t>三、沪伦镍比值变化和进口成本计算</w:t>
      </w:r>
      <w:r w:rsidRPr="00352FFA">
        <w:rPr>
          <w:rFonts w:ascii="微软雅黑" w:eastAsia="微软雅黑" w:hAnsi="微软雅黑" w:cs="宋体" w:hint="eastAsia"/>
          <w:color w:val="555555"/>
          <w:kern w:val="0"/>
          <w:szCs w:val="21"/>
        </w:rPr>
        <w:br/>
        <w:t> 1、沪镍和伦镍现货比值关系</w:t>
      </w:r>
      <w:r w:rsidRPr="00352FFA">
        <w:rPr>
          <w:rFonts w:ascii="微软雅黑" w:eastAsia="微软雅黑" w:hAnsi="微软雅黑" w:cs="宋体" w:hint="eastAsia"/>
          <w:color w:val="555555"/>
          <w:kern w:val="0"/>
          <w:szCs w:val="21"/>
        </w:rPr>
        <w:br/>
        <w:t>从下图可以看出，2013年12月至今沪镍和伦镍的比值基本保持在6-8之间，其中核心比值区间为6.6-7.6，比例高达90%。2014年1月因印尼原矿出口禁令生效，全球镍矿出口收紧令伦镍大涨，沪伦比值也一度触及低点5.96。 </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Cs w:val="21"/>
        </w:rPr>
        <w:t>图2：沪伦比值和进口均衡比值 </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lastRenderedPageBreak/>
        <w:t> </w:t>
      </w:r>
      <w:r w:rsidRPr="00352FFA">
        <w:rPr>
          <w:rFonts w:ascii="微软雅黑" w:eastAsia="微软雅黑" w:hAnsi="微软雅黑" w:cs="宋体"/>
          <w:noProof/>
          <w:color w:val="555555"/>
          <w:kern w:val="0"/>
          <w:szCs w:val="21"/>
        </w:rPr>
        <w:drawing>
          <wp:inline distT="0" distB="0" distL="0" distR="0">
            <wp:extent cx="4705350" cy="3209925"/>
            <wp:effectExtent l="0" t="0" r="0" b="9525"/>
            <wp:docPr id="10" name="图片 10" descr="http://files.jrqh.com.cn/uploads/management/image/20150604/892dd329-2dea-4abe-adca-21c0bb5e32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jrqh.com.cn/uploads/management/image/20150604/892dd329-2dea-4abe-adca-21c0bb5e32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3209925"/>
                    </a:xfrm>
                    <a:prstGeom prst="rect">
                      <a:avLst/>
                    </a:prstGeom>
                    <a:noFill/>
                    <a:ln>
                      <a:noFill/>
                    </a:ln>
                  </pic:spPr>
                </pic:pic>
              </a:graphicData>
            </a:graphic>
          </wp:inline>
        </w:drawing>
      </w:r>
      <w:r w:rsidRPr="00352FFA">
        <w:rPr>
          <w:rFonts w:ascii="微软雅黑" w:eastAsia="微软雅黑" w:hAnsi="微软雅黑" w:cs="宋体" w:hint="eastAsia"/>
          <w:color w:val="555555"/>
          <w:kern w:val="0"/>
          <w:szCs w:val="21"/>
        </w:rPr>
        <w:br/>
        <w:t>资料来源：wind资讯  金瑞期货</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Cs w:val="21"/>
        </w:rPr>
        <w:t>图3：沪伦比值数据统计</w:t>
      </w:r>
      <w:r w:rsidRPr="00352FFA">
        <w:rPr>
          <w:rFonts w:ascii="微软雅黑" w:eastAsia="微软雅黑" w:hAnsi="微软雅黑" w:cs="宋体" w:hint="eastAsia"/>
          <w:color w:val="555555"/>
          <w:kern w:val="0"/>
          <w:szCs w:val="21"/>
        </w:rPr>
        <w:br/>
        <w:t>  </w:t>
      </w:r>
      <w:r w:rsidRPr="00352FFA">
        <w:rPr>
          <w:rFonts w:ascii="微软雅黑" w:eastAsia="微软雅黑" w:hAnsi="微软雅黑" w:cs="宋体"/>
          <w:noProof/>
          <w:color w:val="555555"/>
          <w:kern w:val="0"/>
          <w:szCs w:val="21"/>
        </w:rPr>
        <w:drawing>
          <wp:inline distT="0" distB="0" distL="0" distR="0">
            <wp:extent cx="2362200" cy="3028950"/>
            <wp:effectExtent l="0" t="0" r="0" b="0"/>
            <wp:docPr id="9" name="图片 9" descr="http://files.jrqh.com.cn/uploads/management/image/20150604/19b0ec53-c41d-4427-a58e-003882fbf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les.jrqh.com.cn/uploads/management/image/20150604/19b0ec53-c41d-4427-a58e-003882fbf1b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3028950"/>
                    </a:xfrm>
                    <a:prstGeom prst="rect">
                      <a:avLst/>
                    </a:prstGeom>
                    <a:noFill/>
                    <a:ln>
                      <a:noFill/>
                    </a:ln>
                  </pic:spPr>
                </pic:pic>
              </a:graphicData>
            </a:graphic>
          </wp:inline>
        </w:drawing>
      </w:r>
      <w:r w:rsidRPr="00352FFA">
        <w:rPr>
          <w:rFonts w:ascii="微软雅黑" w:eastAsia="微软雅黑" w:hAnsi="微软雅黑" w:cs="宋体"/>
          <w:noProof/>
          <w:color w:val="555555"/>
          <w:kern w:val="0"/>
          <w:szCs w:val="21"/>
        </w:rPr>
        <w:drawing>
          <wp:inline distT="0" distB="0" distL="0" distR="0">
            <wp:extent cx="2124075" cy="3333750"/>
            <wp:effectExtent l="0" t="0" r="9525" b="0"/>
            <wp:docPr id="8" name="图片 8" descr="http://files.jrqh.com.cn/uploads/management/image/20150604/87d8604b-da5d-4375-8d5d-20c415c1ed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s.jrqh.com.cn/uploads/management/image/20150604/87d8604b-da5d-4375-8d5d-20c415c1ed4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3333750"/>
                    </a:xfrm>
                    <a:prstGeom prst="rect">
                      <a:avLst/>
                    </a:prstGeom>
                    <a:noFill/>
                    <a:ln>
                      <a:noFill/>
                    </a:ln>
                  </pic:spPr>
                </pic:pic>
              </a:graphicData>
            </a:graphic>
          </wp:inline>
        </w:drawing>
      </w:r>
      <w:r w:rsidRPr="00352FFA">
        <w:rPr>
          <w:rFonts w:ascii="微软雅黑" w:eastAsia="微软雅黑" w:hAnsi="微软雅黑" w:cs="宋体" w:hint="eastAsia"/>
          <w:color w:val="555555"/>
          <w:kern w:val="0"/>
          <w:szCs w:val="21"/>
        </w:rPr>
        <w:br/>
        <w:t>资料来源：wind资讯  金瑞期货</w:t>
      </w:r>
      <w:r w:rsidRPr="00352FFA">
        <w:rPr>
          <w:rFonts w:ascii="微软雅黑" w:eastAsia="微软雅黑" w:hAnsi="微软雅黑" w:cs="宋体" w:hint="eastAsia"/>
          <w:color w:val="555555"/>
          <w:kern w:val="0"/>
          <w:szCs w:val="21"/>
        </w:rPr>
        <w:br/>
        <w:t>2、 镍进口流程及成本计算</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lastRenderedPageBreak/>
        <w:t>由于跨市套利是以现货进出口贸易为基础，沪伦镍比值变化实际上反映出电解镍进口盈亏情况，因此需要了解镍进口流程及相关成本计算。</w:t>
      </w:r>
      <w:r w:rsidRPr="00352FFA">
        <w:rPr>
          <w:rFonts w:ascii="微软雅黑" w:eastAsia="微软雅黑" w:hAnsi="微软雅黑" w:cs="宋体" w:hint="eastAsia"/>
          <w:color w:val="555555"/>
          <w:kern w:val="0"/>
          <w:szCs w:val="21"/>
        </w:rPr>
        <w:br/>
        <w:t>1）一般进口流程</w:t>
      </w:r>
      <w:r w:rsidRPr="00352FFA">
        <w:rPr>
          <w:rFonts w:ascii="微软雅黑" w:eastAsia="微软雅黑" w:hAnsi="微软雅黑" w:cs="宋体" w:hint="eastAsia"/>
          <w:color w:val="555555"/>
          <w:kern w:val="0"/>
          <w:szCs w:val="21"/>
        </w:rPr>
        <w:br/>
        <w:t>镍的进口流程：询价与货源——申请信用证额度——国内开具信用证（或担保）——现货买入（定价参考LME现货价+CIF升水），国内保值——落实信用证金额——起运，报关等——入关，入库，交割做仓单——现货销售（同步期货空头平仓回补）或交割——汇兑还贷。</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t>2） 镍的进口盈亏计算及影响因素</w:t>
      </w:r>
      <w:r w:rsidRPr="00352FFA">
        <w:rPr>
          <w:rFonts w:ascii="微软雅黑" w:eastAsia="微软雅黑" w:hAnsi="微软雅黑" w:cs="宋体" w:hint="eastAsia"/>
          <w:color w:val="555555"/>
          <w:kern w:val="0"/>
          <w:szCs w:val="21"/>
        </w:rPr>
        <w:br/>
        <w:t>在有色金属进口贸易中，通常采用以LME价格为基价的点价模式，目前国内镍的进口关税为1%，增值税为17%，电解镍的进口成本为：</w:t>
      </w:r>
      <w:r w:rsidRPr="00352FFA">
        <w:rPr>
          <w:rFonts w:ascii="微软雅黑" w:eastAsia="微软雅黑" w:hAnsi="微软雅黑" w:cs="宋体" w:hint="eastAsia"/>
          <w:color w:val="555555"/>
          <w:kern w:val="0"/>
          <w:szCs w:val="21"/>
        </w:rPr>
        <w:br/>
        <w:t>进口成本=（LME3月期镍+3月升贴水+CIF升水）×（1+增值税税率）×汇率+杂费</w:t>
      </w:r>
      <w:r w:rsidRPr="00352FFA">
        <w:rPr>
          <w:rFonts w:ascii="微软雅黑" w:eastAsia="微软雅黑" w:hAnsi="微软雅黑" w:cs="宋体" w:hint="eastAsia"/>
          <w:color w:val="555555"/>
          <w:kern w:val="0"/>
          <w:szCs w:val="21"/>
        </w:rPr>
        <w:br/>
        <w:t>进口现货比值=进口成本÷（LME3月期镍+3月升贴水）</w:t>
      </w:r>
    </w:p>
    <w:tbl>
      <w:tblPr>
        <w:tblW w:w="7797" w:type="dxa"/>
        <w:tblCellMar>
          <w:left w:w="0" w:type="dxa"/>
          <w:right w:w="0" w:type="dxa"/>
        </w:tblCellMar>
        <w:tblLook w:val="04A0" w:firstRow="1" w:lastRow="0" w:firstColumn="1" w:lastColumn="0" w:noHBand="0" w:noVBand="1"/>
      </w:tblPr>
      <w:tblGrid>
        <w:gridCol w:w="570"/>
        <w:gridCol w:w="2834"/>
        <w:gridCol w:w="4393"/>
      </w:tblGrid>
      <w:tr w:rsidR="00352FFA" w:rsidRPr="00352FFA" w:rsidTr="00352FFA">
        <w:tc>
          <w:tcPr>
            <w:tcW w:w="57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hint="eastAsia"/>
                <w:kern w:val="0"/>
                <w:sz w:val="24"/>
                <w:szCs w:val="24"/>
              </w:rPr>
            </w:pPr>
            <w:r w:rsidRPr="00352FFA">
              <w:rPr>
                <w:rFonts w:ascii="宋体" w:eastAsia="宋体" w:hAnsi="宋体" w:cs="宋体"/>
                <w:kern w:val="0"/>
                <w:sz w:val="24"/>
                <w:szCs w:val="24"/>
                <w:bdr w:val="none" w:sz="0" w:space="0" w:color="auto" w:frame="1"/>
              </w:rPr>
              <w:t>1</w:t>
            </w:r>
          </w:p>
        </w:tc>
        <w:tc>
          <w:tcPr>
            <w:tcW w:w="283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汇率</w:t>
            </w:r>
          </w:p>
        </w:tc>
        <w:tc>
          <w:tcPr>
            <w:tcW w:w="439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right"/>
              <w:rPr>
                <w:rFonts w:ascii="宋体" w:eastAsia="宋体" w:hAnsi="宋体" w:cs="宋体"/>
                <w:kern w:val="0"/>
                <w:sz w:val="24"/>
                <w:szCs w:val="24"/>
              </w:rPr>
            </w:pPr>
            <w:r w:rsidRPr="00352FFA">
              <w:rPr>
                <w:rFonts w:ascii="宋体" w:eastAsia="宋体" w:hAnsi="宋体" w:cs="宋体"/>
                <w:kern w:val="0"/>
                <w:sz w:val="20"/>
                <w:szCs w:val="20"/>
                <w:bdr w:val="none" w:sz="0" w:space="0" w:color="auto" w:frame="1"/>
              </w:rPr>
              <w:t>6.2096</w:t>
            </w:r>
            <w:r w:rsidRPr="00352FFA">
              <w:rPr>
                <w:rFonts w:ascii="宋体" w:eastAsia="宋体" w:hAnsi="宋体" w:cs="宋体" w:hint="eastAsia"/>
                <w:kern w:val="0"/>
                <w:sz w:val="20"/>
                <w:szCs w:val="20"/>
                <w:bdr w:val="none" w:sz="0" w:space="0" w:color="auto" w:frame="1"/>
              </w:rPr>
              <w:t>人民币兑</w:t>
            </w:r>
            <w:r w:rsidRPr="00352FFA">
              <w:rPr>
                <w:rFonts w:ascii="宋体" w:eastAsia="宋体" w:hAnsi="宋体" w:cs="宋体"/>
                <w:kern w:val="0"/>
                <w:sz w:val="20"/>
                <w:szCs w:val="20"/>
                <w:bdr w:val="none" w:sz="0" w:space="0" w:color="auto" w:frame="1"/>
              </w:rPr>
              <w:t>1</w:t>
            </w:r>
            <w:r w:rsidRPr="00352FFA">
              <w:rPr>
                <w:rFonts w:ascii="宋体" w:eastAsia="宋体" w:hAnsi="宋体" w:cs="宋体" w:hint="eastAsia"/>
                <w:kern w:val="0"/>
                <w:sz w:val="20"/>
                <w:szCs w:val="20"/>
                <w:bdr w:val="none" w:sz="0" w:space="0" w:color="auto" w:frame="1"/>
              </w:rPr>
              <w:t>美元元</w:t>
            </w:r>
          </w:p>
        </w:tc>
      </w:tr>
      <w:tr w:rsidR="00352FFA" w:rsidRPr="00352FFA" w:rsidTr="00352FFA">
        <w:tc>
          <w:tcPr>
            <w:tcW w:w="57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kern w:val="0"/>
                <w:sz w:val="24"/>
                <w:szCs w:val="24"/>
                <w:bdr w:val="none" w:sz="0" w:space="0" w:color="auto" w:frame="1"/>
              </w:rPr>
              <w:t>2</w:t>
            </w:r>
          </w:p>
        </w:tc>
        <w:tc>
          <w:tcPr>
            <w:tcW w:w="283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kern w:val="0"/>
                <w:sz w:val="20"/>
                <w:szCs w:val="20"/>
                <w:bdr w:val="none" w:sz="0" w:space="0" w:color="auto" w:frame="1"/>
              </w:rPr>
              <w:t>CIF</w:t>
            </w:r>
            <w:r w:rsidRPr="00352FFA">
              <w:rPr>
                <w:rFonts w:ascii="宋体" w:eastAsia="宋体" w:hAnsi="宋体" w:cs="宋体" w:hint="eastAsia"/>
                <w:kern w:val="0"/>
                <w:sz w:val="20"/>
                <w:szCs w:val="20"/>
                <w:bdr w:val="none" w:sz="0" w:space="0" w:color="auto" w:frame="1"/>
              </w:rPr>
              <w:t>中国升水</w:t>
            </w:r>
          </w:p>
        </w:tc>
        <w:tc>
          <w:tcPr>
            <w:tcW w:w="439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righ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暂定为</w:t>
            </w:r>
            <w:r w:rsidRPr="00352FFA">
              <w:rPr>
                <w:rFonts w:ascii="宋体" w:eastAsia="宋体" w:hAnsi="宋体" w:cs="宋体"/>
                <w:kern w:val="0"/>
                <w:sz w:val="20"/>
                <w:szCs w:val="20"/>
                <w:bdr w:val="none" w:sz="0" w:space="0" w:color="auto" w:frame="1"/>
              </w:rPr>
              <w:t>155</w:t>
            </w:r>
            <w:r w:rsidRPr="00352FFA">
              <w:rPr>
                <w:rFonts w:ascii="宋体" w:eastAsia="宋体" w:hAnsi="宋体" w:cs="宋体" w:hint="eastAsia"/>
                <w:kern w:val="0"/>
                <w:sz w:val="20"/>
                <w:szCs w:val="20"/>
                <w:bdr w:val="none" w:sz="0" w:space="0" w:color="auto" w:frame="1"/>
              </w:rPr>
              <w:t>元</w:t>
            </w:r>
            <w:r w:rsidRPr="00352FFA">
              <w:rPr>
                <w:rFonts w:ascii="宋体" w:eastAsia="宋体" w:hAnsi="宋体" w:cs="宋体"/>
                <w:kern w:val="0"/>
                <w:sz w:val="20"/>
                <w:szCs w:val="20"/>
                <w:bdr w:val="none" w:sz="0" w:space="0" w:color="auto" w:frame="1"/>
              </w:rPr>
              <w:t>/</w:t>
            </w:r>
            <w:r w:rsidRPr="00352FFA">
              <w:rPr>
                <w:rFonts w:ascii="宋体" w:eastAsia="宋体" w:hAnsi="宋体" w:cs="宋体" w:hint="eastAsia"/>
                <w:kern w:val="0"/>
                <w:sz w:val="20"/>
                <w:szCs w:val="20"/>
                <w:bdr w:val="none" w:sz="0" w:space="0" w:color="auto" w:frame="1"/>
              </w:rPr>
              <w:t>吨</w:t>
            </w:r>
          </w:p>
        </w:tc>
      </w:tr>
      <w:tr w:rsidR="00352FFA" w:rsidRPr="00352FFA" w:rsidTr="00352FFA">
        <w:tc>
          <w:tcPr>
            <w:tcW w:w="57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kern w:val="0"/>
                <w:sz w:val="24"/>
                <w:szCs w:val="24"/>
                <w:bdr w:val="none" w:sz="0" w:space="0" w:color="auto" w:frame="1"/>
              </w:rPr>
              <w:t>3</w:t>
            </w:r>
          </w:p>
        </w:tc>
        <w:tc>
          <w:tcPr>
            <w:tcW w:w="283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kern w:val="0"/>
                <w:sz w:val="20"/>
                <w:szCs w:val="20"/>
                <w:bdr w:val="none" w:sz="0" w:space="0" w:color="auto" w:frame="1"/>
              </w:rPr>
              <w:t>LME</w:t>
            </w:r>
            <w:r w:rsidRPr="00352FFA">
              <w:rPr>
                <w:rFonts w:ascii="宋体" w:eastAsia="宋体" w:hAnsi="宋体" w:cs="宋体" w:hint="eastAsia"/>
                <w:kern w:val="0"/>
                <w:sz w:val="20"/>
                <w:szCs w:val="20"/>
                <w:bdr w:val="none" w:sz="0" w:space="0" w:color="auto" w:frame="1"/>
              </w:rPr>
              <w:t>现货合约对</w:t>
            </w:r>
            <w:r w:rsidRPr="00352FFA">
              <w:rPr>
                <w:rFonts w:ascii="宋体" w:eastAsia="宋体" w:hAnsi="宋体" w:cs="宋体"/>
                <w:kern w:val="0"/>
                <w:sz w:val="20"/>
                <w:szCs w:val="20"/>
                <w:bdr w:val="none" w:sz="0" w:space="0" w:color="auto" w:frame="1"/>
              </w:rPr>
              <w:t>3</w:t>
            </w:r>
            <w:r w:rsidRPr="00352FFA">
              <w:rPr>
                <w:rFonts w:ascii="宋体" w:eastAsia="宋体" w:hAnsi="宋体" w:cs="宋体" w:hint="eastAsia"/>
                <w:kern w:val="0"/>
                <w:sz w:val="20"/>
                <w:szCs w:val="20"/>
                <w:bdr w:val="none" w:sz="0" w:space="0" w:color="auto" w:frame="1"/>
              </w:rPr>
              <w:t>月合约升水</w:t>
            </w:r>
          </w:p>
        </w:tc>
        <w:tc>
          <w:tcPr>
            <w:tcW w:w="439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righ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暂定为贴水</w:t>
            </w:r>
            <w:r w:rsidRPr="00352FFA">
              <w:rPr>
                <w:rFonts w:ascii="宋体" w:eastAsia="宋体" w:hAnsi="宋体" w:cs="宋体"/>
                <w:kern w:val="0"/>
                <w:sz w:val="20"/>
                <w:szCs w:val="20"/>
                <w:bdr w:val="none" w:sz="0" w:space="0" w:color="auto" w:frame="1"/>
              </w:rPr>
              <w:t>39</w:t>
            </w:r>
            <w:r w:rsidRPr="00352FFA">
              <w:rPr>
                <w:rFonts w:ascii="宋体" w:eastAsia="宋体" w:hAnsi="宋体" w:cs="宋体" w:hint="eastAsia"/>
                <w:kern w:val="0"/>
                <w:sz w:val="20"/>
                <w:szCs w:val="20"/>
                <w:bdr w:val="none" w:sz="0" w:space="0" w:color="auto" w:frame="1"/>
              </w:rPr>
              <w:t>元</w:t>
            </w:r>
            <w:r w:rsidRPr="00352FFA">
              <w:rPr>
                <w:rFonts w:ascii="宋体" w:eastAsia="宋体" w:hAnsi="宋体" w:cs="宋体"/>
                <w:kern w:val="0"/>
                <w:sz w:val="20"/>
                <w:szCs w:val="20"/>
                <w:bdr w:val="none" w:sz="0" w:space="0" w:color="auto" w:frame="1"/>
              </w:rPr>
              <w:t>/</w:t>
            </w:r>
            <w:r w:rsidRPr="00352FFA">
              <w:rPr>
                <w:rFonts w:ascii="宋体" w:eastAsia="宋体" w:hAnsi="宋体" w:cs="宋体" w:hint="eastAsia"/>
                <w:kern w:val="0"/>
                <w:sz w:val="20"/>
                <w:szCs w:val="20"/>
                <w:bdr w:val="none" w:sz="0" w:space="0" w:color="auto" w:frame="1"/>
              </w:rPr>
              <w:t>吨</w:t>
            </w:r>
          </w:p>
        </w:tc>
      </w:tr>
      <w:tr w:rsidR="00352FFA" w:rsidRPr="00352FFA" w:rsidTr="00352FFA">
        <w:tc>
          <w:tcPr>
            <w:tcW w:w="57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kern w:val="0"/>
                <w:sz w:val="24"/>
                <w:szCs w:val="24"/>
                <w:bdr w:val="none" w:sz="0" w:space="0" w:color="auto" w:frame="1"/>
              </w:rPr>
              <w:t>4</w:t>
            </w:r>
          </w:p>
        </w:tc>
        <w:tc>
          <w:tcPr>
            <w:tcW w:w="283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增值税</w:t>
            </w:r>
          </w:p>
        </w:tc>
        <w:tc>
          <w:tcPr>
            <w:tcW w:w="439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right"/>
              <w:rPr>
                <w:rFonts w:ascii="宋体" w:eastAsia="宋体" w:hAnsi="宋体" w:cs="宋体"/>
                <w:kern w:val="0"/>
                <w:sz w:val="24"/>
                <w:szCs w:val="24"/>
              </w:rPr>
            </w:pPr>
            <w:r w:rsidRPr="00352FFA">
              <w:rPr>
                <w:rFonts w:ascii="宋体" w:eastAsia="宋体" w:hAnsi="宋体" w:cs="宋体"/>
                <w:kern w:val="0"/>
                <w:sz w:val="20"/>
                <w:szCs w:val="20"/>
                <w:bdr w:val="none" w:sz="0" w:space="0" w:color="auto" w:frame="1"/>
              </w:rPr>
              <w:t>17%</w:t>
            </w:r>
          </w:p>
        </w:tc>
      </w:tr>
      <w:tr w:rsidR="00352FFA" w:rsidRPr="00352FFA" w:rsidTr="00352FFA">
        <w:tc>
          <w:tcPr>
            <w:tcW w:w="57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kern w:val="0"/>
                <w:sz w:val="24"/>
                <w:szCs w:val="24"/>
                <w:bdr w:val="none" w:sz="0" w:space="0" w:color="auto" w:frame="1"/>
              </w:rPr>
              <w:t>5</w:t>
            </w:r>
          </w:p>
        </w:tc>
        <w:tc>
          <w:tcPr>
            <w:tcW w:w="283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进口关税</w:t>
            </w:r>
          </w:p>
        </w:tc>
        <w:tc>
          <w:tcPr>
            <w:tcW w:w="439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right"/>
              <w:rPr>
                <w:rFonts w:ascii="宋体" w:eastAsia="宋体" w:hAnsi="宋体" w:cs="宋体"/>
                <w:kern w:val="0"/>
                <w:sz w:val="24"/>
                <w:szCs w:val="24"/>
              </w:rPr>
            </w:pPr>
            <w:r w:rsidRPr="00352FFA">
              <w:rPr>
                <w:rFonts w:ascii="宋体" w:eastAsia="宋体" w:hAnsi="宋体" w:cs="宋体"/>
                <w:kern w:val="0"/>
                <w:sz w:val="20"/>
                <w:szCs w:val="20"/>
                <w:bdr w:val="none" w:sz="0" w:space="0" w:color="auto" w:frame="1"/>
              </w:rPr>
              <w:t>1%</w:t>
            </w:r>
          </w:p>
        </w:tc>
      </w:tr>
      <w:tr w:rsidR="00352FFA" w:rsidRPr="00352FFA" w:rsidTr="00352FFA">
        <w:tc>
          <w:tcPr>
            <w:tcW w:w="570"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kern w:val="0"/>
                <w:sz w:val="24"/>
                <w:szCs w:val="24"/>
                <w:bdr w:val="none" w:sz="0" w:space="0" w:color="auto" w:frame="1"/>
              </w:rPr>
              <w:t>6</w:t>
            </w:r>
          </w:p>
        </w:tc>
        <w:tc>
          <w:tcPr>
            <w:tcW w:w="283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lef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其他费用（包括到岸短驳费、进港费、代理费、其他杂费）</w:t>
            </w:r>
          </w:p>
        </w:tc>
        <w:tc>
          <w:tcPr>
            <w:tcW w:w="4395" w:type="dxa"/>
            <w:tcBorders>
              <w:top w:val="single" w:sz="8" w:space="0" w:color="auto"/>
              <w:left w:val="single" w:sz="8" w:space="0" w:color="auto"/>
              <w:bottom w:val="single" w:sz="8" w:space="0" w:color="auto"/>
              <w:right w:val="single" w:sz="8" w:space="0" w:color="auto"/>
            </w:tcBorders>
            <w:hideMark/>
          </w:tcPr>
          <w:p w:rsidR="00352FFA" w:rsidRPr="00352FFA" w:rsidRDefault="00352FFA" w:rsidP="00352FFA">
            <w:pPr>
              <w:widowControl/>
              <w:spacing w:line="432" w:lineRule="atLeast"/>
              <w:jc w:val="right"/>
              <w:rPr>
                <w:rFonts w:ascii="宋体" w:eastAsia="宋体" w:hAnsi="宋体" w:cs="宋体"/>
                <w:kern w:val="0"/>
                <w:sz w:val="24"/>
                <w:szCs w:val="24"/>
              </w:rPr>
            </w:pPr>
            <w:r w:rsidRPr="00352FFA">
              <w:rPr>
                <w:rFonts w:ascii="宋体" w:eastAsia="宋体" w:hAnsi="宋体" w:cs="宋体" w:hint="eastAsia"/>
                <w:kern w:val="0"/>
                <w:sz w:val="20"/>
                <w:szCs w:val="20"/>
                <w:bdr w:val="none" w:sz="0" w:space="0" w:color="auto" w:frame="1"/>
              </w:rPr>
              <w:t>合计</w:t>
            </w:r>
            <w:r w:rsidRPr="00352FFA">
              <w:rPr>
                <w:rFonts w:ascii="宋体" w:eastAsia="宋体" w:hAnsi="宋体" w:cs="宋体"/>
                <w:kern w:val="0"/>
                <w:sz w:val="20"/>
                <w:szCs w:val="20"/>
                <w:bdr w:val="none" w:sz="0" w:space="0" w:color="auto" w:frame="1"/>
              </w:rPr>
              <w:t>200</w:t>
            </w:r>
            <w:r w:rsidRPr="00352FFA">
              <w:rPr>
                <w:rFonts w:ascii="宋体" w:eastAsia="宋体" w:hAnsi="宋体" w:cs="宋体" w:hint="eastAsia"/>
                <w:kern w:val="0"/>
                <w:sz w:val="20"/>
                <w:szCs w:val="20"/>
                <w:bdr w:val="none" w:sz="0" w:space="0" w:color="auto" w:frame="1"/>
              </w:rPr>
              <w:t>元</w:t>
            </w:r>
          </w:p>
        </w:tc>
      </w:tr>
    </w:tbl>
    <w:p w:rsidR="00352FFA" w:rsidRPr="00352FFA" w:rsidRDefault="00352FFA" w:rsidP="00352FFA">
      <w:pPr>
        <w:widowControl/>
        <w:shd w:val="clear" w:color="auto" w:fill="FAFAF9"/>
        <w:spacing w:line="360" w:lineRule="atLeast"/>
        <w:jc w:val="left"/>
        <w:rPr>
          <w:rFonts w:ascii="微软雅黑" w:eastAsia="微软雅黑" w:hAnsi="微软雅黑" w:cs="宋体"/>
          <w:color w:val="555555"/>
          <w:kern w:val="0"/>
          <w:szCs w:val="21"/>
        </w:rPr>
      </w:pP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t>3） 镍的进口盈亏计算</w:t>
      </w:r>
      <w:r w:rsidRPr="00352FFA">
        <w:rPr>
          <w:rFonts w:ascii="微软雅黑" w:eastAsia="微软雅黑" w:hAnsi="微软雅黑" w:cs="宋体" w:hint="eastAsia"/>
          <w:color w:val="555555"/>
          <w:kern w:val="0"/>
          <w:szCs w:val="21"/>
        </w:rPr>
        <w:br/>
        <w:t>以2015年5月11日的LME3月期镍收盘价14270美元/吨、上海物贸现货镍平均价为</w:t>
      </w:r>
      <w:r w:rsidRPr="00352FFA">
        <w:rPr>
          <w:rFonts w:ascii="微软雅黑" w:eastAsia="微软雅黑" w:hAnsi="微软雅黑" w:cs="宋体" w:hint="eastAsia"/>
          <w:color w:val="555555"/>
          <w:kern w:val="0"/>
          <w:szCs w:val="21"/>
        </w:rPr>
        <w:lastRenderedPageBreak/>
        <w:t>107500元/吨来计算现货进口盈亏：</w:t>
      </w:r>
      <w:r w:rsidRPr="00352FFA">
        <w:rPr>
          <w:rFonts w:ascii="微软雅黑" w:eastAsia="微软雅黑" w:hAnsi="微软雅黑" w:cs="宋体" w:hint="eastAsia"/>
          <w:color w:val="555555"/>
          <w:kern w:val="0"/>
          <w:szCs w:val="21"/>
        </w:rPr>
        <w:br/>
        <w:t>入关成本＝（14270－39＋155）×（1＋17%）×（1＋1%）×6.2096＝105563元/吨</w:t>
      </w:r>
      <w:r w:rsidRPr="00352FFA">
        <w:rPr>
          <w:rFonts w:ascii="微软雅黑" w:eastAsia="微软雅黑" w:hAnsi="微软雅黑" w:cs="宋体" w:hint="eastAsia"/>
          <w:color w:val="555555"/>
          <w:kern w:val="0"/>
          <w:szCs w:val="21"/>
        </w:rPr>
        <w:br/>
        <w:t>其他费用＝200元/吨</w:t>
      </w:r>
      <w:r w:rsidRPr="00352FFA">
        <w:rPr>
          <w:rFonts w:ascii="微软雅黑" w:eastAsia="微软雅黑" w:hAnsi="微软雅黑" w:cs="宋体" w:hint="eastAsia"/>
          <w:color w:val="555555"/>
          <w:kern w:val="0"/>
          <w:szCs w:val="21"/>
        </w:rPr>
        <w:br/>
        <w:t>总进口成本＝105563＋200＝105763元/吨</w:t>
      </w:r>
      <w:r w:rsidRPr="00352FFA">
        <w:rPr>
          <w:rFonts w:ascii="微软雅黑" w:eastAsia="微软雅黑" w:hAnsi="微软雅黑" w:cs="宋体" w:hint="eastAsia"/>
          <w:color w:val="555555"/>
          <w:kern w:val="0"/>
          <w:szCs w:val="21"/>
        </w:rPr>
        <w:br/>
        <w:t>进口盈利＝107500－105763＝1737元/吨</w:t>
      </w:r>
      <w:r w:rsidRPr="00352FFA">
        <w:rPr>
          <w:rFonts w:ascii="微软雅黑" w:eastAsia="微软雅黑" w:hAnsi="微软雅黑" w:cs="宋体" w:hint="eastAsia"/>
          <w:color w:val="555555"/>
          <w:kern w:val="0"/>
          <w:szCs w:val="21"/>
        </w:rPr>
        <w:br/>
        <w:t>现货比值＝107500÷（14270－39）＝7.55</w:t>
      </w:r>
      <w:r w:rsidRPr="00352FFA">
        <w:rPr>
          <w:rFonts w:ascii="微软雅黑" w:eastAsia="微软雅黑" w:hAnsi="微软雅黑" w:cs="宋体" w:hint="eastAsia"/>
          <w:color w:val="555555"/>
          <w:kern w:val="0"/>
          <w:szCs w:val="21"/>
        </w:rPr>
        <w:br/>
        <w:t>进口均衡比值＝105763÷（14270－39）＝7.43</w:t>
      </w:r>
      <w:r w:rsidRPr="00352FFA">
        <w:rPr>
          <w:rFonts w:ascii="微软雅黑" w:eastAsia="微软雅黑" w:hAnsi="微软雅黑" w:cs="宋体" w:hint="eastAsia"/>
          <w:color w:val="555555"/>
          <w:kern w:val="0"/>
          <w:szCs w:val="21"/>
        </w:rPr>
        <w:br/>
        <w:t>从镍的进口盈亏计算可以发现，目前进口镍处于盈利状态，只有当现货比值小于7.43时，进口镍才是亏损。从历史比值数据来看，两市最高盈利理论值为7.91，当前进口镍盈利主要是受到供需结构、国家经济政策等因素影响。</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 w:val="27"/>
          <w:szCs w:val="27"/>
          <w:bdr w:val="none" w:sz="0" w:space="0" w:color="auto" w:frame="1"/>
        </w:rPr>
        <w:t>四、沪伦镍跨市套利盈亏计算</w:t>
      </w:r>
      <w:r w:rsidRPr="00352FFA">
        <w:rPr>
          <w:rFonts w:ascii="微软雅黑" w:eastAsia="微软雅黑" w:hAnsi="微软雅黑" w:cs="宋体" w:hint="eastAsia"/>
          <w:color w:val="555555"/>
          <w:kern w:val="0"/>
          <w:szCs w:val="21"/>
        </w:rPr>
        <w:br/>
        <w:t>下面以正向套利模式来计算利润，即买伦镍抛沪镍。由于上期所新上市合约从1507开始，国内缺少现货月合约，因此我们主要假设在存在现货月合约的情况下，相关套利盈亏计算如下：</w:t>
      </w:r>
      <w:r w:rsidRPr="00352FFA">
        <w:rPr>
          <w:rFonts w:ascii="微软雅黑" w:eastAsia="微软雅黑" w:hAnsi="微软雅黑" w:cs="宋体" w:hint="eastAsia"/>
          <w:color w:val="555555"/>
          <w:kern w:val="0"/>
          <w:szCs w:val="21"/>
        </w:rPr>
        <w:br/>
        <w:t>假设：沪镍价格为X0，伦镍价格为Y0，X0/ Y0＝7.35，此时比值偏低，表明上海市场相对于伦敦市场价格偏低，所以我们选择买伦镍抛沪镍，而当经过一段时间后，双方比价升高，假设伦镍价格仍然为Y0，而沪镍价格此时为X1，假设X1/ Y0＝7.5</w:t>
      </w:r>
      <w:r w:rsidRPr="00352FFA">
        <w:rPr>
          <w:rFonts w:ascii="微软雅黑" w:eastAsia="微软雅黑" w:hAnsi="微软雅黑" w:cs="宋体" w:hint="eastAsia"/>
          <w:color w:val="555555"/>
          <w:kern w:val="0"/>
          <w:szCs w:val="21"/>
        </w:rPr>
        <w:br/>
        <w:t>相关费用核算：</w:t>
      </w:r>
      <w:r w:rsidRPr="00352FFA">
        <w:rPr>
          <w:rFonts w:ascii="微软雅黑" w:eastAsia="微软雅黑" w:hAnsi="微软雅黑" w:cs="宋体" w:hint="eastAsia"/>
          <w:color w:val="555555"/>
          <w:kern w:val="0"/>
          <w:szCs w:val="21"/>
        </w:rPr>
        <w:br/>
        <w:t>1、 汇率6.2096人民币兑1美元</w:t>
      </w:r>
      <w:r w:rsidRPr="00352FFA">
        <w:rPr>
          <w:rFonts w:ascii="微软雅黑" w:eastAsia="微软雅黑" w:hAnsi="微软雅黑" w:cs="宋体" w:hint="eastAsia"/>
          <w:color w:val="555555"/>
          <w:kern w:val="0"/>
          <w:szCs w:val="21"/>
        </w:rPr>
        <w:br/>
        <w:t>2、 期货手续费国内国际平均为万分之三</w:t>
      </w:r>
      <w:r w:rsidRPr="00352FFA">
        <w:rPr>
          <w:rFonts w:ascii="微软雅黑" w:eastAsia="微软雅黑" w:hAnsi="微软雅黑" w:cs="宋体" w:hint="eastAsia"/>
          <w:color w:val="555555"/>
          <w:kern w:val="0"/>
          <w:szCs w:val="21"/>
        </w:rPr>
        <w:br/>
        <w:t>3、 期货保证金国内国际平均为15%</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lastRenderedPageBreak/>
        <w:t>利润＝X1－X0＝7.5 Y0－7.35 Y0＝0.15 Y0</w:t>
      </w:r>
      <w:r w:rsidRPr="00352FFA">
        <w:rPr>
          <w:rFonts w:ascii="微软雅黑" w:eastAsia="微软雅黑" w:hAnsi="微软雅黑" w:cs="宋体" w:hint="eastAsia"/>
          <w:color w:val="555555"/>
          <w:kern w:val="0"/>
          <w:szCs w:val="21"/>
        </w:rPr>
        <w:br/>
        <w:t>手续费＝（6.2096×Y0＋X0＋6.2096×Y0＋X1）×3÷10000＝0.00818 Y0</w:t>
      </w:r>
      <w:r w:rsidRPr="00352FFA">
        <w:rPr>
          <w:rFonts w:ascii="微软雅黑" w:eastAsia="微软雅黑" w:hAnsi="微软雅黑" w:cs="宋体" w:hint="eastAsia"/>
          <w:color w:val="555555"/>
          <w:kern w:val="0"/>
          <w:szCs w:val="21"/>
        </w:rPr>
        <w:br/>
        <w:t>投入资金＝（6.2096×Y0＋X0）×15÷100＝2.05644 Y0</w:t>
      </w:r>
      <w:r w:rsidRPr="00352FFA">
        <w:rPr>
          <w:rFonts w:ascii="微软雅黑" w:eastAsia="微软雅黑" w:hAnsi="微软雅黑" w:cs="宋体" w:hint="eastAsia"/>
          <w:color w:val="555555"/>
          <w:kern w:val="0"/>
          <w:szCs w:val="21"/>
        </w:rPr>
        <w:br/>
        <w:t>利润率＝（利润－手续费）÷投入资金＝6.9%</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 w:val="27"/>
          <w:szCs w:val="27"/>
          <w:bdr w:val="none" w:sz="0" w:space="0" w:color="auto" w:frame="1"/>
        </w:rPr>
        <w:t>五、沪伦镍跨市套利影响因素分析</w:t>
      </w:r>
      <w:r w:rsidRPr="00352FFA">
        <w:rPr>
          <w:rFonts w:ascii="微软雅黑" w:eastAsia="微软雅黑" w:hAnsi="微软雅黑" w:cs="宋体" w:hint="eastAsia"/>
          <w:color w:val="555555"/>
          <w:kern w:val="0"/>
          <w:szCs w:val="21"/>
        </w:rPr>
        <w:br/>
        <w:t>1、 国内外生产、消费的季节性差异</w:t>
      </w:r>
      <w:r w:rsidRPr="00352FFA">
        <w:rPr>
          <w:rFonts w:ascii="微软雅黑" w:eastAsia="微软雅黑" w:hAnsi="微软雅黑" w:cs="宋体" w:hint="eastAsia"/>
          <w:color w:val="555555"/>
          <w:kern w:val="0"/>
          <w:szCs w:val="21"/>
        </w:rPr>
        <w:br/>
        <w:t>国内外周期性生产、消费季节的差异导致不同时期国内外供需端的不一致，从而引发价格变动方向上的差异，产生跨市套利机会。以下是国内外周期性生产/消费的差异期：</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t> 每年春节前后，国内一般对节后消费抱有较高期望，消费方囤货备料，多头买盘信心较足；而进口商则由于春节前后时间仓促，无法准时到货，只是国内外铜价明显高于伦敦价格。</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t> 每年6-7月份，西方进入暑期休假，工厂消费减少，使得伦敦价格下跌，而国内正值生产期，消费正旺，价格坚挺，高于伦敦价格。</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t> 每年12月份，西方进入圣诞节长假，工厂消费减少，使伦敦价格下跌，而国内生产则在加班赶进度，力争完成全年任务，消费旺盛，价格坚挺。</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Cs w:val="21"/>
        </w:rPr>
        <w:t>图4：沪伦比值月份变化差异</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lastRenderedPageBreak/>
        <w:t> </w:t>
      </w:r>
      <w:r w:rsidRPr="00352FFA">
        <w:rPr>
          <w:rFonts w:ascii="微软雅黑" w:eastAsia="微软雅黑" w:hAnsi="微软雅黑" w:cs="宋体"/>
          <w:noProof/>
          <w:color w:val="555555"/>
          <w:kern w:val="0"/>
          <w:szCs w:val="21"/>
        </w:rPr>
        <w:drawing>
          <wp:inline distT="0" distB="0" distL="0" distR="0">
            <wp:extent cx="4629150" cy="2733675"/>
            <wp:effectExtent l="0" t="0" r="0" b="9525"/>
            <wp:docPr id="7" name="图片 7" descr="http://files.jrqh.com.cn/uploads/management/image/20150604/431ed8bb-9de2-466e-b9c3-27e280e0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s.jrqh.com.cn/uploads/management/image/20150604/431ed8bb-9de2-466e-b9c3-27e280e0e1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2733675"/>
                    </a:xfrm>
                    <a:prstGeom prst="rect">
                      <a:avLst/>
                    </a:prstGeom>
                    <a:noFill/>
                    <a:ln>
                      <a:noFill/>
                    </a:ln>
                  </pic:spPr>
                </pic:pic>
              </a:graphicData>
            </a:graphic>
          </wp:inline>
        </w:drawing>
      </w:r>
      <w:r w:rsidRPr="00352FFA">
        <w:rPr>
          <w:rFonts w:ascii="微软雅黑" w:eastAsia="微软雅黑" w:hAnsi="微软雅黑" w:cs="宋体" w:hint="eastAsia"/>
          <w:color w:val="555555"/>
          <w:kern w:val="0"/>
          <w:szCs w:val="21"/>
        </w:rPr>
        <w:br/>
        <w:t>资料来源：wind资讯  金瑞期货</w:t>
      </w:r>
      <w:r w:rsidRPr="00352FFA">
        <w:rPr>
          <w:rFonts w:ascii="微软雅黑" w:eastAsia="微软雅黑" w:hAnsi="微软雅黑" w:cs="宋体" w:hint="eastAsia"/>
          <w:color w:val="555555"/>
          <w:kern w:val="0"/>
          <w:szCs w:val="21"/>
        </w:rPr>
        <w:br/>
        <w:t>不过从上图看，不论是7月份还是12月份，沪伦现货比值变化都没有体现出突出的季节性规律，这或与中国消费对国际镍价影响增强同时镍价还受到国际宏观方面的影响有关。不管怎样，国内外周期性生产、消费季节性的差异是沪伦镍跨市套利的重要参考因素。</w:t>
      </w:r>
      <w:r w:rsidRPr="00352FFA">
        <w:rPr>
          <w:rFonts w:ascii="微软雅黑" w:eastAsia="微软雅黑" w:hAnsi="微软雅黑" w:cs="宋体" w:hint="eastAsia"/>
          <w:color w:val="555555"/>
          <w:kern w:val="0"/>
          <w:szCs w:val="21"/>
        </w:rPr>
        <w:br/>
        <w:t>2、 印尼出口政策影响</w:t>
      </w:r>
      <w:r w:rsidRPr="00352FFA">
        <w:rPr>
          <w:rFonts w:ascii="微软雅黑" w:eastAsia="微软雅黑" w:hAnsi="微软雅黑" w:cs="宋体" w:hint="eastAsia"/>
          <w:color w:val="555555"/>
          <w:kern w:val="0"/>
          <w:szCs w:val="21"/>
        </w:rPr>
        <w:br/>
        <w:t>由于我国主要镍矿进口大都来自于印尼，因此印尼的出口政策变化对于国内镍的价格影响要显著大于伦敦价格。自2014年1月12日印尼原矿出口禁令正式生效以来，国内镍的现货价格逐步走高，使得沪伦比值也相应出现扩大。</w:t>
      </w:r>
      <w:r w:rsidRPr="00352FFA">
        <w:rPr>
          <w:rFonts w:ascii="微软雅黑" w:eastAsia="微软雅黑" w:hAnsi="微软雅黑" w:cs="宋体" w:hint="eastAsia"/>
          <w:color w:val="555555"/>
          <w:kern w:val="0"/>
          <w:szCs w:val="21"/>
        </w:rPr>
        <w:br/>
        <w:t>3、中国的经济政策影响</w:t>
      </w:r>
      <w:r w:rsidRPr="00352FFA">
        <w:rPr>
          <w:rFonts w:ascii="微软雅黑" w:eastAsia="微软雅黑" w:hAnsi="微软雅黑" w:cs="宋体" w:hint="eastAsia"/>
          <w:color w:val="555555"/>
          <w:kern w:val="0"/>
          <w:szCs w:val="21"/>
        </w:rPr>
        <w:br/>
        <w:t>中国经济政策对于沪伦比值也会产生较大影响，这主要是因为经济政策会影响国内外市场的需求状况，从而进一步影响国际国内镍的价格走势。由于中国经济下滑压力不断加大，目前货币政策的宽松周期已经打开，这将对实体经济起到一定的提振作用，从而进一步刺激镍的相关中下游产品的消费需求。从上图我们可以看到，从2014年7月以来，中国央行共有3次降息，每次降息都带动了沪伦比值出现一定的上升走势。</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Cs w:val="21"/>
        </w:rPr>
        <w:t>图5： 沪伦比值历史走势变化</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lastRenderedPageBreak/>
        <w:t> </w:t>
      </w:r>
      <w:r w:rsidRPr="00352FFA">
        <w:rPr>
          <w:rFonts w:ascii="微软雅黑" w:eastAsia="微软雅黑" w:hAnsi="微软雅黑" w:cs="宋体"/>
          <w:noProof/>
          <w:color w:val="555555"/>
          <w:kern w:val="0"/>
          <w:szCs w:val="21"/>
        </w:rPr>
        <w:drawing>
          <wp:inline distT="0" distB="0" distL="0" distR="0">
            <wp:extent cx="4333875" cy="2324100"/>
            <wp:effectExtent l="0" t="0" r="9525" b="0"/>
            <wp:docPr id="6" name="图片 6" descr="http://files.jrqh.com.cn/uploads/management/image/20150604/1bac8942-0fd9-4495-9cb7-f35568ad9d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jrqh.com.cn/uploads/management/image/20150604/1bac8942-0fd9-4495-9cb7-f35568ad9dc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2324100"/>
                    </a:xfrm>
                    <a:prstGeom prst="rect">
                      <a:avLst/>
                    </a:prstGeom>
                    <a:noFill/>
                    <a:ln>
                      <a:noFill/>
                    </a:ln>
                  </pic:spPr>
                </pic:pic>
              </a:graphicData>
            </a:graphic>
          </wp:inline>
        </w:drawing>
      </w:r>
      <w:r w:rsidRPr="00352FFA">
        <w:rPr>
          <w:rFonts w:ascii="微软雅黑" w:eastAsia="微软雅黑" w:hAnsi="微软雅黑" w:cs="宋体" w:hint="eastAsia"/>
          <w:color w:val="555555"/>
          <w:kern w:val="0"/>
          <w:szCs w:val="21"/>
        </w:rPr>
        <w:br/>
        <w:t>资料来源：wind资讯  金瑞期货</w:t>
      </w:r>
      <w:r w:rsidRPr="00352FFA">
        <w:rPr>
          <w:rFonts w:ascii="微软雅黑" w:eastAsia="微软雅黑" w:hAnsi="微软雅黑" w:cs="宋体" w:hint="eastAsia"/>
          <w:color w:val="555555"/>
          <w:kern w:val="0"/>
          <w:szCs w:val="21"/>
        </w:rPr>
        <w:br/>
        <w:t>4、人民币汇率对沪伦比值的影响</w:t>
      </w:r>
      <w:r w:rsidRPr="00352FFA">
        <w:rPr>
          <w:rFonts w:ascii="微软雅黑" w:eastAsia="微软雅黑" w:hAnsi="微软雅黑" w:cs="宋体" w:hint="eastAsia"/>
          <w:color w:val="555555"/>
          <w:kern w:val="0"/>
          <w:szCs w:val="21"/>
        </w:rPr>
        <w:br/>
        <w:t>比较人民币NDF汇率报价和沪伦镍现货比值的变动趋势来看，呈现同向变动。2014年10月以来 ，美元对人民币处于贬值通道，这带动了以人民币作为标价的沪铜价格上升，或者以美元作为标价的伦铜价格下降，从而引起沪伦现货比值上升。由于国内人民外汇占款持续大幅减少，以及中国政府面临调整经济结构需要，未来人民币贬值概率相对较小，预计未来人民币汇率将保持在6.15-6.2区间，因此沪伦比值走势相对温和。</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Cs w:val="21"/>
        </w:rPr>
        <w:t>图6：沪伦比值和人民币汇率之间的关系 </w:t>
      </w:r>
      <w:r w:rsidRPr="00352FFA">
        <w:rPr>
          <w:rFonts w:ascii="微软雅黑" w:eastAsia="微软雅黑" w:hAnsi="微软雅黑" w:cs="宋体" w:hint="eastAsia"/>
          <w:color w:val="555555"/>
          <w:kern w:val="0"/>
          <w:szCs w:val="21"/>
        </w:rPr>
        <w:br/>
        <w:t> </w:t>
      </w:r>
      <w:r w:rsidRPr="00352FFA">
        <w:rPr>
          <w:rFonts w:ascii="微软雅黑" w:eastAsia="微软雅黑" w:hAnsi="微软雅黑" w:cs="宋体"/>
          <w:noProof/>
          <w:color w:val="555555"/>
          <w:kern w:val="0"/>
          <w:szCs w:val="21"/>
        </w:rPr>
        <w:drawing>
          <wp:inline distT="0" distB="0" distL="0" distR="0">
            <wp:extent cx="4495800" cy="2752725"/>
            <wp:effectExtent l="0" t="0" r="0" b="9525"/>
            <wp:docPr id="5" name="图片 5" descr="http://files.jrqh.com.cn/uploads/management/image/20150604/beee8b68-6d17-45ee-8a1c-0c97c0f997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les.jrqh.com.cn/uploads/management/image/20150604/beee8b68-6d17-45ee-8a1c-0c97c0f9973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2752725"/>
                    </a:xfrm>
                    <a:prstGeom prst="rect">
                      <a:avLst/>
                    </a:prstGeom>
                    <a:noFill/>
                    <a:ln>
                      <a:noFill/>
                    </a:ln>
                  </pic:spPr>
                </pic:pic>
              </a:graphicData>
            </a:graphic>
          </wp:inline>
        </w:drawing>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lastRenderedPageBreak/>
        <w:t>资料来源：wind资讯  金瑞期货</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 w:val="27"/>
          <w:szCs w:val="27"/>
          <w:bdr w:val="none" w:sz="0" w:space="0" w:color="auto" w:frame="1"/>
        </w:rPr>
        <w:t>六、近期沪伦镍跨市套利策略</w:t>
      </w:r>
      <w:r w:rsidRPr="00352FFA">
        <w:rPr>
          <w:rFonts w:ascii="微软雅黑" w:eastAsia="微软雅黑" w:hAnsi="微软雅黑" w:cs="宋体" w:hint="eastAsia"/>
          <w:color w:val="555555"/>
          <w:kern w:val="0"/>
          <w:szCs w:val="21"/>
        </w:rPr>
        <w:br/>
        <w:t>我们认为未来沪伦比值将会上升，这主要是基于对基本面上的判断：</w:t>
      </w:r>
      <w:r w:rsidRPr="00352FFA">
        <w:rPr>
          <w:rFonts w:ascii="微软雅黑" w:eastAsia="微软雅黑" w:hAnsi="微软雅黑" w:cs="宋体" w:hint="eastAsia"/>
          <w:color w:val="555555"/>
          <w:kern w:val="0"/>
          <w:szCs w:val="21"/>
        </w:rPr>
        <w:br/>
        <w:t>1、 LME库存持续攀高，而国内港口镍矿库存出现下降。LME库存持续增加，显示出外部供给过剩压力不断加大，并将令未来伦镍走势偏弱。而国内港口镍矿库存回落，国内供给将面临收紧，预计将支撑沪镍走强。</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Cs w:val="21"/>
        </w:rPr>
        <w:t>图7：</w:t>
      </w:r>
      <w:proofErr w:type="spellStart"/>
      <w:r w:rsidRPr="00352FFA">
        <w:rPr>
          <w:rFonts w:ascii="微软雅黑" w:eastAsia="微软雅黑" w:hAnsi="微软雅黑" w:cs="宋体" w:hint="eastAsia"/>
          <w:b/>
          <w:bCs/>
          <w:color w:val="555555"/>
          <w:kern w:val="0"/>
          <w:szCs w:val="21"/>
        </w:rPr>
        <w:t>lME</w:t>
      </w:r>
      <w:proofErr w:type="spellEnd"/>
      <w:r w:rsidRPr="00352FFA">
        <w:rPr>
          <w:rFonts w:ascii="微软雅黑" w:eastAsia="微软雅黑" w:hAnsi="微软雅黑" w:cs="宋体" w:hint="eastAsia"/>
          <w:b/>
          <w:bCs/>
          <w:color w:val="555555"/>
          <w:kern w:val="0"/>
          <w:szCs w:val="21"/>
        </w:rPr>
        <w:t>镍库存和中国港口库存</w:t>
      </w:r>
      <w:r w:rsidRPr="00352FFA">
        <w:rPr>
          <w:rFonts w:ascii="微软雅黑" w:eastAsia="微软雅黑" w:hAnsi="微软雅黑" w:cs="宋体" w:hint="eastAsia"/>
          <w:color w:val="555555"/>
          <w:kern w:val="0"/>
          <w:szCs w:val="21"/>
        </w:rPr>
        <w:br/>
        <w:t> </w:t>
      </w:r>
      <w:r w:rsidRPr="00352FFA">
        <w:rPr>
          <w:rFonts w:ascii="微软雅黑" w:eastAsia="微软雅黑" w:hAnsi="微软雅黑" w:cs="宋体"/>
          <w:noProof/>
          <w:color w:val="555555"/>
          <w:kern w:val="0"/>
          <w:szCs w:val="21"/>
        </w:rPr>
        <w:drawing>
          <wp:inline distT="0" distB="0" distL="0" distR="0">
            <wp:extent cx="4486275" cy="2686050"/>
            <wp:effectExtent l="0" t="0" r="9525" b="0"/>
            <wp:docPr id="4" name="图片 4" descr="http://files.jrqh.com.cn/uploads/management/image/20150604/f3337424-7d79-4c23-9fe7-0b4b175fd5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les.jrqh.com.cn/uploads/management/image/20150604/f3337424-7d79-4c23-9fe7-0b4b175fd5f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2686050"/>
                    </a:xfrm>
                    <a:prstGeom prst="rect">
                      <a:avLst/>
                    </a:prstGeom>
                    <a:noFill/>
                    <a:ln>
                      <a:noFill/>
                    </a:ln>
                  </pic:spPr>
                </pic:pic>
              </a:graphicData>
            </a:graphic>
          </wp:inline>
        </w:drawing>
      </w:r>
      <w:r w:rsidRPr="00352FFA">
        <w:rPr>
          <w:rFonts w:ascii="微软雅黑" w:eastAsia="微软雅黑" w:hAnsi="微软雅黑" w:cs="宋体" w:hint="eastAsia"/>
          <w:color w:val="555555"/>
          <w:kern w:val="0"/>
          <w:szCs w:val="21"/>
        </w:rPr>
        <w:br/>
        <w:t>资料来源：wind资讯  金瑞期货</w:t>
      </w:r>
      <w:r w:rsidRPr="00352FFA">
        <w:rPr>
          <w:rFonts w:ascii="微软雅黑" w:eastAsia="微软雅黑" w:hAnsi="微软雅黑" w:cs="宋体" w:hint="eastAsia"/>
          <w:color w:val="555555"/>
          <w:kern w:val="0"/>
          <w:szCs w:val="21"/>
        </w:rPr>
        <w:br/>
        <w:t>2、 中国镍铁产量保持高速增长，开工率出现回升。从生产周期上来看，国内冶炼和中下游消费迎来生产旺季，镍铁开工率出现明显回升，未来进一步支撑沪镍走强。而欧美则刚好相反，逼近6-7月夏休期，企业生产活动放缓，市场需求疲弱使得未来伦镍走势进一步承压。</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Cs w:val="21"/>
        </w:rPr>
        <w:t>图8：中国镍铁产量和开工率</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color w:val="555555"/>
          <w:kern w:val="0"/>
          <w:szCs w:val="21"/>
        </w:rPr>
        <w:lastRenderedPageBreak/>
        <w:t> </w:t>
      </w:r>
      <w:r w:rsidRPr="00352FFA">
        <w:rPr>
          <w:rFonts w:ascii="微软雅黑" w:eastAsia="微软雅黑" w:hAnsi="微软雅黑" w:cs="宋体"/>
          <w:noProof/>
          <w:color w:val="555555"/>
          <w:kern w:val="0"/>
          <w:szCs w:val="21"/>
        </w:rPr>
        <w:drawing>
          <wp:inline distT="0" distB="0" distL="0" distR="0">
            <wp:extent cx="4953000" cy="2714625"/>
            <wp:effectExtent l="0" t="0" r="0" b="9525"/>
            <wp:docPr id="3" name="图片 3" descr="http://files.jrqh.com.cn/uploads/management/image/20150604/8282e1a4-3bc2-43d7-ab62-e881c2060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les.jrqh.com.cn/uploads/management/image/20150604/8282e1a4-3bc2-43d7-ab62-e881c2060b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2714625"/>
                    </a:xfrm>
                    <a:prstGeom prst="rect">
                      <a:avLst/>
                    </a:prstGeom>
                    <a:noFill/>
                    <a:ln>
                      <a:noFill/>
                    </a:ln>
                  </pic:spPr>
                </pic:pic>
              </a:graphicData>
            </a:graphic>
          </wp:inline>
        </w:drawing>
      </w:r>
      <w:r w:rsidRPr="00352FFA">
        <w:rPr>
          <w:rFonts w:ascii="微软雅黑" w:eastAsia="微软雅黑" w:hAnsi="微软雅黑" w:cs="宋体" w:hint="eastAsia"/>
          <w:color w:val="555555"/>
          <w:kern w:val="0"/>
          <w:szCs w:val="21"/>
        </w:rPr>
        <w:br/>
        <w:t>资料来源：wind资讯  金瑞期货</w:t>
      </w:r>
      <w:r w:rsidRPr="00352FFA">
        <w:rPr>
          <w:rFonts w:ascii="微软雅黑" w:eastAsia="微软雅黑" w:hAnsi="微软雅黑" w:cs="宋体" w:hint="eastAsia"/>
          <w:color w:val="555555"/>
          <w:kern w:val="0"/>
          <w:szCs w:val="21"/>
        </w:rPr>
        <w:br/>
        <w:t>3、 中国精炼镍和镍矿的进口均出现下滑，支撑沪镍相对走强。目前来看，一季度精炼镍和镍矿的进口量出现大幅下滑，而目前现货比值落入较低区间，国内现货商进口优势不明显，因此国内供给过剩的状况获得到缓解，沪镍价格未来也将受到支撑。</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Cs w:val="21"/>
        </w:rPr>
        <w:t>图9：中国精炼镍和镍矿进口数据</w:t>
      </w:r>
      <w:r w:rsidRPr="00352FFA">
        <w:rPr>
          <w:rFonts w:ascii="微软雅黑" w:eastAsia="微软雅黑" w:hAnsi="微软雅黑" w:cs="宋体" w:hint="eastAsia"/>
          <w:color w:val="555555"/>
          <w:kern w:val="0"/>
          <w:szCs w:val="21"/>
        </w:rPr>
        <w:br/>
        <w:t> </w:t>
      </w:r>
      <w:r w:rsidRPr="00352FFA">
        <w:rPr>
          <w:rFonts w:ascii="微软雅黑" w:eastAsia="微软雅黑" w:hAnsi="微软雅黑" w:cs="宋体"/>
          <w:noProof/>
          <w:color w:val="555555"/>
          <w:kern w:val="0"/>
          <w:szCs w:val="21"/>
        </w:rPr>
        <w:drawing>
          <wp:inline distT="0" distB="0" distL="0" distR="0">
            <wp:extent cx="4562475" cy="2762250"/>
            <wp:effectExtent l="0" t="0" r="9525" b="0"/>
            <wp:docPr id="2" name="图片 2" descr="http://files.jrqh.com.cn/uploads/management/image/20150604/de3a509e-d22a-4085-bbd1-291db2dc0a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les.jrqh.com.cn/uploads/management/image/20150604/de3a509e-d22a-4085-bbd1-291db2dc0a7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2762250"/>
                    </a:xfrm>
                    <a:prstGeom prst="rect">
                      <a:avLst/>
                    </a:prstGeom>
                    <a:noFill/>
                    <a:ln>
                      <a:noFill/>
                    </a:ln>
                  </pic:spPr>
                </pic:pic>
              </a:graphicData>
            </a:graphic>
          </wp:inline>
        </w:drawing>
      </w:r>
      <w:r w:rsidRPr="00352FFA">
        <w:rPr>
          <w:rFonts w:ascii="微软雅黑" w:eastAsia="微软雅黑" w:hAnsi="微软雅黑" w:cs="宋体" w:hint="eastAsia"/>
          <w:color w:val="555555"/>
          <w:kern w:val="0"/>
          <w:szCs w:val="21"/>
        </w:rPr>
        <w:br/>
        <w:t>资料来源：wind资讯  金瑞期货</w:t>
      </w:r>
      <w:r w:rsidRPr="00352FFA">
        <w:rPr>
          <w:rFonts w:ascii="微软雅黑" w:eastAsia="微软雅黑" w:hAnsi="微软雅黑" w:cs="宋体" w:hint="eastAsia"/>
          <w:color w:val="555555"/>
          <w:kern w:val="0"/>
          <w:szCs w:val="21"/>
        </w:rPr>
        <w:br/>
        <w:t>另一方面，我们从统计角度来看，当前沪伦比值稍高于进口均衡比值，但是沪伦比值有明</w:t>
      </w:r>
      <w:r w:rsidRPr="00352FFA">
        <w:rPr>
          <w:rFonts w:ascii="微软雅黑" w:eastAsia="微软雅黑" w:hAnsi="微软雅黑" w:cs="宋体" w:hint="eastAsia"/>
          <w:color w:val="555555"/>
          <w:kern w:val="0"/>
          <w:szCs w:val="21"/>
        </w:rPr>
        <w:lastRenderedPageBreak/>
        <w:t>显下降走势，并且已经靠近进口均衡比值上边界，因此此时进行正向套利效果不佳。结合以上我们认为沪伦比值未来将上升的判断，我们认为未来沪镍将会强于伦镍，因此在操作策略上倾向于选择：买沪镍抛伦镍。</w:t>
      </w:r>
      <w:r w:rsidRPr="00352FFA">
        <w:rPr>
          <w:rFonts w:ascii="微软雅黑" w:eastAsia="微软雅黑" w:hAnsi="微软雅黑" w:cs="宋体" w:hint="eastAsia"/>
          <w:color w:val="555555"/>
          <w:kern w:val="0"/>
          <w:szCs w:val="21"/>
        </w:rPr>
        <w:br/>
      </w:r>
      <w:r w:rsidRPr="00352FFA">
        <w:rPr>
          <w:rFonts w:ascii="微软雅黑" w:eastAsia="微软雅黑" w:hAnsi="微软雅黑" w:cs="宋体" w:hint="eastAsia"/>
          <w:b/>
          <w:bCs/>
          <w:color w:val="555555"/>
          <w:kern w:val="0"/>
          <w:szCs w:val="21"/>
        </w:rPr>
        <w:t>图10：近一个月沪伦比值和进口均衡比值走势</w:t>
      </w:r>
      <w:r w:rsidRPr="00352FFA">
        <w:rPr>
          <w:rFonts w:ascii="微软雅黑" w:eastAsia="微软雅黑" w:hAnsi="微软雅黑" w:cs="宋体" w:hint="eastAsia"/>
          <w:color w:val="555555"/>
          <w:kern w:val="0"/>
          <w:szCs w:val="21"/>
        </w:rPr>
        <w:br/>
        <w:t> </w:t>
      </w:r>
      <w:r w:rsidRPr="00352FFA">
        <w:rPr>
          <w:rFonts w:ascii="微软雅黑" w:eastAsia="微软雅黑" w:hAnsi="微软雅黑" w:cs="宋体"/>
          <w:noProof/>
          <w:color w:val="555555"/>
          <w:kern w:val="0"/>
          <w:szCs w:val="21"/>
        </w:rPr>
        <w:drawing>
          <wp:inline distT="0" distB="0" distL="0" distR="0">
            <wp:extent cx="4695825" cy="3019425"/>
            <wp:effectExtent l="0" t="0" r="9525" b="9525"/>
            <wp:docPr id="1" name="图片 1" descr="http://files.jrqh.com.cn/uploads/management/image/20150604/2ee14aa6-c8f4-48fa-b2a7-d7b5dd5cd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les.jrqh.com.cn/uploads/management/image/20150604/2ee14aa6-c8f4-48fa-b2a7-d7b5dd5cd75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3019425"/>
                    </a:xfrm>
                    <a:prstGeom prst="rect">
                      <a:avLst/>
                    </a:prstGeom>
                    <a:noFill/>
                    <a:ln>
                      <a:noFill/>
                    </a:ln>
                  </pic:spPr>
                </pic:pic>
              </a:graphicData>
            </a:graphic>
          </wp:inline>
        </w:drawing>
      </w:r>
      <w:r w:rsidRPr="00352FFA">
        <w:rPr>
          <w:rFonts w:ascii="微软雅黑" w:eastAsia="微软雅黑" w:hAnsi="微软雅黑" w:cs="宋体" w:hint="eastAsia"/>
          <w:color w:val="555555"/>
          <w:kern w:val="0"/>
          <w:szCs w:val="21"/>
        </w:rPr>
        <w:br/>
        <w:t>资料来源：wind资讯  金瑞期货</w:t>
      </w:r>
      <w:r w:rsidRPr="00352FFA">
        <w:rPr>
          <w:rFonts w:ascii="微软雅黑" w:eastAsia="微软雅黑" w:hAnsi="微软雅黑" w:cs="宋体" w:hint="eastAsia"/>
          <w:color w:val="555555"/>
          <w:kern w:val="0"/>
          <w:szCs w:val="21"/>
        </w:rPr>
        <w:br/>
        <w:t>注：  上界＝ 均值＋1个标准差         </w:t>
      </w:r>
      <w:r w:rsidRPr="00352FFA">
        <w:rPr>
          <w:rFonts w:ascii="微软雅黑" w:eastAsia="微软雅黑" w:hAnsi="微软雅黑" w:cs="宋体" w:hint="eastAsia"/>
          <w:color w:val="555555"/>
          <w:kern w:val="0"/>
          <w:szCs w:val="21"/>
        </w:rPr>
        <w:br/>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color w:val="555555"/>
          <w:kern w:val="0"/>
          <w:szCs w:val="21"/>
        </w:rPr>
        <w:t>下界＝ 均值－1个标准差</w:t>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p>
    <w:p w:rsidR="00352FFA" w:rsidRPr="00352FFA" w:rsidRDefault="00352FFA" w:rsidP="00352FFA">
      <w:pPr>
        <w:widowControl/>
        <w:shd w:val="clear" w:color="auto" w:fill="FAFAF9"/>
        <w:spacing w:line="360"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b/>
          <w:bCs/>
          <w:color w:val="555555"/>
          <w:kern w:val="0"/>
          <w:sz w:val="27"/>
          <w:szCs w:val="27"/>
          <w:bdr w:val="none" w:sz="0" w:space="0" w:color="auto" w:frame="1"/>
        </w:rPr>
        <w:t>分析师声明</w:t>
      </w:r>
      <w:r w:rsidRPr="00352FFA">
        <w:rPr>
          <w:rFonts w:ascii="微软雅黑" w:eastAsia="微软雅黑" w:hAnsi="微软雅黑" w:cs="宋体" w:hint="eastAsia"/>
          <w:color w:val="555555"/>
          <w:kern w:val="0"/>
          <w:szCs w:val="21"/>
        </w:rPr>
        <w:br/>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color w:val="555555"/>
          <w:kern w:val="0"/>
          <w:szCs w:val="21"/>
        </w:rPr>
        <w:t>负责撰写本研究报告的研究分析师，在此申明，报告所采用的数据均来自合规渠道，分析逻辑基于作者的职业理解，本报告清晰、准确地反映了作者的研究观点，力求独立、客观和公正。作者薪酬的任何部分不会与本报告中的具体建议或观点直接或间接相联系。</w:t>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p>
    <w:p w:rsidR="00352FFA" w:rsidRPr="00352FFA" w:rsidRDefault="00352FFA" w:rsidP="00352FFA">
      <w:pPr>
        <w:widowControl/>
        <w:shd w:val="clear" w:color="auto" w:fill="FAFAF9"/>
        <w:spacing w:line="360"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b/>
          <w:bCs/>
          <w:color w:val="555555"/>
          <w:kern w:val="0"/>
          <w:sz w:val="27"/>
          <w:szCs w:val="27"/>
          <w:bdr w:val="none" w:sz="0" w:space="0" w:color="auto" w:frame="1"/>
        </w:rPr>
        <w:t>免责声明</w:t>
      </w:r>
      <w:r w:rsidRPr="00352FFA">
        <w:rPr>
          <w:rFonts w:ascii="微软雅黑" w:eastAsia="微软雅黑" w:hAnsi="微软雅黑" w:cs="宋体" w:hint="eastAsia"/>
          <w:color w:val="555555"/>
          <w:kern w:val="0"/>
          <w:szCs w:val="21"/>
        </w:rPr>
        <w:br/>
        <w:t>本报告仅供金瑞期货有限公司（以下统称“金瑞期货”）的客户使用。本公司不会因为接收人受到本报告而视其为本公司的当然客户。</w:t>
      </w:r>
      <w:r w:rsidRPr="00352FFA">
        <w:rPr>
          <w:rFonts w:ascii="微软雅黑" w:eastAsia="微软雅黑" w:hAnsi="微软雅黑" w:cs="宋体" w:hint="eastAsia"/>
          <w:color w:val="555555"/>
          <w:kern w:val="0"/>
          <w:szCs w:val="21"/>
        </w:rPr>
        <w:br/>
        <w:t>本报告由金瑞期货制作。本报告中的信息均来源于我们认为可靠的已公开的资料，但金瑞期货对这些信息的准确性及完整性不作任何保证。金瑞期货可随时更改报告中的内容、意见和预测，且并不承诺提供任何有关变更的通知。</w:t>
      </w:r>
      <w:r w:rsidRPr="00352FFA">
        <w:rPr>
          <w:rFonts w:ascii="微软雅黑" w:eastAsia="微软雅黑" w:hAnsi="微软雅黑" w:cs="宋体" w:hint="eastAsia"/>
          <w:color w:val="555555"/>
          <w:kern w:val="0"/>
          <w:szCs w:val="21"/>
        </w:rPr>
        <w:br/>
        <w:t>本报告中的信息、意见等均仅供投资者参考之用，并非作为或被视为实际投资标的交易的邀请。投资者应该根据个人投资目标、财务状况和需求来判断是否使用报告之内容，独立做出投资决策并自行承担相应风险。本公司及其雇员不对使用本报告而引致的任何直接或者间接损失负任何责任。</w:t>
      </w:r>
      <w:r w:rsidRPr="00352FFA">
        <w:rPr>
          <w:rFonts w:ascii="微软雅黑" w:eastAsia="微软雅黑" w:hAnsi="微软雅黑" w:cs="宋体" w:hint="eastAsia"/>
          <w:color w:val="555555"/>
          <w:kern w:val="0"/>
          <w:szCs w:val="21"/>
        </w:rPr>
        <w:br/>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color w:val="555555"/>
          <w:kern w:val="0"/>
          <w:szCs w:val="21"/>
        </w:rPr>
        <w:t>本报告版权归金瑞期货所有。未获得金瑞期货事先书面授权，任何人不得对本报告进行任何形式的发布、复制或出版作任何用途。合法取得本报告的途径为本公司网站及本公司授权的渠道。</w:t>
      </w:r>
    </w:p>
    <w:p w:rsidR="00352FFA" w:rsidRPr="00352FFA" w:rsidRDefault="00352FFA" w:rsidP="00352FFA">
      <w:pPr>
        <w:widowControl/>
        <w:shd w:val="clear" w:color="auto" w:fill="FAFAF9"/>
        <w:spacing w:line="432" w:lineRule="atLeast"/>
        <w:jc w:val="left"/>
        <w:rPr>
          <w:rFonts w:ascii="微软雅黑" w:eastAsia="微软雅黑" w:hAnsi="微软雅黑" w:cs="宋体" w:hint="eastAsia"/>
          <w:color w:val="555555"/>
          <w:kern w:val="0"/>
          <w:szCs w:val="21"/>
        </w:rPr>
      </w:pPr>
    </w:p>
    <w:p w:rsidR="00352FFA" w:rsidRPr="00352FFA" w:rsidRDefault="00352FFA" w:rsidP="00352FFA">
      <w:pPr>
        <w:widowControl/>
        <w:shd w:val="clear" w:color="auto" w:fill="FAFAF9"/>
        <w:spacing w:line="360" w:lineRule="atLeast"/>
        <w:jc w:val="left"/>
        <w:rPr>
          <w:rFonts w:ascii="微软雅黑" w:eastAsia="微软雅黑" w:hAnsi="微软雅黑" w:cs="宋体" w:hint="eastAsia"/>
          <w:color w:val="555555"/>
          <w:kern w:val="0"/>
          <w:szCs w:val="21"/>
        </w:rPr>
      </w:pPr>
      <w:r w:rsidRPr="00352FFA">
        <w:rPr>
          <w:rFonts w:ascii="微软雅黑" w:eastAsia="微软雅黑" w:hAnsi="微软雅黑" w:cs="宋体" w:hint="eastAsia"/>
          <w:b/>
          <w:bCs/>
          <w:color w:val="555555"/>
          <w:kern w:val="0"/>
          <w:sz w:val="27"/>
          <w:szCs w:val="27"/>
          <w:bdr w:val="none" w:sz="0" w:space="0" w:color="auto" w:frame="1"/>
        </w:rPr>
        <w:t>金瑞期货研究所</w:t>
      </w:r>
      <w:r w:rsidRPr="00352FFA">
        <w:rPr>
          <w:rFonts w:ascii="微软雅黑" w:eastAsia="微软雅黑" w:hAnsi="微软雅黑" w:cs="宋体" w:hint="eastAsia"/>
          <w:color w:val="555555"/>
          <w:kern w:val="0"/>
          <w:szCs w:val="21"/>
        </w:rPr>
        <w:br/>
        <w:t>地址：广东省深圳市福田区彩田路东方新天地广场A座31楼</w:t>
      </w:r>
      <w:r w:rsidRPr="00352FFA">
        <w:rPr>
          <w:rFonts w:ascii="微软雅黑" w:eastAsia="微软雅黑" w:hAnsi="微软雅黑" w:cs="宋体" w:hint="eastAsia"/>
          <w:color w:val="555555"/>
          <w:kern w:val="0"/>
          <w:szCs w:val="21"/>
        </w:rPr>
        <w:br/>
        <w:t>联系人：马健飒</w:t>
      </w:r>
      <w:r w:rsidRPr="00352FFA">
        <w:rPr>
          <w:rFonts w:ascii="微软雅黑" w:eastAsia="微软雅黑" w:hAnsi="微软雅黑" w:cs="宋体" w:hint="eastAsia"/>
          <w:color w:val="555555"/>
          <w:kern w:val="0"/>
          <w:szCs w:val="21"/>
        </w:rPr>
        <w:br/>
        <w:t>电话：0755 - 8367 9730</w:t>
      </w:r>
      <w:r w:rsidRPr="00352FFA">
        <w:rPr>
          <w:rFonts w:ascii="微软雅黑" w:eastAsia="微软雅黑" w:hAnsi="微软雅黑" w:cs="宋体" w:hint="eastAsia"/>
          <w:color w:val="555555"/>
          <w:kern w:val="0"/>
          <w:szCs w:val="21"/>
        </w:rPr>
        <w:br/>
        <w:t>传真：0755 - 8367 9900</w:t>
      </w:r>
    </w:p>
    <w:p w:rsidR="003D151D" w:rsidRPr="00352FFA" w:rsidRDefault="00352FFA"/>
    <w:sectPr w:rsidR="003D151D" w:rsidRPr="00352F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81C"/>
    <w:rsid w:val="00352FFA"/>
    <w:rsid w:val="00B84CFD"/>
    <w:rsid w:val="00BB47E2"/>
    <w:rsid w:val="00CD1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BC4F3-70BF-466B-991A-E0D303C5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52F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2FFA"/>
    <w:rPr>
      <w:rFonts w:ascii="宋体" w:eastAsia="宋体" w:hAnsi="宋体" w:cs="宋体"/>
      <w:b/>
      <w:bCs/>
      <w:kern w:val="36"/>
      <w:sz w:val="48"/>
      <w:szCs w:val="48"/>
    </w:rPr>
  </w:style>
  <w:style w:type="character" w:customStyle="1" w:styleId="view-fl">
    <w:name w:val="view-fl"/>
    <w:basedOn w:val="a0"/>
    <w:rsid w:val="00352FFA"/>
  </w:style>
  <w:style w:type="character" w:customStyle="1" w:styleId="view-share">
    <w:name w:val="view-share"/>
    <w:basedOn w:val="a0"/>
    <w:rsid w:val="00352FFA"/>
  </w:style>
  <w:style w:type="character" w:styleId="a3">
    <w:name w:val="Hyperlink"/>
    <w:basedOn w:val="a0"/>
    <w:uiPriority w:val="99"/>
    <w:semiHidden/>
    <w:unhideWhenUsed/>
    <w:rsid w:val="00352FFA"/>
    <w:rPr>
      <w:color w:val="0000FF"/>
      <w:u w:val="single"/>
    </w:rPr>
  </w:style>
  <w:style w:type="character" w:customStyle="1" w:styleId="view-store">
    <w:name w:val="view-store"/>
    <w:basedOn w:val="a0"/>
    <w:rsid w:val="00352FFA"/>
  </w:style>
  <w:style w:type="paragraph" w:styleId="a4">
    <w:name w:val="Normal (Web)"/>
    <w:basedOn w:val="a"/>
    <w:uiPriority w:val="99"/>
    <w:semiHidden/>
    <w:unhideWhenUsed/>
    <w:rsid w:val="00352FF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52FFA"/>
    <w:rPr>
      <w:b/>
      <w:bCs/>
    </w:rPr>
  </w:style>
  <w:style w:type="paragraph" w:styleId="a6">
    <w:name w:val="List Paragraph"/>
    <w:basedOn w:val="a"/>
    <w:uiPriority w:val="34"/>
    <w:qFormat/>
    <w:rsid w:val="00352F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990093">
      <w:bodyDiv w:val="1"/>
      <w:marLeft w:val="0"/>
      <w:marRight w:val="0"/>
      <w:marTop w:val="0"/>
      <w:marBottom w:val="0"/>
      <w:divBdr>
        <w:top w:val="none" w:sz="0" w:space="0" w:color="auto"/>
        <w:left w:val="none" w:sz="0" w:space="0" w:color="auto"/>
        <w:bottom w:val="none" w:sz="0" w:space="0" w:color="auto"/>
        <w:right w:val="none" w:sz="0" w:space="0" w:color="auto"/>
      </w:divBdr>
      <w:divsChild>
        <w:div w:id="660811943">
          <w:marLeft w:val="0"/>
          <w:marRight w:val="0"/>
          <w:marTop w:val="150"/>
          <w:marBottom w:val="0"/>
          <w:divBdr>
            <w:top w:val="none" w:sz="0" w:space="0" w:color="auto"/>
            <w:left w:val="none" w:sz="0" w:space="0" w:color="auto"/>
            <w:bottom w:val="single" w:sz="6" w:space="0" w:color="CCCCCC"/>
            <w:right w:val="none" w:sz="0" w:space="0" w:color="auto"/>
          </w:divBdr>
        </w:div>
        <w:div w:id="181015881">
          <w:marLeft w:val="0"/>
          <w:marRight w:val="0"/>
          <w:marTop w:val="180"/>
          <w:marBottom w:val="0"/>
          <w:divBdr>
            <w:top w:val="none" w:sz="0" w:space="0" w:color="auto"/>
            <w:left w:val="none" w:sz="0" w:space="0" w:color="auto"/>
            <w:bottom w:val="none" w:sz="0" w:space="0" w:color="auto"/>
            <w:right w:val="none" w:sz="0" w:space="0" w:color="auto"/>
          </w:divBdr>
        </w:div>
        <w:div w:id="300773116">
          <w:marLeft w:val="0"/>
          <w:marRight w:val="0"/>
          <w:marTop w:val="300"/>
          <w:marBottom w:val="300"/>
          <w:divBdr>
            <w:top w:val="single" w:sz="6" w:space="11" w:color="D9D9D9"/>
            <w:left w:val="single" w:sz="6" w:space="6" w:color="D9D9D9"/>
            <w:bottom w:val="single" w:sz="6" w:space="11" w:color="D9D9D9"/>
            <w:right w:val="single" w:sz="6" w:space="6" w:color="D9D9D9"/>
          </w:divBdr>
        </w:div>
        <w:div w:id="866216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www.jrqh.com.cn/Information/CollectLogin/1/1/256323e2-1f49-438a-80af-f9a6012e68d8"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javascript:;"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3</cp:revision>
  <dcterms:created xsi:type="dcterms:W3CDTF">2017-10-17T07:22:00Z</dcterms:created>
  <dcterms:modified xsi:type="dcterms:W3CDTF">2017-10-17T07:22:00Z</dcterms:modified>
</cp:coreProperties>
</file>