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7C" w:rsidRPr="002B377C" w:rsidRDefault="002B377C" w:rsidP="002B377C">
      <w:pPr>
        <w:widowControl/>
        <w:jc w:val="left"/>
        <w:outlineLvl w:val="0"/>
        <w:rPr>
          <w:rFonts w:ascii="微软雅黑" w:eastAsia="微软雅黑" w:hAnsi="微软雅黑" w:cs="宋体"/>
          <w:color w:val="000000"/>
          <w:kern w:val="36"/>
          <w:sz w:val="54"/>
          <w:szCs w:val="54"/>
        </w:rPr>
      </w:pPr>
      <w:bookmarkStart w:id="0" w:name="_GoBack"/>
      <w:r w:rsidRPr="002B377C">
        <w:rPr>
          <w:rFonts w:ascii="微软雅黑" w:eastAsia="微软雅黑" w:hAnsi="微软雅黑" w:cs="宋体" w:hint="eastAsia"/>
          <w:color w:val="000000"/>
          <w:kern w:val="36"/>
          <w:sz w:val="54"/>
          <w:szCs w:val="54"/>
        </w:rPr>
        <w:t>原油知识与基本面大梳理！！！外送期货合约解读</w:t>
      </w:r>
    </w:p>
    <w:bookmarkEnd w:id="0"/>
    <w:p w:rsidR="002B377C" w:rsidRPr="002B377C" w:rsidRDefault="002B377C" w:rsidP="002B377C">
      <w:pPr>
        <w:widowControl/>
        <w:jc w:val="left"/>
        <w:rPr>
          <w:rFonts w:ascii="微软雅黑" w:eastAsia="微软雅黑" w:hAnsi="微软雅黑" w:cs="宋体" w:hint="eastAsia"/>
          <w:color w:val="666666"/>
          <w:kern w:val="0"/>
          <w:szCs w:val="21"/>
        </w:rPr>
      </w:pPr>
      <w:r w:rsidRPr="002B377C">
        <w:rPr>
          <w:rFonts w:ascii="微软雅黑" w:eastAsia="微软雅黑" w:hAnsi="微软雅黑" w:cs="宋体" w:hint="eastAsia"/>
          <w:color w:val="666666"/>
          <w:kern w:val="0"/>
          <w:szCs w:val="21"/>
        </w:rPr>
        <w:t>2017-06-24 09:08:18 </w:t>
      </w:r>
      <w:hyperlink r:id="rId4" w:tgtFrame="_blank" w:history="1">
        <w:r w:rsidRPr="002B377C">
          <w:rPr>
            <w:rFonts w:ascii="微软雅黑" w:eastAsia="微软雅黑" w:hAnsi="微软雅黑" w:cs="宋体" w:hint="eastAsia"/>
            <w:color w:val="000000"/>
            <w:kern w:val="0"/>
            <w:szCs w:val="21"/>
          </w:rPr>
          <w:t>和讯名家</w:t>
        </w:r>
      </w:hyperlink>
      <w:r w:rsidRPr="002B377C">
        <w:rPr>
          <w:rFonts w:ascii="微软雅黑" w:eastAsia="微软雅黑" w:hAnsi="微软雅黑" w:cs="宋体" w:hint="eastAsia"/>
          <w:color w:val="666666"/>
          <w:kern w:val="0"/>
          <w:szCs w:val="21"/>
        </w:rPr>
        <w:t> </w:t>
      </w:r>
    </w:p>
    <w:p w:rsidR="002B377C" w:rsidRPr="002B377C" w:rsidRDefault="002B377C" w:rsidP="002B377C">
      <w:pPr>
        <w:widowControl/>
        <w:spacing w:line="510" w:lineRule="atLeast"/>
        <w:jc w:val="left"/>
        <w:rPr>
          <w:rFonts w:ascii="KaiTi_GB2312" w:eastAsia="KaiTi_GB2312" w:hAnsi="KaiTi_GB2312" w:cs="宋体" w:hint="eastAsia"/>
          <w:color w:val="000000"/>
          <w:kern w:val="0"/>
          <w:sz w:val="24"/>
          <w:szCs w:val="24"/>
        </w:rPr>
      </w:pPr>
      <w:r w:rsidRPr="002B377C">
        <w:rPr>
          <w:rFonts w:ascii="Calibri" w:eastAsia="KaiTi_GB2312" w:hAnsi="Calibri" w:cs="Calibri"/>
          <w:color w:val="000000"/>
          <w:kern w:val="0"/>
          <w:sz w:val="24"/>
          <w:szCs w:val="24"/>
        </w:rPr>
        <w:t>   </w:t>
      </w:r>
      <w:r w:rsidRPr="002B377C">
        <w:rPr>
          <w:rFonts w:ascii="KaiTi_GB2312" w:eastAsia="KaiTi_GB2312" w:hAnsi="KaiTi_GB2312" w:cs="宋体" w:hint="eastAsia"/>
          <w:color w:val="000000"/>
          <w:kern w:val="0"/>
          <w:sz w:val="24"/>
          <w:szCs w:val="24"/>
        </w:rPr>
        <w:t xml:space="preserve"> 本文首发于微信公众号：要资讯。文章内容属作者个人观点，不代表和讯网立场。投资者据此操作，风险请自担。</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前言</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本文介绍了石化产业，国际</w:t>
      </w:r>
      <w:hyperlink r:id="rId5" w:tgtFrame="_blank" w:history="1">
        <w:r w:rsidRPr="002B377C">
          <w:rPr>
            <w:rFonts w:ascii="微软雅黑" w:eastAsia="微软雅黑" w:hAnsi="微软雅黑" w:cs="宋体" w:hint="eastAsia"/>
            <w:color w:val="485A90"/>
            <w:kern w:val="0"/>
            <w:sz w:val="24"/>
            <w:szCs w:val="24"/>
          </w:rPr>
          <w:t>原油</w:t>
        </w:r>
      </w:hyperlink>
      <w:r w:rsidRPr="002B377C">
        <w:rPr>
          <w:rFonts w:ascii="微软雅黑" w:eastAsia="微软雅黑" w:hAnsi="微软雅黑" w:cs="宋体" w:hint="eastAsia"/>
          <w:color w:val="000000"/>
          <w:kern w:val="0"/>
          <w:sz w:val="24"/>
          <w:szCs w:val="24"/>
        </w:rPr>
        <w:t>基本情况以及中国的原油贸易。并且对于即将上市的原油</w:t>
      </w:r>
      <w:hyperlink r:id="rId6" w:tgtFrame="_blank" w:history="1">
        <w:r w:rsidRPr="002B377C">
          <w:rPr>
            <w:rFonts w:ascii="微软雅黑" w:eastAsia="微软雅黑" w:hAnsi="微软雅黑" w:cs="宋体" w:hint="eastAsia"/>
            <w:color w:val="485A90"/>
            <w:kern w:val="0"/>
            <w:sz w:val="24"/>
            <w:szCs w:val="24"/>
          </w:rPr>
          <w:t>期货</w:t>
        </w:r>
      </w:hyperlink>
      <w:r w:rsidRPr="002B377C">
        <w:rPr>
          <w:rFonts w:ascii="微软雅黑" w:eastAsia="微软雅黑" w:hAnsi="微软雅黑" w:cs="宋体" w:hint="eastAsia"/>
          <w:color w:val="000000"/>
          <w:kern w:val="0"/>
          <w:sz w:val="24"/>
          <w:szCs w:val="24"/>
        </w:rPr>
        <w:t>，我们为您解读了主要的交易规则，包括交易参与、交割、结算、</w:t>
      </w:r>
      <w:hyperlink r:id="rId7" w:tgtFrame="_blank" w:history="1">
        <w:r w:rsidRPr="002B377C">
          <w:rPr>
            <w:rFonts w:ascii="微软雅黑" w:eastAsia="微软雅黑" w:hAnsi="微软雅黑" w:cs="宋体" w:hint="eastAsia"/>
            <w:color w:val="485A90"/>
            <w:kern w:val="0"/>
            <w:sz w:val="24"/>
            <w:szCs w:val="24"/>
          </w:rPr>
          <w:t>保证金</w:t>
        </w:r>
      </w:hyperlink>
      <w:r w:rsidRPr="002B377C">
        <w:rPr>
          <w:rFonts w:ascii="微软雅黑" w:eastAsia="微软雅黑" w:hAnsi="微软雅黑" w:cs="宋体" w:hint="eastAsia"/>
          <w:color w:val="000000"/>
          <w:kern w:val="0"/>
          <w:sz w:val="24"/>
          <w:szCs w:val="24"/>
        </w:rPr>
        <w:t>等。</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1</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石油&amp;石化</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在之前一篇文章中《</w:t>
      </w:r>
      <w:hyperlink r:id="rId8" w:tgtFrame="_blank" w:history="1">
        <w:r w:rsidRPr="002B377C">
          <w:rPr>
            <w:rFonts w:ascii="微软雅黑" w:eastAsia="微软雅黑" w:hAnsi="微软雅黑" w:cs="宋体" w:hint="eastAsia"/>
            <w:color w:val="485A90"/>
            <w:kern w:val="0"/>
            <w:sz w:val="24"/>
            <w:szCs w:val="24"/>
          </w:rPr>
          <w:t>石油</w:t>
        </w:r>
      </w:hyperlink>
      <w:r w:rsidRPr="002B377C">
        <w:rPr>
          <w:rFonts w:ascii="微软雅黑" w:eastAsia="微软雅黑" w:hAnsi="微软雅黑" w:cs="宋体" w:hint="eastAsia"/>
          <w:color w:val="000000"/>
          <w:kern w:val="0"/>
          <w:sz w:val="24"/>
          <w:szCs w:val="24"/>
        </w:rPr>
        <w:t>&amp;石化？傻傻分不清楚》，我们详细解释了石油与石化的区别。</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石化行业指的是石油化工行业。严格上来讲是两个产业链，即石油产业链和化工产业链。但是由于这两个产业链联系的太紧密，所以一般人们就把它俩联系起来称呼。与之相对应的，大家可能还听过的是煤化工产业。如果将整个石化行业分类的话，大致的上中下游可如下分类：</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3676650"/>
                  <wp:effectExtent l="0" t="0" r="0" b="0"/>
                  <wp:docPr id="22" name="图片 22" descr="资料来源：网络，要资讯 细心的你可以发现，连接整个石化产业链上下游的重要物质就是原油，这个物质将石油产业链和化工产业链紧密地联结在一起，起到了承上启下的作用。石油产业链的下游产品是原油，而化工产业链的上游则是原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资料来源：网络，要资讯 细心的你可以发现，连接整个石化产业链上下游的重要物质就是原油，这个物质将石油产业链和化工产业链紧密地联结在一起，起到了承上启下的作用。石油产业链的下游产品是原油，而化工产业链的上游则是原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766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资料来源：网络，要资讯 细心的你可以发现，连接整个石化产业链上下游的重要物质就是原油，这个物质将石油产业链和化工产业链紧密地联结在一起，起到了承上启下的作用。石油产业链的下游产品是原油，而化工产业链的上游则是原油。</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那么下面我们来细细说道说道这两个产业链里千丝万缕的关系。首先我们将石油产业链分解为上中下游三块。</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2686050"/>
                  <wp:effectExtent l="0" t="0" r="0" b="0"/>
                  <wp:docPr id="21" name="图片 21" descr="资料来源：网络，要资讯 原油炼制则是将原油通过蒸馏的方式，将原油分成不同的组分。例如在不同的温度下可以生产出燃料油、柴油、煤油、汽油以及石油气。其中前面几种可以通过进一步地精炼生产出最终端的油品以及润滑油等。而石油气则可以继续加工成为化工产业的重要原料。我们所熟知的塑料、PP、合成橡胶等都是由此合成生产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料来源：网络，要资讯 原油炼制则是将原油通过蒸馏的方式，将原油分成不同的组分。例如在不同的温度下可以生产出燃料油、柴油、煤油、汽油以及石油气。其中前面几种可以通过进一步地精炼生产出最终端的油品以及润滑油等。而石油气则可以继续加工成为化工产业的重要原料。我们所熟知的塑料、PP、合成橡胶等都是由此合成生产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资料来源：网络，要资讯 原油炼制则是将原油通过蒸馏的方式，将原油分成不同的组分。例如在不同的温度下可以生产出燃料油、柴油、煤油、汽油以及石油气。其中前面几种可以通过进一步地精炼生产出最终端的油品以及润滑油等。而石油气则可以继续加工成为化工产业的重要原料。我们所熟知的塑料、PP、合成橡胶等都是由此合成生产的。</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5591175"/>
                  <wp:effectExtent l="0" t="0" r="0" b="9525"/>
                  <wp:docPr id="20" name="图片 20" descr="资料来源：网络，要资讯 炼化企业这一块则是由三桶油和各个地区的地炼厂组成。三桶油体量大这个自不必多少，但是从2015年原油进口贸易限额实施后，各个地区的地炼企业如雨后春笋般浮现出来，特别是山东的企业。由于地理位置的优势，以及山东境内完整的石油管道使得在全国地炼企业中山东地区独占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资料来源：网络，要资讯 炼化企业这一块则是由三桶油和各个地区的地炼厂组成。三桶油体量大这个自不必多少，但是从2015年原油进口贸易限额实施后，各个地区的地炼企业如雨后春笋般浮现出来，特别是山东的企业。由于地理位置的优势，以及山东境内完整的石油管道使得在全国地炼企业中山东地区独占鳌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5911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资料来源：网络，要资讯 炼化企业这一块则是由三桶油和各个地区的地炼厂组成。三桶油体量大这个自不必多少，但是从2015年原油进口贸易限额实施后，各个地区的地炼企业如雨后春笋般浮现出来，特别是山东的企业。由于地理位置的优势，以及山东境内完整的石油管道使得在全国地炼企业中山东地区独占鳌头。</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那么最后的下游则是涉及到油品的销售和终端运输。我们日常见到的加油站全都是属于油品的销售这一类。同时，由于终端的运输主要是从炼厂到附近的加油站，因此一般也以油罐车为主。</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2</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原油基本面</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世界原油储存</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众所周知，原油是以液态的形式储存在高温高压的地底或是海底。对于很多人来说，一提到石油，脑海里浮现的就是中东，油田，黑色</w:t>
      </w:r>
      <w:hyperlink r:id="rId12" w:tgtFrame="_blank" w:history="1">
        <w:r w:rsidRPr="002B377C">
          <w:rPr>
            <w:rFonts w:ascii="微软雅黑" w:eastAsia="微软雅黑" w:hAnsi="微软雅黑" w:cs="宋体" w:hint="eastAsia"/>
            <w:color w:val="485A90"/>
            <w:kern w:val="0"/>
            <w:sz w:val="24"/>
            <w:szCs w:val="24"/>
          </w:rPr>
          <w:t>黄金</w:t>
        </w:r>
      </w:hyperlink>
      <w:r w:rsidRPr="002B377C">
        <w:rPr>
          <w:rFonts w:ascii="微软雅黑" w:eastAsia="微软雅黑" w:hAnsi="微软雅黑" w:cs="宋体" w:hint="eastAsia"/>
          <w:color w:val="000000"/>
          <w:kern w:val="0"/>
          <w:sz w:val="24"/>
          <w:szCs w:val="24"/>
        </w:rPr>
        <w:t>，土豪，地底下埋的都是油，什么时候缺钱了，打口油井哗哗流出的就是钱。</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那么事实上是不是这样呢，我们来看看2016年的全球原油储备。在原油储备排名前3的国家中只有</w:t>
      </w:r>
      <w:hyperlink r:id="rId13" w:tgtFrame="_blank" w:history="1">
        <w:r w:rsidRPr="002B377C">
          <w:rPr>
            <w:rFonts w:ascii="微软雅黑" w:eastAsia="微软雅黑" w:hAnsi="微软雅黑" w:cs="宋体" w:hint="eastAsia"/>
            <w:color w:val="485A90"/>
            <w:kern w:val="0"/>
            <w:sz w:val="24"/>
            <w:szCs w:val="24"/>
          </w:rPr>
          <w:t>沙特</w:t>
        </w:r>
      </w:hyperlink>
      <w:r w:rsidRPr="002B377C">
        <w:rPr>
          <w:rFonts w:ascii="微软雅黑" w:eastAsia="微软雅黑" w:hAnsi="微软雅黑" w:cs="宋体" w:hint="eastAsia"/>
          <w:color w:val="000000"/>
          <w:kern w:val="0"/>
          <w:sz w:val="24"/>
          <w:szCs w:val="24"/>
        </w:rPr>
        <w:t>阿拉伯位于全球第二，第一和第三分别是委内瑞拉和</w:t>
      </w:r>
      <w:hyperlink r:id="rId14" w:tgtFrame="_blank" w:history="1">
        <w:r w:rsidRPr="002B377C">
          <w:rPr>
            <w:rFonts w:ascii="微软雅黑" w:eastAsia="微软雅黑" w:hAnsi="微软雅黑" w:cs="宋体" w:hint="eastAsia"/>
            <w:color w:val="485A90"/>
            <w:kern w:val="0"/>
            <w:sz w:val="24"/>
            <w:szCs w:val="24"/>
          </w:rPr>
          <w:t>加拿大</w:t>
        </w:r>
      </w:hyperlink>
      <w:r w:rsidRPr="002B377C">
        <w:rPr>
          <w:rFonts w:ascii="微软雅黑" w:eastAsia="微软雅黑" w:hAnsi="微软雅黑" w:cs="宋体" w:hint="eastAsia"/>
          <w:color w:val="000000"/>
          <w:kern w:val="0"/>
          <w:sz w:val="24"/>
          <w:szCs w:val="24"/>
        </w:rPr>
        <w:t>。</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这个结果是不是和你想象的不太一样？需要进口石油的委内瑞拉尽然石油储备全球第一？</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确实，委内瑞拉的重油带储量全球第一，但是由于其开采成本较高，且油品质量不如轻质原油，原油的开采力度不强，产量较低。加拿大的油砂也因为开采成本的原因一直没有释放产能，因此市场占比较小。</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但是如果分析全球原油储量前15国，则可以发现大部分国家都集中在中东地区，在那里不仅富产石油，还有天然气，例如</w:t>
      </w:r>
      <w:hyperlink r:id="rId15" w:tgtFrame="_blank" w:history="1">
        <w:r w:rsidRPr="002B377C">
          <w:rPr>
            <w:rFonts w:ascii="微软雅黑" w:eastAsia="微软雅黑" w:hAnsi="微软雅黑" w:cs="宋体" w:hint="eastAsia"/>
            <w:color w:val="485A90"/>
            <w:kern w:val="0"/>
            <w:sz w:val="24"/>
            <w:szCs w:val="24"/>
          </w:rPr>
          <w:t>卡塔尔</w:t>
        </w:r>
      </w:hyperlink>
      <w:r w:rsidRPr="002B377C">
        <w:rPr>
          <w:rFonts w:ascii="微软雅黑" w:eastAsia="微软雅黑" w:hAnsi="微软雅黑" w:cs="宋体" w:hint="eastAsia"/>
          <w:color w:val="000000"/>
          <w:kern w:val="0"/>
          <w:sz w:val="24"/>
          <w:szCs w:val="24"/>
        </w:rPr>
        <w:t>，虽然石油不多但是天然气出口量巨大。</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247900"/>
                  <wp:effectExtent l="0" t="0" r="0" b="0"/>
                  <wp:docPr id="19" name="图片 19" descr="资料来源：EIA，要资讯 从下表中我们可以看出，近35年来，中东的石油储备一直位于全球第一，其次则是中南美洲，因为委内瑞拉的重油带发现，以及石油开采技术的提升，近7年来南美洲的原油储备增加了163%。北美洲则是因为加拿大油砂开采技术的提升，在2000年-2005年原油储备提升了282%。而在全球范围内，只有欧洲北海的原油储备在逐渐减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资料来源：EIA，要资讯 从下表中我们可以看出，近35年来，中东的石油储备一直位于全球第一，其次则是中南美洲，因为委内瑞拉的重油带发现，以及石油开采技术的提升，近7年来南美洲的原油储备增加了163%。北美洲则是因为加拿大油砂开采技术的提升，在2000年-2005年原油储备提升了282%。而在全球范围内，只有欧洲北海的原油储备在逐渐减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资料来源：EIA，要资讯 从下表中我们可以看出，近35年来，中东的石油储备一直位于全球第一，其次则是中南美洲，因为委内瑞拉的重油带发现，以及石油开采技术的提升，近7年来南美洲的原油储备增加了163%。北美洲则是因为加拿大油砂开采技术的提升，在2000年-2005年原油储备提升了282%。而在全球范围内，只有欧洲北海的原油储备在逐渐减少。</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581275"/>
                  <wp:effectExtent l="0" t="0" r="0" b="9525"/>
                  <wp:docPr id="18" name="图片 18" descr="资料来源：EIA，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资料来源：EIA，要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812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资料来源：EIA，要资讯</w:t>
      </w:r>
      <w:r w:rsidRPr="002B377C">
        <w:rPr>
          <w:rFonts w:ascii="微软雅黑" w:eastAsia="微软雅黑" w:hAnsi="微软雅黑" w:cs="宋体" w:hint="eastAsia"/>
          <w:b/>
          <w:bCs/>
          <w:color w:val="000000"/>
          <w:kern w:val="0"/>
          <w:sz w:val="24"/>
          <w:szCs w:val="24"/>
        </w:rPr>
        <w:t>世界原油产量</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2171700"/>
                  <wp:effectExtent l="0" t="0" r="0" b="0"/>
                  <wp:docPr id="17" name="图片 17" descr="资料来源：EIA，要资讯 上图中我们可以看到美国的原油的产量位于全球第一，这是由于美国页岩油开采技术的提升和工业化应用，导致了自2010年以来美国原油产量急剧上升，使得这个原油消费大国可以完成自产自销，改变了全球的石油供应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资料来源：EIA，要资讯 上图中我们可以看到美国的原油的产量位于全球第一，这是由于美国页岩油开采技术的提升和工业化应用，导致了自2010年以来美国原油产量急剧上升，使得这个原油消费大国可以完成自产自销，改变了全球的石油供应格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资料来源：EIA，要资讯 上图中我们可以看到美国的原油的产量位于全球第一，这是由于美国页岩油开采技术的提升和工业化应用，导致了自2010年以来美国原油产量急剧上升，使得这个原油消费大国可以完成自产自销，改变了全球的石油供应格局。</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产量次之的则是我们熟知的沙特阿拉伯。</w:t>
      </w:r>
      <w:hyperlink r:id="rId19" w:tgtFrame="_blank" w:history="1">
        <w:r w:rsidRPr="002B377C">
          <w:rPr>
            <w:rFonts w:ascii="微软雅黑" w:eastAsia="微软雅黑" w:hAnsi="微软雅黑" w:cs="宋体" w:hint="eastAsia"/>
            <w:color w:val="485A90"/>
            <w:kern w:val="0"/>
            <w:sz w:val="24"/>
            <w:szCs w:val="24"/>
          </w:rPr>
          <w:t>俄罗斯</w:t>
        </w:r>
      </w:hyperlink>
      <w:r w:rsidRPr="002B377C">
        <w:rPr>
          <w:rFonts w:ascii="微软雅黑" w:eastAsia="微软雅黑" w:hAnsi="微软雅黑" w:cs="宋体" w:hint="eastAsia"/>
          <w:color w:val="000000"/>
          <w:kern w:val="0"/>
          <w:sz w:val="24"/>
          <w:szCs w:val="24"/>
        </w:rPr>
        <w:t>和中国的原油产量则是位于全球第三和第四，惊喜吧，中国的原油产量还能位居世界第四。</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609850"/>
                  <wp:effectExtent l="0" t="0" r="0" b="0"/>
                  <wp:docPr id="16" name="图片 16" descr="资料来源：EIA，要资讯 但是按照区域划分，中东的原油产量一直是位于世界第一。2016年中东产油占全球产量的33%，北美地区占比全球产量的22%，两个主要石油出口地区的产量占全球产量的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资料来源：EIA，要资讯 但是按照区域划分，中东的原油产量一直是位于世界第一。2016年中东产油占全球产量的33%，北美地区占比全球产量的22%，两个主要石油出口地区的产量占全球产量的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资料来源：EIA，要资讯 但是按照区域划分，中东的原油产量一直是位于世界第一。2016年中东产油占全球产量的33%，北美地区占比全球产量的22%，两个主要石油出口地区的产量占全球产量的55%。</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全球原油产储比</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全球原油产量这么高，而且开采速度还在不断加快，你是不是会怀疑再过几年石油就被开采完了？</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别担心，我们的储量虽然有限，但是随着开采技术和勘探技术的发展，不断有新的油田和气田被发现，同时，以前由于技术原因不能开采的油田也由于技术的发展能够实现大规模开采，例如美国的页岩油、加拿大油砂、委内瑞拉的重油带。，均是由于技术革新而实现的产能释放。</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我们利用储产比来表示未来石油还能被开发的时间，可以看到，截止2015年，世界原油储产比为50.74年，这标志着以现在的消费速度，目前的储量还能够支撑开采50.74年。但不必担心，就像我刚才说的，我们的储量依然有增长的空间，这30年世界原油的储产比也是出于增长的状态。</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638425"/>
                  <wp:effectExtent l="0" t="0" r="0" b="9525"/>
                  <wp:docPr id="15" name="图片 15" descr="资料来源：BP，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资料来源：BP，要资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资料来源：BP，要资讯</w:t>
      </w:r>
      <w:r w:rsidRPr="002B377C">
        <w:rPr>
          <w:rFonts w:ascii="微软雅黑" w:eastAsia="微软雅黑" w:hAnsi="微软雅黑" w:cs="宋体" w:hint="eastAsia"/>
          <w:b/>
          <w:bCs/>
          <w:color w:val="000000"/>
          <w:kern w:val="0"/>
          <w:sz w:val="24"/>
          <w:szCs w:val="24"/>
        </w:rPr>
        <w:t>世界原油消费量</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2266950"/>
                  <wp:effectExtent l="0" t="0" r="0" b="0"/>
                  <wp:docPr id="14" name="图片 14" descr="资料来源：EIA，要资讯 美国一直以来都是一个能源消费大国，大家可以看到北美的这个大圈圈就代表了美国一年的原油消费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资料来源：EIA，要资讯 美国一直以来都是一个能源消费大国，大家可以看到北美的这个大圈圈就代表了美国一年的原油消费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2669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资料来源：EIA，要资讯 美国一直以来都是一个能源消费大国，大家可以看到北美的这个大圈圈就代表了美国一年的原油消费量。</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中国目前是世界第二大经济体，也是能源消费第二大国。在中国周边，日本，</w:t>
      </w:r>
      <w:hyperlink r:id="rId23" w:tgtFrame="_blank" w:history="1">
        <w:r w:rsidRPr="002B377C">
          <w:rPr>
            <w:rFonts w:ascii="微软雅黑" w:eastAsia="微软雅黑" w:hAnsi="微软雅黑" w:cs="宋体" w:hint="eastAsia"/>
            <w:color w:val="485A90"/>
            <w:kern w:val="0"/>
            <w:sz w:val="24"/>
            <w:szCs w:val="24"/>
          </w:rPr>
          <w:t>印度</w:t>
        </w:r>
      </w:hyperlink>
      <w:r w:rsidRPr="002B377C">
        <w:rPr>
          <w:rFonts w:ascii="微软雅黑" w:eastAsia="微软雅黑" w:hAnsi="微软雅黑" w:cs="宋体" w:hint="eastAsia"/>
          <w:color w:val="000000"/>
          <w:kern w:val="0"/>
          <w:sz w:val="24"/>
          <w:szCs w:val="24"/>
        </w:rPr>
        <w:t>，</w:t>
      </w:r>
      <w:hyperlink r:id="rId24" w:tgtFrame="_blank" w:history="1">
        <w:r w:rsidRPr="002B377C">
          <w:rPr>
            <w:rFonts w:ascii="微软雅黑" w:eastAsia="微软雅黑" w:hAnsi="微软雅黑" w:cs="宋体" w:hint="eastAsia"/>
            <w:color w:val="485A90"/>
            <w:kern w:val="0"/>
            <w:sz w:val="24"/>
            <w:szCs w:val="24"/>
          </w:rPr>
          <w:t>韩国</w:t>
        </w:r>
      </w:hyperlink>
      <w:r w:rsidRPr="002B377C">
        <w:rPr>
          <w:rFonts w:ascii="微软雅黑" w:eastAsia="微软雅黑" w:hAnsi="微软雅黑" w:cs="宋体" w:hint="eastAsia"/>
          <w:color w:val="000000"/>
          <w:kern w:val="0"/>
          <w:sz w:val="24"/>
          <w:szCs w:val="24"/>
        </w:rPr>
        <w:t>构成了能源消费的第三梯队。正是由于这一些东亚国家，使得2000年后，亚洲成为了世界能源消费的第一大区域。</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1819275"/>
                  <wp:effectExtent l="0" t="0" r="0" b="9525"/>
                  <wp:docPr id="13" name="图片 13" descr="资料来源：EIA，要资讯 二次世界大战之后，欧洲和北美经济快速发展，能源消费量大，1965年-1990年，属于全球第一第二的能源消费经济体。但随着2000年后，亚洲地区的快速发展，特别是中国和印度的快速发展，使得东亚地区成为第一大能源消费地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资料来源：EIA，要资讯 二次世界大战之后，欧洲和北美经济快速发展，能源消费量大，1965年-1990年，属于全球第一第二的能源消费经济体。但随着2000年后，亚洲地区的快速发展，特别是中国和印度的快速发展，使得东亚地区成为第一大能源消费地区。"/>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8192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资料来源：EIA，要资讯 二次世界大战之后，欧洲和北美经济快速发展，能源消费量大，1965年-1990年，属于全球第一第二的能源消费经济体。但随着2000年后，亚洲地区的快速发展，特别是中国和印度的快速发展，使得东亚地区成为第一大能源消费地区。</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世界原油贸易</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前面我们讲到了世界原油的存储、生产和消费，可以发现，原油的生产和消费具有空间位置上的不对称性。原油的主要生产地区在中东、北美、西非和欧洲，但是主要的消费地区在东亚。</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这就形成了全球的原油供需格局：北海地区的出产Brent原油主要供应北欧国家；北美洲出产的原油大多自己内部消化；中东和俄</w:t>
      </w:r>
      <w:hyperlink r:id="rId26" w:tgtFrame="_blank" w:history="1">
        <w:r w:rsidRPr="002B377C">
          <w:rPr>
            <w:rFonts w:ascii="微软雅黑" w:eastAsia="微软雅黑" w:hAnsi="微软雅黑" w:cs="宋体" w:hint="eastAsia"/>
            <w:color w:val="485A90"/>
            <w:kern w:val="0"/>
            <w:sz w:val="24"/>
            <w:szCs w:val="24"/>
          </w:rPr>
          <w:t>罗斯</w:t>
        </w:r>
      </w:hyperlink>
      <w:r w:rsidRPr="002B377C">
        <w:rPr>
          <w:rFonts w:ascii="微软雅黑" w:eastAsia="微软雅黑" w:hAnsi="微软雅黑" w:cs="宋体" w:hint="eastAsia"/>
          <w:color w:val="000000"/>
          <w:kern w:val="0"/>
          <w:sz w:val="24"/>
          <w:szCs w:val="24"/>
        </w:rPr>
        <w:t>出产的石油则主要销往西欧和东亚。其中中东的原油主要通过油轮的方式运往东亚各国，而俄罗斯的原油则多以管道运输的方式运往我国。</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3162300"/>
                  <wp:effectExtent l="0" t="0" r="0" b="0"/>
                  <wp:docPr id="12" name="图片 12" descr="资料来源：EIA，要资讯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资料来源：EIA，要资讯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tc>
      </w:tr>
    </w:tbl>
    <w:p w:rsidR="002B377C" w:rsidRPr="002B377C" w:rsidRDefault="002B377C" w:rsidP="002B377C">
      <w:pPr>
        <w:widowControl/>
        <w:spacing w:line="510" w:lineRule="atLeast"/>
        <w:jc w:val="center"/>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18"/>
          <w:szCs w:val="18"/>
        </w:rPr>
        <w:t>资料来源：EIA，要资讯 3</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中国原油贸易现状</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中国目前的原油消费占到了全球第二，但是与美国不同，中国的原油进口量达到了全球第一，是全球最大的石油净进口国。</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从1995年到2015年，我国的石油消费量翻了四翻，但是原油的产量只增长了44%，原油的进口量则扩大了18.6倍！与此同时，与庞大的进口数量相比，我国几乎不出口原油。</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与原油进口数量同时增长的还有原油的对外依存度，截止2015年我国的原油对外依存度高达62%，其中绝大多数来自于中大国家。</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3200400"/>
                  <wp:effectExtent l="0" t="0" r="0" b="0"/>
                  <wp:docPr id="11" name="图片 11" descr="资料来源：Wind，要资讯 由于中俄石油天然气管道的建立，俄罗斯目前成为了出口中国石油第一大国，其次是沙特阿拉伯和西非的安哥拉。随着中石油在委内瑞拉的合作项目开展，未来，委内瑞拉也将成为出口中国原油大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资料来源：Wind，要资讯 由于中俄石油天然气管道的建立，俄罗斯目前成为了出口中国石油第一大国，其次是沙特阿拉伯和西非的安哥拉。随着中石油在委内瑞拉的合作项目开展，未来，委内瑞拉也将成为出口中国原油大国。"/>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资料来源：Wind，要资讯 由于中俄石油天然气管道的建立，俄罗斯目前成为了出口中国石油第一大国，其次是沙特阿拉伯和西非的安哥拉。随着中石油在委内瑞拉的合作项目开展，未来，委内瑞拉也将成为出口中国原油大国。</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62500" cy="2733675"/>
                  <wp:effectExtent l="0" t="0" r="0" b="9525"/>
                  <wp:docPr id="10" name="图片 10" descr="资料来源：Wind，要资讯 可以看出中国的石油进口价格主要是由中东的原油价格决定，其基础价是迪拜交易所的阿曼原油，但是阿曼原油是以Brent原油价格为基础，这就造成了实际上我们进口的现货原油价格是与Brent原油挂钩的，这也说明了我国原油进口价格被动参考国际价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资料来源：Wind，要资讯 可以看出中国的石油进口价格主要是由中东的原油价格决定，其基础价是迪拜交易所的阿曼原油，但是阿曼原油是以Brent原油价格为基础，这就造成了实际上我们进口的现货原油价格是与Brent原油挂钩的，这也说明了我国原油进口价格被动参考国际价格。"/>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资料来源：Wind，要资讯 可以看出中国的石油进口价格主要是由中东的原油价格决定，其基础价是迪拜交易所的阿曼原油，但是阿曼原油是以Brent原油价格为基础，这就造成了实际上我们进口的现货原油价格是与Brent原油挂钩的，这也说明了我国原油进口价格被动参考国际价格。</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3571875"/>
                  <wp:effectExtent l="0" t="0" r="0" b="9525"/>
                  <wp:docPr id="9" name="图片 9" descr="资料来源：Wind，要资讯 但是中国的原油市场与世界的原油供需缺乏联动性。就拿石油的消费来说，美国的消费高峰一般是在夏季，而中国的石油消费高峰则主要集中在春运期间，一个个是夏季，一个是冬季。另外，中国国内炼厂的原料主要为中质含硫原油，因此也多进口中质原油，而Brent和WTI均为轻质原油，东亚地区也缺少中质原油的基准价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资料来源：Wind，要资讯 但是中国的原油市场与世界的原油供需缺乏联动性。就拿石油的消费来说，美国的消费高峰一般是在夏季，而中国的石油消费高峰则主要集中在春运期间，一个个是夏季，一个是冬季。另外，中国国内炼厂的原料主要为中质含硫原油，因此也多进口中质原油，而Brent和WTI均为轻质原油，东亚地区也缺少中质原油的基准价格。"/>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资料来源：Wind，要资讯 但是中国的原油市场与世界的原油供需缺乏联动性。就拿石油的消费来说，美国的消费高峰一般是在夏季，而中国的石油消</w:t>
      </w:r>
      <w:r w:rsidRPr="002B377C">
        <w:rPr>
          <w:rFonts w:ascii="微软雅黑" w:eastAsia="微软雅黑" w:hAnsi="微软雅黑" w:cs="宋体" w:hint="eastAsia"/>
          <w:color w:val="000000"/>
          <w:kern w:val="0"/>
          <w:sz w:val="24"/>
          <w:szCs w:val="24"/>
        </w:rPr>
        <w:lastRenderedPageBreak/>
        <w:t>费高峰则主要集中在春运期间，一个个是夏季，一个是冬季。另外，中国国内炼厂的原料主要为中质含硫原油，因此也多进口中质原油，而Brent和WTI均为轻质原油，东亚地区也缺少中质原油的基准价格。</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为此我们需要一个与国际接轨的适应于中国的原油合约，且合约的标的物为中质含硫原油。此次合约标的为中质含硫原油的另一个主要原因就是中质硫原油产量占全球原油产量44%，选用此标的物，可降低逼仓的风险。</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4</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原油期货</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首先来复习一下原油期货合约细则：</w:t>
      </w:r>
    </w:p>
    <w:tbl>
      <w:tblPr>
        <w:tblW w:w="0" w:type="auto"/>
        <w:jc w:val="center"/>
        <w:tblCellMar>
          <w:left w:w="0" w:type="dxa"/>
          <w:right w:w="0" w:type="dxa"/>
        </w:tblCellMar>
        <w:tblLook w:val="04A0" w:firstRow="1" w:lastRow="0" w:firstColumn="1" w:lastColumn="0" w:noHBand="0" w:noVBand="1"/>
      </w:tblPr>
      <w:tblGrid>
        <w:gridCol w:w="741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lastRenderedPageBreak/>
              <w:drawing>
                <wp:inline distT="0" distB="0" distL="0" distR="0">
                  <wp:extent cx="4705350" cy="5010150"/>
                  <wp:effectExtent l="0" t="0" r="0" b="0"/>
                  <wp:docPr id="8" name="图片 8" descr="资料来源：能源中心，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资料来源：能源中心，要资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50101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资料来源：能源中心，要资讯</w:t>
      </w:r>
      <w:r w:rsidRPr="002B377C">
        <w:rPr>
          <w:rFonts w:ascii="微软雅黑" w:eastAsia="微软雅黑" w:hAnsi="微软雅黑" w:cs="宋体" w:hint="eastAsia"/>
          <w:b/>
          <w:bCs/>
          <w:color w:val="000000"/>
          <w:kern w:val="0"/>
          <w:sz w:val="24"/>
          <w:szCs w:val="24"/>
        </w:rPr>
        <w:t>期货交易者适当性管理</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1228725"/>
                  <wp:effectExtent l="0" t="0" r="0" b="9525"/>
                  <wp:docPr id="7" name="图片 7" descr="资料来源：能源中心，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资料来源：能源中心，要资讯"/>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22872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kern w:val="0"/>
                <w:sz w:val="24"/>
                <w:szCs w:val="24"/>
              </w:rPr>
            </w:pPr>
            <w:r w:rsidRPr="002B377C">
              <w:rPr>
                <w:rFonts w:ascii="宋体" w:eastAsia="宋体" w:hAnsi="宋体" w:cs="宋体"/>
                <w:noProof/>
                <w:kern w:val="0"/>
                <w:sz w:val="24"/>
                <w:szCs w:val="24"/>
              </w:rPr>
              <w:lastRenderedPageBreak/>
              <w:drawing>
                <wp:inline distT="0" distB="0" distL="0" distR="0">
                  <wp:extent cx="4762500" cy="3038475"/>
                  <wp:effectExtent l="0" t="0" r="0" b="9525"/>
                  <wp:docPr id="6" name="图片 6" descr="原油知识与基本面大梳理！！！外送期货合约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原油知识与基本面大梳理！！！外送期货合约解读"/>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资料来源：能源中心，要资讯</w:t>
      </w:r>
      <w:r w:rsidRPr="002B377C">
        <w:rPr>
          <w:rFonts w:ascii="微软雅黑" w:eastAsia="微软雅黑" w:hAnsi="微软雅黑" w:cs="宋体" w:hint="eastAsia"/>
          <w:b/>
          <w:bCs/>
          <w:color w:val="000000"/>
          <w:kern w:val="0"/>
          <w:sz w:val="24"/>
          <w:szCs w:val="24"/>
        </w:rPr>
        <w:t>境外特殊参与者管理</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依据2015年6月26日发布的《境外交易者和境外经纪机构从事境内特定品种期货交易管理暂行办法》，来自境外的投资者依据其是否能够直接入场交易可分为：</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境外特殊经纪参与者与境外特殊非经纪参与者可以直接在交易中心交易；两者区别在于境外特殊经纪参与者可以接受境外客户委托，在能源中心直接入场交易，而后者则无此经纪业务。</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境外中介机构和境外客户均不可直接在交易中心交易；其中境外中介机构应当对其受托的客户进行实名认证，留存客户的开户资料和影音文件，并通过其委托的期货公司会员申请交易编码。</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从上图中我们可以看出，境外客户可以通过四种途径参与期货交易，但是需要注意的是，境外投资者与能源中心的结算均需通过国内的期货公司进行结算。</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3143250"/>
                  <wp:effectExtent l="0" t="0" r="0" b="0"/>
                  <wp:docPr id="5" name="图片 5" descr="资料来源：能源中心，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资料来源：能源中心，要资讯"/>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kern w:val="0"/>
                <w:sz w:val="24"/>
                <w:szCs w:val="24"/>
              </w:rPr>
            </w:pPr>
            <w:r w:rsidRPr="002B377C">
              <w:rPr>
                <w:rFonts w:ascii="宋体" w:eastAsia="宋体" w:hAnsi="宋体" w:cs="宋体"/>
                <w:noProof/>
                <w:kern w:val="0"/>
                <w:sz w:val="24"/>
                <w:szCs w:val="24"/>
              </w:rPr>
              <w:drawing>
                <wp:inline distT="0" distB="0" distL="0" distR="0">
                  <wp:extent cx="4762500" cy="1400175"/>
                  <wp:effectExtent l="0" t="0" r="0" b="9525"/>
                  <wp:docPr id="4" name="图片 4" descr="原油知识与基本面大梳理！！！外送期货合约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原油知识与基本面大梳理！！！外送期货合约解读"/>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140017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资料来源：能源中心，要资讯</w:t>
      </w:r>
      <w:r w:rsidRPr="002B377C">
        <w:rPr>
          <w:rFonts w:ascii="微软雅黑" w:eastAsia="微软雅黑" w:hAnsi="微软雅黑" w:cs="宋体" w:hint="eastAsia"/>
          <w:b/>
          <w:bCs/>
          <w:color w:val="000000"/>
          <w:kern w:val="0"/>
          <w:sz w:val="24"/>
          <w:szCs w:val="24"/>
        </w:rPr>
        <w:t>交易细则</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交易指令：限价指令、立即成交剩余指令自动撤回指令（FAK指令）、立即全部成交否则全部撤回指令（FOK指令）、能源中心规定的其他指令。</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每次最小下单数量为1手，每次最大下单数量为500手</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使用程序化交易事先向能源中心备案</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新合约上市第一个交易日的涨停板为合约规定涨停板的2倍</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结算细则</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期货公司会员结算准备金最低余额为人民币200万元；非期货公司会员结算准备金最低余额为人民币50万元</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会员每接受一家境外特殊经济参与者委托结算的，会员相应的结算准备金最低余额应增加人民币200万元</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境外特殊经济参与者每接受一家境外中介机构委托结算的，会员相应的结算准备金最低余额应增加人民币200万元</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会员每接受一家境外特殊非经济参与者委托结算的，会员相应的结算准备金最低余额应增加人民币50万元</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会员每接受一家境外中介机构委托结算的，会员相应的结算准备金最低余额应增加人民币200万元</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作为保证金可以使用的资产：标准仓单、外汇资产</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交割细则</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原油期货合约采用实物交割，到期合约按照标准流程交割，未到期合约可按照期转现流程交割。</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原油期货在保税区内实行保税交割，采取仓库交割的方式。</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需要说明的是，中国的原油进口采取贸易配额制，因此交割后的原油如果需要报关进口，应当符合相关的</w:t>
      </w:r>
      <w:hyperlink r:id="rId36" w:tgtFrame="_blank" w:history="1">
        <w:r w:rsidRPr="002B377C">
          <w:rPr>
            <w:rFonts w:ascii="微软雅黑" w:eastAsia="微软雅黑" w:hAnsi="微软雅黑" w:cs="宋体" w:hint="eastAsia"/>
            <w:color w:val="485A90"/>
            <w:kern w:val="0"/>
            <w:sz w:val="24"/>
            <w:szCs w:val="24"/>
          </w:rPr>
          <w:t>法律</w:t>
        </w:r>
      </w:hyperlink>
      <w:r w:rsidRPr="002B377C">
        <w:rPr>
          <w:rFonts w:ascii="微软雅黑" w:eastAsia="微软雅黑" w:hAnsi="微软雅黑" w:cs="宋体" w:hint="eastAsia"/>
          <w:color w:val="000000"/>
          <w:kern w:val="0"/>
          <w:sz w:val="24"/>
          <w:szCs w:val="24"/>
        </w:rPr>
        <w:t>法规。</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原油入库应当缴纳1.5元/桶的出入库押金。</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原油交割手续费为0.05元/桶。</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971800"/>
                  <wp:effectExtent l="0" t="0" r="0" b="0"/>
                  <wp:docPr id="3" name="图片 3" descr="资料来源：能源中心，要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资料来源：能源中心，要资讯"/>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t xml:space="preserve">　　资料来源：能源中心，要资讯</w:t>
      </w:r>
      <w:r w:rsidRPr="002B377C">
        <w:rPr>
          <w:rFonts w:ascii="微软雅黑" w:eastAsia="微软雅黑" w:hAnsi="微软雅黑" w:cs="宋体" w:hint="eastAsia"/>
          <w:b/>
          <w:bCs/>
          <w:color w:val="000000"/>
          <w:kern w:val="0"/>
          <w:sz w:val="24"/>
          <w:szCs w:val="24"/>
        </w:rPr>
        <w:t>原油期货合约风险控制</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原油期货合约上市运行不同阶段的交易保证金收取标准按照下表执行：·</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1276350"/>
                  <wp:effectExtent l="0" t="0" r="0" b="0"/>
                  <wp:docPr id="2" name="图片 2" descr="资料来源：能源中心，要资讯 原油期货合约在上市运行不同阶段一般持仓的限仓比例和持仓限额按照下表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资料来源：能源中心，要资讯 原油期货合约在上市运行不同阶段一般持仓的限仓比例和持仓限额按照下表执行："/>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1276350"/>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24"/>
          <w:szCs w:val="24"/>
        </w:rPr>
        <w:lastRenderedPageBreak/>
        <w:t xml:space="preserve">　　资料来源：能源中心，要资讯 原油期货合约在上市运行不同阶段一般持仓的限仓比例和持仓限额按照下表执行：</w:t>
      </w:r>
    </w:p>
    <w:tbl>
      <w:tblPr>
        <w:tblW w:w="0" w:type="auto"/>
        <w:jc w:val="center"/>
        <w:tblCellMar>
          <w:left w:w="0" w:type="dxa"/>
          <w:right w:w="0" w:type="dxa"/>
        </w:tblCellMar>
        <w:tblLook w:val="04A0" w:firstRow="1" w:lastRow="0" w:firstColumn="1" w:lastColumn="0" w:noHBand="0" w:noVBand="1"/>
      </w:tblPr>
      <w:tblGrid>
        <w:gridCol w:w="7500"/>
      </w:tblGrid>
      <w:tr w:rsidR="002B377C" w:rsidRPr="002B377C" w:rsidTr="002B377C">
        <w:trPr>
          <w:jc w:val="center"/>
        </w:trPr>
        <w:tc>
          <w:tcPr>
            <w:tcW w:w="0" w:type="auto"/>
            <w:vAlign w:val="center"/>
            <w:hideMark/>
          </w:tcPr>
          <w:p w:rsidR="002B377C" w:rsidRPr="002B377C" w:rsidRDefault="002B377C" w:rsidP="002B377C">
            <w:pPr>
              <w:widowControl/>
              <w:jc w:val="center"/>
              <w:rPr>
                <w:rFonts w:ascii="宋体" w:eastAsia="宋体" w:hAnsi="宋体" w:cs="宋体" w:hint="eastAsia"/>
                <w:kern w:val="0"/>
                <w:sz w:val="24"/>
                <w:szCs w:val="24"/>
              </w:rPr>
            </w:pPr>
            <w:r w:rsidRPr="002B377C">
              <w:rPr>
                <w:rFonts w:ascii="宋体" w:eastAsia="宋体" w:hAnsi="宋体" w:cs="宋体"/>
                <w:noProof/>
                <w:kern w:val="0"/>
                <w:sz w:val="24"/>
                <w:szCs w:val="24"/>
              </w:rPr>
              <w:drawing>
                <wp:inline distT="0" distB="0" distL="0" distR="0">
                  <wp:extent cx="4762500" cy="2028825"/>
                  <wp:effectExtent l="0" t="0" r="0" b="9525"/>
                  <wp:docPr id="1" name="图片 1" descr="资料来源：能源中心，要资讯 大户持仓报告制度：客户、会员、境外特殊参与者某期货合约的买（卖）持仓（同一方向上一般持仓与套利持仓合并计算，下同）达到能源中心规定的一般持仓限额的100%时；境外中介机构的买（卖）持仓达到能源中心一般持仓限额的60%时（应当主动于下一交易日15:00前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资料来源：能源中心，要资讯 大户持仓报告制度：客户、会员、境外特殊参与者某期货合约的买（卖）持仓（同一方向上一般持仓与套利持仓合并计算，下同）达到能源中心规定的一般持仓限额的100%时；境外中介机构的买（卖）持仓达到能源中心一般持仓限额的60%时（应当主动于下一交易日15:00前报告）"/>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028825"/>
                          </a:xfrm>
                          <a:prstGeom prst="rect">
                            <a:avLst/>
                          </a:prstGeom>
                          <a:noFill/>
                          <a:ln>
                            <a:noFill/>
                          </a:ln>
                        </pic:spPr>
                      </pic:pic>
                    </a:graphicData>
                  </a:graphic>
                </wp:inline>
              </w:drawing>
            </w:r>
          </w:p>
        </w:tc>
      </w:tr>
    </w:tbl>
    <w:p w:rsidR="002B377C" w:rsidRPr="002B377C" w:rsidRDefault="002B377C" w:rsidP="002B377C">
      <w:pPr>
        <w:widowControl/>
        <w:spacing w:line="510" w:lineRule="atLeast"/>
        <w:jc w:val="left"/>
        <w:rPr>
          <w:rFonts w:ascii="微软雅黑" w:eastAsia="微软雅黑" w:hAnsi="微软雅黑" w:cs="宋体"/>
          <w:color w:val="000000"/>
          <w:kern w:val="0"/>
          <w:sz w:val="24"/>
          <w:szCs w:val="24"/>
        </w:rPr>
      </w:pPr>
      <w:r w:rsidRPr="002B377C">
        <w:rPr>
          <w:rFonts w:ascii="微软雅黑" w:eastAsia="微软雅黑" w:hAnsi="微软雅黑" w:cs="宋体" w:hint="eastAsia"/>
          <w:color w:val="000000"/>
          <w:kern w:val="0"/>
          <w:sz w:val="18"/>
          <w:szCs w:val="18"/>
        </w:rPr>
        <w:t xml:space="preserve">　　资料来源：能源中心，要资讯 大户持仓报告制度：客户、会员、境外特殊参与者某期货合约的买（卖）持仓（同一方向上一般持仓与套利持仓合并计算，下同）达到能源中心规定的一般持仓限额的100%时；境外中介机构的买（卖）持仓达到能源中心一般持仓限额的60%时（应当主动于下一交易日15:00前报告）</w:t>
      </w:r>
    </w:p>
    <w:p w:rsidR="002B377C" w:rsidRPr="002B377C" w:rsidRDefault="002B377C" w:rsidP="002B377C">
      <w:pPr>
        <w:widowControl/>
        <w:spacing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w:t>
      </w:r>
      <w:r w:rsidRPr="002B377C">
        <w:rPr>
          <w:rFonts w:ascii="微软雅黑" w:eastAsia="微软雅黑" w:hAnsi="微软雅黑" w:cs="宋体" w:hint="eastAsia"/>
          <w:b/>
          <w:bCs/>
          <w:color w:val="000000"/>
          <w:kern w:val="0"/>
          <w:sz w:val="24"/>
          <w:szCs w:val="24"/>
        </w:rPr>
        <w:t>增值税：</w:t>
      </w:r>
    </w:p>
    <w:p w:rsidR="002B377C" w:rsidRPr="002B377C" w:rsidRDefault="002B377C" w:rsidP="002B377C">
      <w:pPr>
        <w:widowControl/>
        <w:spacing w:before="150" w:after="450" w:line="510" w:lineRule="atLeast"/>
        <w:jc w:val="left"/>
        <w:rPr>
          <w:rFonts w:ascii="微软雅黑" w:eastAsia="微软雅黑" w:hAnsi="微软雅黑" w:cs="宋体" w:hint="eastAsia"/>
          <w:color w:val="000000"/>
          <w:kern w:val="0"/>
          <w:sz w:val="24"/>
          <w:szCs w:val="24"/>
        </w:rPr>
      </w:pPr>
      <w:r w:rsidRPr="002B377C">
        <w:rPr>
          <w:rFonts w:ascii="微软雅黑" w:eastAsia="微软雅黑" w:hAnsi="微软雅黑" w:cs="宋体" w:hint="eastAsia"/>
          <w:color w:val="000000"/>
          <w:kern w:val="0"/>
          <w:sz w:val="24"/>
          <w:szCs w:val="24"/>
        </w:rPr>
        <w:t xml:space="preserve">　　财税[2015]35号通知，明确上海国际能源交易中心的原油期货保税交割业务，暂免征收增值税。</w:t>
      </w:r>
    </w:p>
    <w:p w:rsidR="003D151D" w:rsidRDefault="002B377C"/>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9D"/>
    <w:rsid w:val="002B377C"/>
    <w:rsid w:val="0047189D"/>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03771-165D-41A3-989F-9069121F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B37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77C"/>
    <w:rPr>
      <w:rFonts w:ascii="宋体" w:eastAsia="宋体" w:hAnsi="宋体" w:cs="宋体"/>
      <w:b/>
      <w:bCs/>
      <w:kern w:val="36"/>
      <w:sz w:val="48"/>
      <w:szCs w:val="48"/>
    </w:rPr>
  </w:style>
  <w:style w:type="character" w:customStyle="1" w:styleId="pr20">
    <w:name w:val="pr20"/>
    <w:basedOn w:val="a0"/>
    <w:rsid w:val="002B377C"/>
  </w:style>
  <w:style w:type="character" w:styleId="a3">
    <w:name w:val="Hyperlink"/>
    <w:basedOn w:val="a0"/>
    <w:uiPriority w:val="99"/>
    <w:semiHidden/>
    <w:unhideWhenUsed/>
    <w:rsid w:val="002B377C"/>
    <w:rPr>
      <w:color w:val="0000FF"/>
      <w:u w:val="single"/>
    </w:rPr>
  </w:style>
  <w:style w:type="paragraph" w:styleId="a4">
    <w:name w:val="Normal (Web)"/>
    <w:basedOn w:val="a"/>
    <w:uiPriority w:val="99"/>
    <w:semiHidden/>
    <w:unhideWhenUsed/>
    <w:rsid w:val="002B377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3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988455">
      <w:bodyDiv w:val="1"/>
      <w:marLeft w:val="0"/>
      <w:marRight w:val="0"/>
      <w:marTop w:val="0"/>
      <w:marBottom w:val="0"/>
      <w:divBdr>
        <w:top w:val="none" w:sz="0" w:space="0" w:color="auto"/>
        <w:left w:val="none" w:sz="0" w:space="0" w:color="auto"/>
        <w:bottom w:val="none" w:sz="0" w:space="0" w:color="auto"/>
        <w:right w:val="none" w:sz="0" w:space="0" w:color="auto"/>
      </w:divBdr>
      <w:divsChild>
        <w:div w:id="1287007907">
          <w:marLeft w:val="0"/>
          <w:marRight w:val="0"/>
          <w:marTop w:val="0"/>
          <w:marBottom w:val="0"/>
          <w:divBdr>
            <w:top w:val="none" w:sz="0" w:space="0" w:color="auto"/>
            <w:left w:val="none" w:sz="0" w:space="0" w:color="auto"/>
            <w:bottom w:val="none" w:sz="0" w:space="0" w:color="auto"/>
            <w:right w:val="none" w:sz="0" w:space="0" w:color="auto"/>
          </w:divBdr>
          <w:divsChild>
            <w:div w:id="30425385">
              <w:marLeft w:val="0"/>
              <w:marRight w:val="0"/>
              <w:marTop w:val="0"/>
              <w:marBottom w:val="0"/>
              <w:divBdr>
                <w:top w:val="none" w:sz="0" w:space="0" w:color="auto"/>
                <w:left w:val="none" w:sz="0" w:space="0" w:color="auto"/>
                <w:bottom w:val="none" w:sz="0" w:space="0" w:color="auto"/>
                <w:right w:val="none" w:sz="0" w:space="0" w:color="auto"/>
              </w:divBdr>
              <w:divsChild>
                <w:div w:id="3590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061">
          <w:marLeft w:val="0"/>
          <w:marRight w:val="0"/>
          <w:marTop w:val="0"/>
          <w:marBottom w:val="0"/>
          <w:divBdr>
            <w:top w:val="none" w:sz="0" w:space="0" w:color="auto"/>
            <w:left w:val="none" w:sz="0" w:space="0" w:color="auto"/>
            <w:bottom w:val="none" w:sz="0" w:space="0" w:color="auto"/>
            <w:right w:val="none" w:sz="0" w:space="0" w:color="auto"/>
          </w:divBdr>
          <w:divsChild>
            <w:div w:id="1326125471">
              <w:marLeft w:val="0"/>
              <w:marRight w:val="0"/>
              <w:marTop w:val="0"/>
              <w:marBottom w:val="0"/>
              <w:divBdr>
                <w:top w:val="none" w:sz="0" w:space="0" w:color="auto"/>
                <w:left w:val="none" w:sz="0" w:space="0" w:color="auto"/>
                <w:bottom w:val="none" w:sz="0" w:space="0" w:color="auto"/>
                <w:right w:val="none" w:sz="0" w:space="0" w:color="auto"/>
              </w:divBdr>
              <w:divsChild>
                <w:div w:id="219024120">
                  <w:marLeft w:val="0"/>
                  <w:marRight w:val="0"/>
                  <w:marTop w:val="0"/>
                  <w:marBottom w:val="0"/>
                  <w:divBdr>
                    <w:top w:val="none" w:sz="0" w:space="0" w:color="auto"/>
                    <w:left w:val="none" w:sz="0" w:space="0" w:color="auto"/>
                    <w:bottom w:val="none" w:sz="0" w:space="0" w:color="auto"/>
                    <w:right w:val="none" w:sz="0" w:space="0" w:color="auto"/>
                  </w:divBdr>
                  <w:divsChild>
                    <w:div w:id="631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tures.hexun.com/oil/index.html" TargetMode="External"/><Relationship Id="rId13" Type="http://schemas.openxmlformats.org/officeDocument/2006/relationships/hyperlink" Target="http://news.hexun.com/saudi/index.html" TargetMode="External"/><Relationship Id="rId18" Type="http://schemas.openxmlformats.org/officeDocument/2006/relationships/image" Target="media/image6.jpeg"/><Relationship Id="rId26" Type="http://schemas.openxmlformats.org/officeDocument/2006/relationships/hyperlink" Target="http://renwu.hexun.com/figure_3836.shtml" TargetMode="External"/><Relationship Id="rId39" Type="http://schemas.openxmlformats.org/officeDocument/2006/relationships/image" Target="media/image22.jpeg"/><Relationship Id="rId3" Type="http://schemas.openxmlformats.org/officeDocument/2006/relationships/webSettings" Target="webSettings.xml"/><Relationship Id="rId21" Type="http://schemas.openxmlformats.org/officeDocument/2006/relationships/image" Target="media/image8.jpeg"/><Relationship Id="rId34" Type="http://schemas.openxmlformats.org/officeDocument/2006/relationships/image" Target="media/image18.jpeg"/><Relationship Id="rId7" Type="http://schemas.openxmlformats.org/officeDocument/2006/relationships/hyperlink" Target="http://jingzhi.funds.hexun.com/159001.shtml" TargetMode="External"/><Relationship Id="rId12" Type="http://schemas.openxmlformats.org/officeDocument/2006/relationships/hyperlink" Target="http://futures.hexun.com/gold/" TargetMode="Externa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futures.hexun.com/" TargetMode="External"/><Relationship Id="rId11" Type="http://schemas.openxmlformats.org/officeDocument/2006/relationships/image" Target="media/image3.jpeg"/><Relationship Id="rId24" Type="http://schemas.openxmlformats.org/officeDocument/2006/relationships/hyperlink" Target="http://news.hexun.com/korea/index.html" TargetMode="External"/><Relationship Id="rId32" Type="http://schemas.openxmlformats.org/officeDocument/2006/relationships/image" Target="media/image16.jpeg"/><Relationship Id="rId37" Type="http://schemas.openxmlformats.org/officeDocument/2006/relationships/image" Target="media/image20.jpeg"/><Relationship Id="rId40" Type="http://schemas.openxmlformats.org/officeDocument/2006/relationships/fontTable" Target="fontTable.xml"/><Relationship Id="rId5" Type="http://schemas.openxmlformats.org/officeDocument/2006/relationships/hyperlink" Target="http://futures.hexun.com/oil/index.html" TargetMode="External"/><Relationship Id="rId15" Type="http://schemas.openxmlformats.org/officeDocument/2006/relationships/hyperlink" Target="http://news.hexun.com/qatar/index.html" TargetMode="External"/><Relationship Id="rId23" Type="http://schemas.openxmlformats.org/officeDocument/2006/relationships/hyperlink" Target="http://news.hexun.com/india/index.html" TargetMode="External"/><Relationship Id="rId28" Type="http://schemas.openxmlformats.org/officeDocument/2006/relationships/image" Target="media/image12.jpeg"/><Relationship Id="rId36" Type="http://schemas.openxmlformats.org/officeDocument/2006/relationships/hyperlink" Target="http://law.hexun.com/" TargetMode="External"/><Relationship Id="rId10" Type="http://schemas.openxmlformats.org/officeDocument/2006/relationships/image" Target="media/image2.jpeg"/><Relationship Id="rId19" Type="http://schemas.openxmlformats.org/officeDocument/2006/relationships/hyperlink" Target="http://news.hexun.com/russia/" TargetMode="External"/><Relationship Id="rId31" Type="http://schemas.openxmlformats.org/officeDocument/2006/relationships/image" Target="media/image15.jpeg"/><Relationship Id="rId4" Type="http://schemas.openxmlformats.org/officeDocument/2006/relationships/hyperlink" Target="http://news.hexun.com/socialmedia/" TargetMode="External"/><Relationship Id="rId9" Type="http://schemas.openxmlformats.org/officeDocument/2006/relationships/image" Target="media/image1.jpeg"/><Relationship Id="rId14" Type="http://schemas.openxmlformats.org/officeDocument/2006/relationships/hyperlink" Target="http://news.hexun.com/canada/index.html" TargetMode="External"/><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2017-09-18T00:56:00Z</dcterms:created>
  <dcterms:modified xsi:type="dcterms:W3CDTF">2017-09-18T00:56:00Z</dcterms:modified>
</cp:coreProperties>
</file>