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500"/>
      </w:pPr>
      <w:r>
        <w:rPr>
          <w:b/>
          <w:bCs/>
          <w:color w:val="5C6373"/>
          <w:sz w:val="17"/>
          <w:szCs w:val="17"/>
        </w:rPr>
        <w:t xml:space="preserve">B T G   S P O R T S   G R O U P   ·   S P O N S O R X</w:t>
      </w:r>
    </w:p>
    <w:p>
      <w:pPr>
        <w:spacing w:after="0" w:before="260"/>
      </w:pPr>
      <w:r>
        <w:rPr>
          <w:b/>
          <w:bCs/>
          <w:color w:val="1F6FB2"/>
          <w:sz w:val="68"/>
          <w:szCs w:val="68"/>
        </w:rPr>
        <w:t xml:space="preserve">SponsorX NEXT</w:t>
      </w:r>
    </w:p>
    <w:p>
      <w:pPr>
        <w:pBdr>
          <w:bottom w:val="single" w:color="B4500C" w:sz="14"/>
        </w:pBdr>
        <w:spacing w:after="240" w:before="60"/>
      </w:pPr>
      <w:r>
        <w:rPr>
          <w:color w:val="16181D"/>
          <w:sz w:val="40"/>
          <w:szCs w:val="40"/>
        </w:rPr>
        <w:t xml:space="preserve">Integration Specification</w:t>
      </w:r>
    </w:p>
    <w:p>
      <w:pPr>
        <w:spacing w:after="260" w:before="200"/>
      </w:pPr>
      <w:r>
        <w:rPr>
          <w:i/>
          <w:iCs/>
          <w:color w:val="5C6373"/>
          <w:sz w:val="22"/>
          <w:szCs w:val="22"/>
        </w:rPr>
        <w:t xml:space="preserve">How the student-run high-school sports media programme joins the existing SponsorX platform — what already exists, what does not, and in what order it should be built.</w:t>
      </w:r>
    </w:p>
    <w:p>
      <w:pPr>
        <w:spacing w:after="220" w:before="0"/>
      </w:pPr>
      <w:r>
        <w:rPr>
          <w:b/>
          <w:bCs/>
          <w:color w:val="16181D"/>
          <w:sz w:val="21"/>
          <w:szCs w:val="21"/>
        </w:rPr>
        <w:t xml:space="preserve">Task </w:t>
      </w:r>
      <w:r>
        <w:rPr>
          <w:rFonts w:ascii="Consolas" w:cs="Consolas" w:eastAsia="Consolas" w:hAnsi="Consolas"/>
          <w:b/>
          <w:bCs/>
          <w:color w:val="B4500C"/>
          <w:sz w:val="18"/>
          <w:szCs w:val="18"/>
        </w:rPr>
        <w:t xml:space="preserve">P0-PMO-14</w:t>
      </w:r>
      <w:r>
        <w:rPr>
          <w:b/>
          <w:bCs/>
          <w:color w:val="16181D"/>
          <w:sz w:val="21"/>
          <w:szCs w:val="21"/>
        </w:rPr>
        <w:t xml:space="preserve"> · Version 1.0 · 2026-09-22 · Status: proposed</w:t>
      </w:r>
    </w:p>
    <w:p>
      <w:pPr>
        <w:spacing w:after="150" w:before="0"/>
      </w:pPr>
      <w:r>
        <w:rPr>
          <w:color w:val="16181D"/>
          <w:sz w:val="20"/>
          <w:szCs w:val="20"/>
        </w:rPr>
        <w:t xml:space="preserve">SponsorX NEXT is a student-run high-school sports media programme: each participating school fields a student media team that writes, shoots, designs and </w:t>
      </w:r>
      <w:r>
        <w:rPr>
          <w:b/>
          <w:bCs/>
          <w:color w:val="16181D"/>
          <w:sz w:val="20"/>
          <w:szCs w:val="20"/>
        </w:rPr>
        <w:t xml:space="preserve">sells</w:t>
      </w:r>
      <w:r>
        <w:rPr>
          <w:color w:val="16181D"/>
          <w:sz w:val="20"/>
          <w:szCs w:val="20"/>
        </w:rPr>
        <w:t xml:space="preserve"> a quarterly magazine, and SponsorX supplies the platform, templates, training, sales structure and sponsor relationships.</w:t>
      </w:r>
    </w:p>
    <w:p>
      <w:pPr>
        <w:spacing w:after="150" w:before="0"/>
      </w:pPr>
      <w:r>
        <w:rPr>
          <w:color w:val="16181D"/>
          <w:sz w:val="20"/>
          <w:szCs w:val="20"/>
        </w:rPr>
        <w:t xml:space="preserve">This document answers one question — </w:t>
      </w:r>
      <w:r>
        <w:rPr>
          <w:i/>
          <w:iCs/>
          <w:color w:val="16181D"/>
          <w:sz w:val="20"/>
          <w:szCs w:val="20"/>
        </w:rPr>
        <w:t xml:space="preserve">does NEXT go into the product, or beside it?</w:t>
      </w:r>
      <w:r>
        <w:rPr>
          <w:color w:val="16181D"/>
          <w:sz w:val="20"/>
          <w:szCs w:val="20"/>
        </w:rPr>
        <w:t xml:space="preserve"> — and then specifies the integration. It is a proposal, not a decision; §12 lists what it deliberately leaves open.</w:t>
      </w:r>
    </w:p>
    <w:p>
      <w:pPr>
        <w:spacing w:after="0" w:before="1500"/>
      </w:pPr>
      <w:r>
        <w:rPr>
          <w:color w:val="5C6373"/>
          <w:sz w:val="16"/>
          <w:szCs w:val="16"/>
        </w:rPr>
        <w:t xml:space="preserve">Source of record: documentation/SponsorX-NEXT-Integration-Spec.md</w:t>
      </w:r>
      <w:r>
        <w:rPr>
          <w:color w:val="5C6373"/>
          <w:sz w:val="16"/>
          <w:szCs w:val="16"/>
        </w:rPr>
        <w:br/>
        <w:t xml:space="preserve">This document is generated from it — edit the Markdown, not this file.</w:t>
      </w:r>
    </w:p>
    <w:p>
      <w:r>
        <w:br w:type="page"/>
      </w:r>
    </w:p>
    <w:p>
      <w:pPr>
        <w:pBdr>
          <w:bottom w:val="single" w:color="2E9BF5" w:sz="6"/>
        </w:pBdr>
        <w:spacing w:after="220"/>
      </w:pPr>
      <w:r>
        <w:rPr>
          <w:b/>
          <w:bCs/>
          <w:color w:val="1F6FB2"/>
          <w:sz w:val="27"/>
          <w:szCs w:val="27"/>
        </w:rPr>
        <w:t xml:space="preserve">Contents</w:t>
      </w:r>
    </w:p>
    <w:p>
      <w:pPr>
        <w:spacing w:after="0" w:before="110"/>
      </w:pPr>
      <w:r>
        <w:rPr>
          <w:b/>
          <w:bCs/>
          <w:color w:val="16181D"/>
          <w:sz w:val="21"/>
          <w:szCs w:val="21"/>
        </w:rPr>
        <w:t xml:space="preserve">1 · The verdict, in three lines</w:t>
      </w:r>
    </w:p>
    <w:p>
      <w:pPr>
        <w:spacing w:after="0" w:before="110"/>
      </w:pPr>
      <w:r>
        <w:rPr>
          <w:b/>
          <w:bCs/>
          <w:color w:val="16181D"/>
          <w:sz w:val="21"/>
          <w:szCs w:val="21"/>
        </w:rPr>
        <w:t xml:space="preserve">2 · Why not a separate application</w:t>
      </w:r>
    </w:p>
    <w:p>
      <w:pPr>
        <w:spacing w:after="0" w:before="110"/>
      </w:pPr>
      <w:r>
        <w:rPr>
          <w:b/>
          <w:bCs/>
          <w:color w:val="16181D"/>
          <w:sz w:val="21"/>
          <w:szCs w:val="21"/>
        </w:rPr>
        <w:t xml:space="preserve">3 · What already exists</w:t>
      </w:r>
    </w:p>
    <w:p>
      <w:pPr>
        <w:spacing w:after="0" w:before="110"/>
      </w:pPr>
      <w:r>
        <w:rPr>
          <w:b/>
          <w:bCs/>
          <w:color w:val="16181D"/>
          <w:sz w:val="21"/>
          <w:szCs w:val="21"/>
        </w:rPr>
        <w:t xml:space="preserve">4 · The finding that decides the shape</w:t>
      </w:r>
    </w:p>
    <w:p>
      <w:pPr>
        <w:spacing w:after="0" w:before="110"/>
      </w:pPr>
      <w:r>
        <w:rPr>
          <w:b/>
          <w:bCs/>
          <w:color w:val="16181D"/>
          <w:sz w:val="21"/>
          <w:szCs w:val="21"/>
        </w:rPr>
        <w:t xml:space="preserve">5 · The four gaps</w:t>
      </w:r>
    </w:p>
    <w:p>
      <w:pPr>
        <w:spacing w:after="0" w:before="40"/>
        <w:ind w:left="340"/>
      </w:pPr>
      <w:r>
        <w:rPr>
          <w:color w:val="5C6373"/>
          <w:sz w:val="19"/>
          <w:szCs w:val="19"/>
        </w:rPr>
        <w:t xml:space="preserve">5.1 · </w:t>
      </w:r>
      <w:r>
        <w:rPr>
          <w:rFonts w:ascii="Consolas" w:cs="Consolas" w:eastAsia="Consolas" w:hAnsi="Consolas"/>
          <w:color w:val="B4500C"/>
          <w:sz w:val="16"/>
          <w:szCs w:val="16"/>
        </w:rPr>
        <w:t xml:space="preserve">Student</w:t>
      </w:r>
      <w:r>
        <w:rPr>
          <w:color w:val="5C6373"/>
          <w:sz w:val="19"/>
          <w:szCs w:val="19"/>
        </w:rPr>
        <w:t xml:space="preserve"> — not an </w:t>
      </w:r>
      <w:r>
        <w:rPr>
          <w:rFonts w:ascii="Consolas" w:cs="Consolas" w:eastAsia="Consolas" w:hAnsi="Consolas"/>
          <w:color w:val="B4500C"/>
          <w:sz w:val="16"/>
          <w:szCs w:val="16"/>
        </w:rPr>
        <w:t xml:space="preserve">Athlete</w:t>
      </w:r>
    </w:p>
    <w:p>
      <w:pPr>
        <w:spacing w:after="0" w:before="40"/>
        <w:ind w:left="340"/>
      </w:pPr>
      <w:r>
        <w:rPr>
          <w:color w:val="5C6373"/>
          <w:sz w:val="19"/>
          <w:szCs w:val="19"/>
        </w:rPr>
        <w:t xml:space="preserve">5.2 · </w:t>
      </w:r>
      <w:r>
        <w:rPr>
          <w:rFonts w:ascii="Consolas" w:cs="Consolas" w:eastAsia="Consolas" w:hAnsi="Consolas"/>
          <w:color w:val="B4500C"/>
          <w:sz w:val="16"/>
          <w:szCs w:val="16"/>
        </w:rPr>
        <w:t xml:space="preserve">Publication</w:t>
      </w:r>
      <w:r>
        <w:rPr>
          <w:color w:val="5C6373"/>
          <w:sz w:val="19"/>
          <w:szCs w:val="19"/>
        </w:rPr>
        <w:t xml:space="preserve"> / </w:t>
      </w:r>
      <w:r>
        <w:rPr>
          <w:rFonts w:ascii="Consolas" w:cs="Consolas" w:eastAsia="Consolas" w:hAnsi="Consolas"/>
          <w:color w:val="B4500C"/>
          <w:sz w:val="16"/>
          <w:szCs w:val="16"/>
        </w:rPr>
        <w:t xml:space="preserve">Edition</w:t>
      </w:r>
      <w:r>
        <w:rPr>
          <w:color w:val="5C6373"/>
          <w:sz w:val="19"/>
          <w:szCs w:val="19"/>
        </w:rPr>
        <w:t xml:space="preserve"> / </w:t>
      </w:r>
      <w:r>
        <w:rPr>
          <w:rFonts w:ascii="Consolas" w:cs="Consolas" w:eastAsia="Consolas" w:hAnsi="Consolas"/>
          <w:color w:val="B4500C"/>
          <w:sz w:val="16"/>
          <w:szCs w:val="16"/>
        </w:rPr>
        <w:t xml:space="preserve">AdSlot</w:t>
      </w:r>
      <w:r>
        <w:rPr>
          <w:color w:val="5C6373"/>
          <w:sz w:val="19"/>
          <w:szCs w:val="19"/>
        </w:rPr>
        <w:t xml:space="preserve"> — finite, positional, deadlined</w:t>
      </w:r>
    </w:p>
    <w:p>
      <w:pPr>
        <w:spacing w:after="0" w:before="40"/>
        <w:ind w:left="340"/>
      </w:pPr>
      <w:r>
        <w:rPr>
          <w:color w:val="5C6373"/>
          <w:sz w:val="19"/>
          <w:szCs w:val="19"/>
        </w:rPr>
        <w:t xml:space="preserve">5.3 · </w:t>
      </w:r>
      <w:r>
        <w:rPr>
          <w:rFonts w:ascii="Consolas" w:cs="Consolas" w:eastAsia="Consolas" w:hAnsi="Consolas"/>
          <w:color w:val="B4500C"/>
          <w:sz w:val="16"/>
          <w:szCs w:val="16"/>
        </w:rPr>
        <w:t xml:space="preserve">RevenueSplit</w:t>
      </w:r>
      <w:r>
        <w:rPr>
          <w:color w:val="5C6373"/>
          <w:sz w:val="19"/>
          <w:szCs w:val="19"/>
        </w:rPr>
        <w:t xml:space="preserve"> — and </w:t>
      </w:r>
      <w:r>
        <w:rPr>
          <w:rFonts w:ascii="Consolas" w:cs="Consolas" w:eastAsia="Consolas" w:hAnsi="Consolas"/>
          <w:color w:val="B4500C"/>
          <w:sz w:val="16"/>
          <w:szCs w:val="16"/>
        </w:rPr>
        <w:t xml:space="preserve">Earning</w:t>
      </w:r>
      <w:r>
        <w:rPr>
          <w:color w:val="5C6373"/>
          <w:sz w:val="19"/>
          <w:szCs w:val="19"/>
        </w:rPr>
        <w:t xml:space="preserve"> left alone</w:t>
      </w:r>
    </w:p>
    <w:p>
      <w:pPr>
        <w:spacing w:after="0" w:before="40"/>
        <w:ind w:left="340"/>
      </w:pPr>
      <w:r>
        <w:rPr>
          <w:color w:val="5C6373"/>
          <w:sz w:val="19"/>
          <w:szCs w:val="19"/>
        </w:rPr>
        <w:t xml:space="preserve">5.4 · </w:t>
      </w:r>
      <w:r>
        <w:rPr>
          <w:rFonts w:ascii="Consolas" w:cs="Consolas" w:eastAsia="Consolas" w:hAnsi="Consolas"/>
          <w:color w:val="B4500C"/>
          <w:sz w:val="16"/>
          <w:szCs w:val="16"/>
        </w:rPr>
        <w:t xml:space="preserve">StudentPoints</w:t>
      </w:r>
      <w:r>
        <w:rPr>
          <w:color w:val="5C6373"/>
          <w:sz w:val="19"/>
          <w:szCs w:val="19"/>
        </w:rPr>
        <w:t xml:space="preserve"> — and why it is not money</w:t>
      </w:r>
    </w:p>
    <w:p>
      <w:pPr>
        <w:spacing w:after="0" w:before="110"/>
      </w:pPr>
      <w:r>
        <w:rPr>
          <w:b/>
          <w:bCs/>
          <w:color w:val="16181D"/>
          <w:sz w:val="21"/>
          <w:szCs w:val="21"/>
        </w:rPr>
        <w:t xml:space="preserve">6 · Attribution — a third namespace, not a fourth use of </w:t>
      </w:r>
      <w:r>
        <w:rPr>
          <w:rFonts w:ascii="Consolas" w:cs="Consolas" w:eastAsia="Consolas" w:hAnsi="Consolas"/>
          <w:b/>
          <w:bCs/>
          <w:color w:val="B4500C"/>
          <w:sz w:val="18"/>
          <w:szCs w:val="18"/>
        </w:rPr>
        <w:t xml:space="preserve">TrackingLink</w:t>
      </w:r>
    </w:p>
    <w:p>
      <w:pPr>
        <w:spacing w:after="0" w:before="110"/>
      </w:pPr>
      <w:r>
        <w:rPr>
          <w:b/>
          <w:bCs/>
          <w:color w:val="16181D"/>
          <w:sz w:val="21"/>
          <w:szCs w:val="21"/>
        </w:rPr>
        <w:t xml:space="preserve">7 · Roles</w:t>
      </w:r>
    </w:p>
    <w:p>
      <w:pPr>
        <w:spacing w:after="0" w:before="110"/>
      </w:pPr>
      <w:r>
        <w:rPr>
          <w:b/>
          <w:bCs/>
          <w:color w:val="16181D"/>
          <w:sz w:val="21"/>
          <w:szCs w:val="21"/>
        </w:rPr>
        <w:t xml:space="preserve">8 · Routes</w:t>
      </w:r>
    </w:p>
    <w:p>
      <w:pPr>
        <w:spacing w:after="0" w:before="110"/>
      </w:pPr>
      <w:r>
        <w:rPr>
          <w:b/>
          <w:bCs/>
          <w:color w:val="16181D"/>
          <w:sz w:val="21"/>
          <w:szCs w:val="21"/>
        </w:rPr>
        <w:t xml:space="preserve">9 · Front-end design impact</w:t>
      </w:r>
    </w:p>
    <w:p>
      <w:pPr>
        <w:spacing w:after="0" w:before="40"/>
        <w:ind w:left="340"/>
      </w:pPr>
      <w:r>
        <w:rPr>
          <w:color w:val="5C6373"/>
          <w:sz w:val="19"/>
          <w:szCs w:val="19"/>
        </w:rPr>
        <w:t xml:space="preserve">What does not change</w:t>
      </w:r>
    </w:p>
    <w:p>
      <w:pPr>
        <w:spacing w:after="0" w:before="40"/>
        <w:ind w:left="340"/>
      </w:pPr>
      <w:r>
        <w:rPr>
          <w:color w:val="5C6373"/>
          <w:sz w:val="19"/>
          <w:szCs w:val="19"/>
        </w:rPr>
        <w:t xml:space="preserve">9.1 · A fifth portal accent — and no logo colour left</w:t>
      </w:r>
    </w:p>
    <w:p>
      <w:pPr>
        <w:spacing w:after="0" w:before="40"/>
        <w:ind w:left="340"/>
      </w:pPr>
      <w:r>
        <w:rPr>
          <w:color w:val="5C6373"/>
          <w:sz w:val="19"/>
          <w:szCs w:val="19"/>
        </w:rPr>
        <w:t xml:space="preserve">9.2 · Four nav glyphs</w:t>
      </w:r>
    </w:p>
    <w:p>
      <w:pPr>
        <w:spacing w:after="0" w:before="40"/>
        <w:ind w:left="340"/>
      </w:pPr>
      <w:r>
        <w:rPr>
          <w:color w:val="5C6373"/>
          <w:sz w:val="19"/>
          <w:szCs w:val="19"/>
        </w:rPr>
        <w:t xml:space="preserve">9.3 · Three screen archetypes the app has never rendered</w:t>
      </w:r>
    </w:p>
    <w:p>
      <w:pPr>
        <w:spacing w:after="0" w:before="40"/>
        <w:ind w:left="340"/>
      </w:pPr>
      <w:r>
        <w:rPr>
          <w:color w:val="5C6373"/>
          <w:sz w:val="19"/>
          <w:szCs w:val="19"/>
        </w:rPr>
        <w:t xml:space="preserve">9.4 · Mobile-first, for the first time</w:t>
      </w:r>
    </w:p>
    <w:p>
      <w:pPr>
        <w:spacing w:after="0" w:before="40"/>
        <w:ind w:left="340"/>
      </w:pPr>
      <w:r>
        <w:rPr>
          <w:color w:val="5C6373"/>
          <w:sz w:val="19"/>
          <w:szCs w:val="19"/>
        </w:rPr>
        <w:t xml:space="preserve">9.5 · Two new public audiences</w:t>
      </w:r>
    </w:p>
    <w:p>
      <w:pPr>
        <w:spacing w:after="0" w:before="40"/>
        <w:ind w:left="340"/>
      </w:pPr>
      <w:r>
        <w:rPr>
          <w:color w:val="5C6373"/>
          <w:sz w:val="19"/>
          <w:szCs w:val="19"/>
        </w:rPr>
        <w:t xml:space="preserve">9.6 · Not the design system</w:t>
      </w:r>
    </w:p>
    <w:p>
      <w:pPr>
        <w:spacing w:after="0" w:before="40"/>
        <w:ind w:left="340"/>
      </w:pPr>
      <w:r>
        <w:rPr>
          <w:color w:val="5C6373"/>
          <w:sz w:val="19"/>
          <w:szCs w:val="19"/>
        </w:rPr>
        <w:t xml:space="preserve">9.7 · Deferred — the digital edition reader</w:t>
      </w:r>
    </w:p>
    <w:p>
      <w:pPr>
        <w:spacing w:after="0" w:before="110"/>
      </w:pPr>
      <w:r>
        <w:rPr>
          <w:b/>
          <w:bCs/>
          <w:color w:val="16181D"/>
          <w:sz w:val="21"/>
          <w:szCs w:val="21"/>
        </w:rPr>
        <w:t xml:space="preserve">10 · Sequencing — Stage 0 runs on what exists</w:t>
      </w:r>
    </w:p>
    <w:p>
      <w:pPr>
        <w:spacing w:after="0" w:before="110"/>
      </w:pPr>
      <w:r>
        <w:rPr>
          <w:b/>
          <w:bCs/>
          <w:color w:val="16181D"/>
          <w:sz w:val="21"/>
          <w:szCs w:val="21"/>
        </w:rPr>
        <w:t xml:space="preserve">11 · Roadmap slot</w:t>
      </w:r>
    </w:p>
    <w:p>
      <w:pPr>
        <w:spacing w:after="0" w:before="110"/>
      </w:pPr>
      <w:r>
        <w:rPr>
          <w:b/>
          <w:bCs/>
          <w:color w:val="16181D"/>
          <w:sz w:val="21"/>
          <w:szCs w:val="21"/>
        </w:rPr>
        <w:t xml:space="preserve">12 · What this does not decide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9BF5" w:sz="6"/>
        </w:pBdr>
        <w:spacing w:after="170" w:before="380"/>
      </w:pPr>
      <w:r>
        <w:rPr>
          <w:b/>
          <w:bCs/>
          <w:color w:val="1F6FB2"/>
          <w:sz w:val="27"/>
          <w:szCs w:val="27"/>
        </w:rPr>
        <w:t xml:space="preserve">1 · The verdict, in three lines</w:t>
      </w:r>
    </w:p>
    <w:p>
      <w:pPr>
        <w:pStyle w:val="ListParagraph"/>
        <w:numPr>
          <w:ilvl w:val="0"/>
          <w:numId w:val="2"/>
        </w:numPr>
        <w:spacing w:after="50" w:before="50"/>
      </w:pPr>
      <w:r>
        <w:rPr>
          <w:b/>
          <w:bCs/>
          <w:color w:val="16181D"/>
          <w:sz w:val="21"/>
          <w:szCs w:val="21"/>
        </w:rPr>
        <w:t xml:space="preserve">NEXT integrates.</w:t>
      </w:r>
      <w:r>
        <w:rPr>
          <w:color w:val="16181D"/>
          <w:sz w:val="21"/>
          <w:szCs w:val="21"/>
        </w:rPr>
        <w:t xml:space="preserve"> Roughly 70% of it already exists in the Phase 1 models under different nouns.</w:t>
      </w:r>
    </w:p>
    <w:p>
      <w:pPr>
        <w:pStyle w:val="ListParagraph"/>
        <w:numPr>
          <w:ilvl w:val="0"/>
          <w:numId w:val="2"/>
        </w:numPr>
        <w:spacing w:after="50" w:before="50"/>
      </w:pPr>
      <w:r>
        <w:rPr>
          <w:b/>
          <w:bCs/>
          <w:color w:val="16181D"/>
          <w:sz w:val="21"/>
          <w:szCs w:val="21"/>
        </w:rPr>
        <w:t xml:space="preserve">It is not a second application, and not a second tenant.</w:t>
      </w:r>
      <w:r>
        <w:rPr>
          <w:color w:val="16181D"/>
          <w:sz w:val="21"/>
          <w:szCs w:val="21"/>
        </w:rPr>
        <w:t xml:space="preserve"> It is a module inside the BTG tenant.</w:t>
      </w:r>
    </w:p>
    <w:p>
      <w:pPr>
        <w:pStyle w:val="ListParagraph"/>
        <w:numPr>
          <w:ilvl w:val="0"/>
          <w:numId w:val="2"/>
        </w:numPr>
        <w:spacing w:after="50" w:before="50"/>
      </w:pPr>
      <w:r>
        <w:rPr>
          <w:b/>
          <w:bCs/>
          <w:color w:val="16181D"/>
          <w:sz w:val="21"/>
          <w:szCs w:val="21"/>
        </w:rPr>
        <w:t xml:space="preserve">It should not be built yet.</w:t>
      </w:r>
      <w:r>
        <w:rPr>
          <w:color w:val="16181D"/>
          <w:sz w:val="21"/>
          <w:szCs w:val="21"/>
        </w:rPr>
        <w:t xml:space="preserve"> The first edition runs on primitives that already exist (§10). The four new models are earned by an edition that has actually sold, not by this document.</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2 · Why not a separate application</w:t>
      </w:r>
    </w:p>
    <w:p>
      <w:pPr>
        <w:spacing w:after="150" w:before="0"/>
      </w:pPr>
      <w:r>
        <w:rPr>
          <w:color w:val="16181D"/>
          <w:sz w:val="21"/>
          <w:szCs w:val="21"/>
        </w:rPr>
        <w:t xml:space="preserve">The source document's own thesis is that the magazine is </w:t>
      </w:r>
      <w:r>
        <w:rPr>
          <w:i/>
          <w:iCs/>
          <w:color w:val="16181D"/>
          <w:sz w:val="21"/>
          <w:szCs w:val="21"/>
        </w:rPr>
        <w:t xml:space="preserve">"the front door into your entire media and sponsorship ecosystem"</w:t>
      </w:r>
      <w:r>
        <w:rPr>
          <w:color w:val="16181D"/>
          <w:sz w:val="21"/>
          <w:szCs w:val="21"/>
        </w:rPr>
        <w:t xml:space="preserve"> — an acquisition funnel whose QR codes land on SponsorX athlete profiles. Separating it breaks precisely that:</w:t>
      </w:r>
    </w:p>
    <w:p>
      <w:pPr>
        <w:pStyle w:val="ListParagraph"/>
        <w:numPr>
          <w:ilvl w:val="0"/>
          <w:numId w:val="3"/>
        </w:numPr>
        <w:spacing w:after="50" w:before="50"/>
      </w:pPr>
      <w:r>
        <w:rPr>
          <w:b/>
          <w:bCs/>
          <w:color w:val="16181D"/>
          <w:sz w:val="21"/>
          <w:szCs w:val="21"/>
        </w:rPr>
        <w:t xml:space="preserve">The funnel would cross a trust boundary.</w:t>
      </w:r>
      <w:r>
        <w:rPr>
          <w:color w:val="16181D"/>
          <w:sz w:val="21"/>
          <w:szCs w:val="21"/>
        </w:rPr>
        <w:t xml:space="preserve"> The QR lives in NEXT; the athlete profile it points at lives in SponsorX. Cross-tenant reads are what the §09 authorization matrix and the tenant-isolation tests exist to forbid.</w:t>
      </w:r>
    </w:p>
    <w:p>
      <w:pPr>
        <w:pStyle w:val="ListParagraph"/>
        <w:numPr>
          <w:ilvl w:val="0"/>
          <w:numId w:val="3"/>
        </w:numPr>
        <w:spacing w:after="50" w:before="50"/>
      </w:pPr>
      <w:r>
        <w:rPr>
          <w:b/>
          <w:bCs/>
          <w:color w:val="16181D"/>
          <w:sz w:val="21"/>
          <w:szCs w:val="21"/>
        </w:rPr>
        <w:t xml:space="preserve">The same local business becomes two customer records.</w:t>
      </w:r>
      <w:r>
        <w:rPr>
          <w:color w:val="16181D"/>
          <w:sz w:val="21"/>
          <w:szCs w:val="21"/>
        </w:rPr>
        <w:t xml:space="preserve"> A pizzeria that buys a full-page ad and a 10-Athlete Blitz would be two </w:t>
      </w:r>
      <w:r>
        <w:rPr>
          <w:rFonts w:ascii="Consolas" w:cs="Consolas" w:eastAsia="Consolas" w:hAnsi="Consolas"/>
          <w:color w:val="B4500C"/>
          <w:sz w:val="18"/>
          <w:szCs w:val="18"/>
        </w:rPr>
        <w:t xml:space="preserve">Sponsor</w:t>
      </w:r>
      <w:r>
        <w:rPr>
          <w:color w:val="16181D"/>
          <w:sz w:val="21"/>
          <w:szCs w:val="21"/>
        </w:rPr>
        <w:t xml:space="preserve"> rows and two Zoho Account sync paths — the duplicate that §18's external-ID rule exists to prevent.</w:t>
      </w:r>
    </w:p>
    <w:p>
      <w:pPr>
        <w:pStyle w:val="ListParagraph"/>
        <w:numPr>
          <w:ilvl w:val="0"/>
          <w:numId w:val="3"/>
        </w:numPr>
        <w:spacing w:after="50" w:before="50"/>
      </w:pPr>
      <w:r>
        <w:rPr>
          <w:b/>
          <w:bCs/>
          <w:color w:val="16181D"/>
          <w:sz w:val="21"/>
          <w:szCs w:val="21"/>
        </w:rPr>
        <w:t xml:space="preserve">Everything downstream doubles.</w:t>
      </w:r>
      <w:r>
        <w:rPr>
          <w:color w:val="16181D"/>
          <w:sz w:val="21"/>
          <w:szCs w:val="21"/>
        </w:rPr>
        <w:t xml:space="preserve"> Two content-approval pipelines, two QR funnels, two reporting stacks, two RBAC matrices, two Zoho boundaries.</w:t>
      </w:r>
    </w:p>
    <w:p>
      <w:pPr>
        <w:spacing w:after="150" w:before="0"/>
      </w:pPr>
      <w:r>
        <w:rPr>
          <w:color w:val="16181D"/>
          <w:sz w:val="21"/>
          <w:szCs w:val="21"/>
        </w:rPr>
        <w:t xml:space="preserve">A separate tenant fails for the same reasons in the same places. NEXT is a module in the BTG tenant, sharing </w:t>
      </w:r>
      <w:r>
        <w:rPr>
          <w:rFonts w:ascii="Consolas" w:cs="Consolas" w:eastAsia="Consolas" w:hAnsi="Consolas"/>
          <w:color w:val="B4500C"/>
          <w:sz w:val="18"/>
          <w:szCs w:val="18"/>
        </w:rPr>
        <w:t xml:space="preserve">Sponsor</w:t>
      </w:r>
      <w:r>
        <w:rPr>
          <w:color w:val="16181D"/>
          <w:sz w:val="21"/>
          <w:szCs w:val="21"/>
        </w:rPr>
        <w:t xml:space="preserve">, </w:t>
      </w:r>
      <w:r>
        <w:rPr>
          <w:rFonts w:ascii="Consolas" w:cs="Consolas" w:eastAsia="Consolas" w:hAnsi="Consolas"/>
          <w:color w:val="B4500C"/>
          <w:sz w:val="18"/>
          <w:szCs w:val="18"/>
        </w:rPr>
        <w:t xml:space="preserve">Property</w:t>
      </w:r>
      <w:r>
        <w:rPr>
          <w:color w:val="16181D"/>
          <w:sz w:val="21"/>
          <w:szCs w:val="21"/>
        </w:rPr>
        <w:t xml:space="preserve">, </w:t>
      </w:r>
      <w:r>
        <w:rPr>
          <w:rFonts w:ascii="Consolas" w:cs="Consolas" w:eastAsia="Consolas" w:hAnsi="Consolas"/>
          <w:color w:val="B4500C"/>
          <w:sz w:val="18"/>
          <w:szCs w:val="18"/>
        </w:rPr>
        <w:t xml:space="preserve">Athlete</w:t>
      </w:r>
      <w:r>
        <w:rPr>
          <w:color w:val="16181D"/>
          <w:sz w:val="21"/>
          <w:szCs w:val="21"/>
        </w:rPr>
        <w:t xml:space="preserve">, the reward funnel and the Zoho boundary.</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3 · What already exists</w:t>
      </w:r>
    </w:p>
    <w:tbl>
      <w:tblPr>
        <w:tblW w:type="dxa" w:w="9360"/>
        <w:tblBorders>
          <w:top w:val="single" w:color="D5D9E2" w:sz="4"/>
          <w:left w:val="single" w:color="D5D9E2" w:sz="4"/>
          <w:bottom w:val="single" w:color="D5D9E2" w:sz="4"/>
          <w:right w:val="single" w:color="D5D9E2" w:sz="4"/>
          <w:insideH w:val="single" w:color="D5D9E2" w:sz="2"/>
          <w:insideV w:val="single" w:color="D5D9E2" w:sz="2"/>
        </w:tblBorders>
      </w:tblPr>
      <w:tblGrid>
        <w:gridCol w:w="3120"/>
        <w:gridCol w:w="3120"/>
        <w:gridCol w:w="3120"/>
      </w:tblGrid>
      <w:tr>
        <w:trPr>
          <w:cantSplit/>
          <w:tblHeader/>
        </w:trPr>
        <w:tc>
          <w:tcPr>
            <w:tcW w:type="dxa" w:w="3120"/>
            <w:shd w:fill="EEF4FB" w:color="auto" w:val="clear"/>
            <w:tcMar>
              <w:top w:type="dxa" w:w="90"/>
              <w:left w:type="dxa" w:w="130"/>
              <w:bottom w:type="dxa" w:w="90"/>
              <w:right w:type="dxa" w:w="130"/>
            </w:tcMar>
          </w:tcPr>
          <w:p>
            <w:pPr>
              <w:spacing w:after="0" w:before="0" w:line="252"/>
            </w:pPr>
            <w:r>
              <w:rPr>
                <w:b/>
                <w:bCs/>
                <w:color w:val="1F6FB2"/>
                <w:sz w:val="18"/>
                <w:szCs w:val="18"/>
              </w:rPr>
              <w:t xml:space="preserve">SponsorX NEXT concept</w:t>
            </w:r>
          </w:p>
        </w:tc>
        <w:tc>
          <w:tcPr>
            <w:tcW w:type="dxa" w:w="3120"/>
            <w:shd w:fill="EEF4FB" w:color="auto" w:val="clear"/>
            <w:tcMar>
              <w:top w:type="dxa" w:w="90"/>
              <w:left w:type="dxa" w:w="130"/>
              <w:bottom w:type="dxa" w:w="90"/>
              <w:right w:type="dxa" w:w="130"/>
            </w:tcMar>
          </w:tcPr>
          <w:p>
            <w:pPr>
              <w:spacing w:after="0" w:before="0" w:line="252"/>
            </w:pPr>
            <w:r>
              <w:rPr>
                <w:b/>
                <w:bCs/>
                <w:color w:val="1F6FB2"/>
                <w:sz w:val="18"/>
                <w:szCs w:val="18"/>
              </w:rPr>
              <w:t xml:space="preserve">Existing primitive</w:t>
            </w:r>
          </w:p>
        </w:tc>
        <w:tc>
          <w:tcPr>
            <w:tcW w:type="dxa" w:w="3120"/>
            <w:shd w:fill="EEF4FB" w:color="auto" w:val="clear"/>
            <w:tcMar>
              <w:top w:type="dxa" w:w="90"/>
              <w:left w:type="dxa" w:w="130"/>
              <w:bottom w:type="dxa" w:w="90"/>
              <w:right w:type="dxa" w:w="130"/>
            </w:tcMar>
          </w:tcPr>
          <w:p>
            <w:pPr>
              <w:spacing w:after="0" w:before="0" w:line="252"/>
            </w:pPr>
            <w:r>
              <w:rPr>
                <w:b/>
                <w:bCs/>
                <w:color w:val="1F6FB2"/>
                <w:sz w:val="18"/>
                <w:szCs w:val="18"/>
              </w:rPr>
              <w:t xml:space="preserve">Work</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Participating school</w:t>
            </w:r>
          </w:p>
        </w:tc>
        <w:tc>
          <w:tcPr>
            <w:tcW w:type="dxa" w:w="312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Property</w:t>
            </w:r>
            <w:r>
              <w:rPr>
                <w:b w:val="false"/>
                <w:bCs w:val="false"/>
                <w:color w:val="16181D"/>
                <w:sz w:val="18"/>
                <w:szCs w:val="18"/>
              </w:rPr>
              <w:t xml:space="preserve"> where </w:t>
            </w:r>
            <w:r>
              <w:rPr>
                <w:rFonts w:ascii="Consolas" w:cs="Consolas" w:eastAsia="Consolas" w:hAnsi="Consolas"/>
                <w:b w:val="false"/>
                <w:bCs w:val="false"/>
                <w:color w:val="B4500C"/>
                <w:sz w:val="15"/>
                <w:szCs w:val="15"/>
              </w:rPr>
              <w:t xml:space="preserve">kind = "SCHOOL"</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none</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Local business buying an ad</w:t>
            </w:r>
          </w:p>
        </w:tc>
        <w:tc>
          <w:tcPr>
            <w:tcW w:type="dxa" w:w="312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Sponsor</w:t>
            </w:r>
            <w:r>
              <w:rPr>
                <w:b w:val="false"/>
                <w:bCs w:val="false"/>
                <w:color w:val="16181D"/>
                <w:sz w:val="18"/>
                <w:szCs w:val="18"/>
              </w:rPr>
              <w:t xml:space="preserve"> (+ Zoho Account, bi-directional)</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none</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The ad sale</w:t>
            </w:r>
          </w:p>
        </w:tc>
        <w:tc>
          <w:tcPr>
            <w:tcW w:type="dxa" w:w="312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CampaignBrief</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Campaign</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CampaignOrder</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none</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Article / photo / design assignment</w:t>
            </w:r>
          </w:p>
        </w:tc>
        <w:tc>
          <w:tcPr>
            <w:tcW w:type="dxa" w:w="312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Deliverable</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CreativeAsset</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rename only</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Editorial review workflow</w:t>
            </w:r>
          </w:p>
        </w:tc>
        <w:tc>
          <w:tcPr>
            <w:tcW w:type="dxa" w:w="312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DeliverableState</w:t>
            </w:r>
          </w:p>
        </w:tc>
        <w:tc>
          <w:tcPr>
            <w:tcW w:type="dxa" w:w="3120"/>
            <w:tcMar>
              <w:top w:type="dxa" w:w="90"/>
              <w:left w:type="dxa" w:w="130"/>
              <w:bottom w:type="dxa" w:w="90"/>
              <w:right w:type="dxa" w:w="130"/>
            </w:tcMar>
          </w:tcPr>
          <w:p>
            <w:pPr>
              <w:spacing w:after="0" w:before="0" w:line="252"/>
            </w:pPr>
            <w:r>
              <w:rPr>
                <w:b/>
                <w:bCs/>
                <w:color w:val="16181D"/>
                <w:sz w:val="18"/>
                <w:szCs w:val="18"/>
              </w:rPr>
              <w:t xml:space="preserve">none — see below</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"SCAN TO MEET THE ATHLETE"</w:t>
            </w:r>
          </w:p>
        </w:tc>
        <w:tc>
          <w:tcPr>
            <w:tcW w:type="dxa" w:w="312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Reward</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RewardToken</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/r/[token]</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/(public)/athletes/[slug]</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none</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Parent / guardian consent for a minor</w:t>
            </w:r>
          </w:p>
        </w:tc>
        <w:tc>
          <w:tcPr>
            <w:tcW w:type="dxa" w:w="312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Guardian</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AgreementAcceptance.guardianId</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none</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Sponsor campaign report</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ROI report + </w:t>
            </w:r>
            <w:r>
              <w:rPr>
                <w:rFonts w:ascii="Consolas" w:cs="Consolas" w:eastAsia="Consolas" w:hAnsi="Consolas"/>
                <w:b w:val="false"/>
                <w:bCs w:val="false"/>
                <w:color w:val="B4500C"/>
                <w:sz w:val="15"/>
                <w:szCs w:val="15"/>
              </w:rPr>
              <w:t xml:space="preserve">MetricSource</w:t>
            </w:r>
            <w:r>
              <w:rPr>
                <w:b w:val="false"/>
                <w:bCs w:val="false"/>
                <w:color w:val="16181D"/>
                <w:sz w:val="18"/>
                <w:szCs w:val="18"/>
              </w:rPr>
              <w:t xml:space="preserve"> provenance labels</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one label</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Programme-wide analytics</w:t>
            </w:r>
          </w:p>
        </w:tc>
        <w:tc>
          <w:tcPr>
            <w:tcW w:type="dxa" w:w="312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MetricDaily</w:t>
            </w:r>
            <w:r>
              <w:rPr>
                <w:b w:val="false"/>
                <w:bCs w:val="false"/>
                <w:color w:val="16181D"/>
                <w:sz w:val="18"/>
                <w:szCs w:val="18"/>
              </w:rPr>
              <w:t xml:space="preserve">, </w:t>
            </w:r>
            <w:r>
              <w:rPr>
                <w:rFonts w:ascii="Consolas" w:cs="Consolas" w:eastAsia="Consolas" w:hAnsi="Consolas"/>
                <w:b w:val="false"/>
                <w:bCs w:val="false"/>
                <w:color w:val="B4500C"/>
                <w:sz w:val="15"/>
                <w:szCs w:val="15"/>
              </w:rPr>
              <w:t xml:space="preserve">LinkEvent</w:t>
            </w:r>
            <w:r>
              <w:rPr>
                <w:b w:val="false"/>
                <w:bCs w:val="false"/>
                <w:color w:val="16181D"/>
                <w:sz w:val="18"/>
                <w:szCs w:val="18"/>
              </w:rPr>
              <w:t xml:space="preserve">, </w:t>
            </w:r>
            <w:r>
              <w:rPr>
                <w:rFonts w:ascii="Consolas" w:cs="Consolas" w:eastAsia="Consolas" w:hAnsi="Consolas"/>
                <w:b w:val="false"/>
                <w:bCs w:val="false"/>
                <w:color w:val="B4500C"/>
                <w:sz w:val="15"/>
                <w:szCs w:val="15"/>
              </w:rPr>
              <w:t xml:space="preserve">RewardEvent</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none</w:t>
            </w:r>
          </w:p>
        </w:tc>
      </w:tr>
    </w:tbl>
    <w:p>
      <w:pPr>
        <w:spacing w:after="200"/>
      </w:pPr>
    </w:p>
    <w:p>
      <w:pPr>
        <w:spacing w:after="150" w:before="0"/>
      </w:pPr>
      <w:r>
        <w:rPr>
          <w:color w:val="16181D"/>
          <w:sz w:val="21"/>
          <w:szCs w:val="21"/>
        </w:rPr>
        <w:t xml:space="preserve">Two of these deserve a sentence each.</w:t>
      </w:r>
    </w:p>
    <w:p>
      <w:pPr>
        <w:spacing w:after="150" w:before="0"/>
      </w:pPr>
      <w:r>
        <w:rPr>
          <w:rFonts w:ascii="Consolas" w:cs="Consolas" w:eastAsia="Consolas" w:hAnsi="Consolas"/>
          <w:b/>
          <w:bCs/>
          <w:color w:val="B4500C"/>
          <w:sz w:val="18"/>
          <w:szCs w:val="18"/>
        </w:rPr>
        <w:t xml:space="preserve">DeliverableState</w:t>
      </w:r>
      <w:r>
        <w:rPr>
          <w:b/>
          <w:bCs/>
          <w:color w:val="16181D"/>
          <w:sz w:val="21"/>
          <w:szCs w:val="21"/>
        </w:rPr>
        <w:t xml:space="preserve"> is already an editorial workflow.</w:t>
      </w:r>
      <w:r>
        <w:rPr>
          <w:color w:val="16181D"/>
          <w:sz w:val="21"/>
          <w:szCs w:val="21"/>
        </w:rPr>
        <w:t xml:space="preserve"> </w:t>
      </w:r>
      <w:r>
        <w:rPr>
          <w:rFonts w:ascii="Consolas" w:cs="Consolas" w:eastAsia="Consolas" w:hAnsi="Consolas"/>
          <w:color w:val="B4500C"/>
          <w:sz w:val="18"/>
          <w:szCs w:val="18"/>
        </w:rPr>
        <w:t xml:space="preserve">NOT_STARTED → DRAFT_SUBMITTED → BTG_REVIEW → SPONSOR_REVIEW → APPROVED → PUBLISHED → VERIFIED</w:t>
      </w:r>
      <w:r>
        <w:rPr>
          <w:color w:val="16181D"/>
          <w:sz w:val="21"/>
          <w:szCs w:val="21"/>
        </w:rPr>
        <w:t xml:space="preserve"> is what a student article does on its way to print: drafted, read by the advisor, seen by the sponsor where the sponsor paid for a feature, approved, printed, confirmed. It was designed for campaign deliverables and it fits unchanged. The </w:t>
      </w:r>
      <w:r>
        <w:rPr>
          <w:rFonts w:ascii="Consolas" w:cs="Consolas" w:eastAsia="Consolas" w:hAnsi="Consolas"/>
          <w:color w:val="B4500C"/>
          <w:sz w:val="18"/>
          <w:szCs w:val="18"/>
        </w:rPr>
        <w:t xml:space="preserve">approvals-desk</w:t>
      </w:r>
      <w:r>
        <w:rPr>
          <w:color w:val="16181D"/>
          <w:sz w:val="21"/>
          <w:szCs w:val="21"/>
        </w:rPr>
        <w:t xml:space="preserve"> screen becomes the editorial desk without a new state machine.</w:t>
      </w:r>
    </w:p>
    <w:p>
      <w:pPr>
        <w:spacing w:after="150" w:before="0"/>
      </w:pPr>
      <w:r>
        <w:rPr>
          <w:b/>
          <w:bCs/>
          <w:color w:val="16181D"/>
          <w:sz w:val="21"/>
          <w:szCs w:val="21"/>
        </w:rPr>
        <w:t xml:space="preserve">Print circulation is </w:t>
      </w:r>
      <w:r>
        <w:rPr>
          <w:rFonts w:ascii="Consolas" w:cs="Consolas" w:eastAsia="Consolas" w:hAnsi="Consolas"/>
          <w:b/>
          <w:bCs/>
          <w:color w:val="B4500C"/>
          <w:sz w:val="18"/>
          <w:szCs w:val="18"/>
        </w:rPr>
        <w:t xml:space="preserve">ESTIMATED</w:t>
      </w:r>
      <w:r>
        <w:rPr>
          <w:b/>
          <w:bCs/>
          <w:color w:val="16181D"/>
          <w:sz w:val="21"/>
          <w:szCs w:val="21"/>
        </w:rPr>
        <w:t xml:space="preserve">.</w:t>
      </w:r>
      <w:r>
        <w:rPr>
          <w:color w:val="16181D"/>
          <w:sz w:val="21"/>
          <w:szCs w:val="21"/>
        </w:rPr>
        <w:t xml:space="preserve"> 500 copies × an assumed pass-along is not a measured impression, and the provenance taxonomy (</w:t>
      </w:r>
      <w:r>
        <w:rPr>
          <w:rFonts w:ascii="Consolas" w:cs="Consolas" w:eastAsia="Consolas" w:hAnsi="Consolas"/>
          <w:color w:val="B4500C"/>
          <w:sz w:val="18"/>
          <w:szCs w:val="18"/>
        </w:rPr>
        <w:t xml:space="preserve">P0-DATA-01</w:t>
      </w:r>
      <w:r>
        <w:rPr>
          <w:color w:val="16181D"/>
          <w:sz w:val="21"/>
          <w:szCs w:val="21"/>
        </w:rPr>
        <w:t xml:space="preserve">) already has the label for exactly that. Circulation enters as </w:t>
      </w:r>
      <w:r>
        <w:rPr>
          <w:rFonts w:ascii="Consolas" w:cs="Consolas" w:eastAsia="Consolas" w:hAnsi="Consolas"/>
          <w:color w:val="B4500C"/>
          <w:sz w:val="18"/>
          <w:szCs w:val="18"/>
        </w:rPr>
        <w:t xml:space="preserve">MetricSource.ESTIMATED</w:t>
      </w:r>
      <w:r>
        <w:rPr>
          <w:color w:val="16181D"/>
          <w:sz w:val="21"/>
          <w:szCs w:val="21"/>
        </w:rPr>
        <w:t xml:space="preserve"> and the sponsor report is honest about it without any new machinery.</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4 · The finding that decides the shape</w:t>
      </w:r>
    </w:p>
    <w:p>
      <w:pPr>
        <w:spacing w:after="150" w:before="0"/>
      </w:pPr>
      <w:r>
        <w:rPr>
          <w:rFonts w:ascii="Consolas" w:cs="Consolas" w:eastAsia="Consolas" w:hAnsi="Consolas"/>
          <w:b/>
          <w:bCs/>
          <w:color w:val="B4500C"/>
          <w:sz w:val="18"/>
          <w:szCs w:val="18"/>
        </w:rPr>
        <w:t xml:space="preserve">SponsorPackage</w:t>
      </w:r>
      <w:r>
        <w:rPr>
          <w:b/>
          <w:bCs/>
          <w:color w:val="16181D"/>
          <w:sz w:val="21"/>
          <w:szCs w:val="21"/>
        </w:rPr>
        <w:t xml:space="preserve"> needs no schema change to sell a NEXT package.</w:t>
      </w:r>
    </w:p>
    <w:p>
      <w:pPr>
        <w:spacing w:after="150" w:before="0"/>
      </w:pPr>
      <w:r>
        <w:rPr>
          <w:color w:val="16181D"/>
          <w:sz w:val="21"/>
          <w:szCs w:val="21"/>
        </w:rPr>
        <w:t xml:space="preserve">The model already carries two JSON fields with settled meanings:</w:t>
      </w:r>
    </w:p>
    <w:p>
      <w:pPr>
        <w:pStyle w:val="ListParagraph"/>
        <w:numPr>
          <w:ilvl w:val="0"/>
          <w:numId w:val="3"/>
        </w:numPr>
        <w:spacing w:after="50" w:before="50"/>
      </w:pPr>
      <w:r>
        <w:rPr>
          <w:rFonts w:ascii="Consolas" w:cs="Consolas" w:eastAsia="Consolas" w:hAnsi="Consolas"/>
          <w:color w:val="B4500C"/>
          <w:sz w:val="18"/>
          <w:szCs w:val="18"/>
        </w:rPr>
        <w:t xml:space="preserve">lineItems</w:t>
      </w:r>
      <w:r>
        <w:rPr>
          <w:color w:val="16181D"/>
          <w:sz w:val="21"/>
          <w:szCs w:val="21"/>
        </w:rPr>
        <w:t xml:space="preserve"> — job codes and counts, the NIL work (</w:t>
      </w:r>
      <w:r>
        <w:rPr>
          <w:rFonts w:ascii="Consolas" w:cs="Consolas" w:eastAsia="Consolas" w:hAnsi="Consolas"/>
          <w:color w:val="B4500C"/>
          <w:sz w:val="18"/>
          <w:szCs w:val="18"/>
        </w:rPr>
        <w:t xml:space="preserve">[{ "jobCode": "SX-02", "quantityPerAthlete": 1 }]</w:t>
      </w:r>
      <w:r>
        <w:rPr>
          <w:color w:val="16181D"/>
          <w:sz w:val="21"/>
          <w:szCs w:val="21"/>
        </w:rPr>
        <w:t xml:space="preserve">)</w:t>
      </w:r>
    </w:p>
    <w:p>
      <w:pPr>
        <w:pStyle w:val="ListParagraph"/>
        <w:numPr>
          <w:ilvl w:val="0"/>
          <w:numId w:val="3"/>
        </w:numPr>
        <w:spacing w:after="50" w:before="50"/>
      </w:pPr>
      <w:r>
        <w:rPr>
          <w:rFonts w:ascii="Consolas" w:cs="Consolas" w:eastAsia="Consolas" w:hAnsi="Consolas"/>
          <w:color w:val="B4500C"/>
          <w:sz w:val="18"/>
          <w:szCs w:val="18"/>
        </w:rPr>
        <w:t xml:space="preserve">includes</w:t>
      </w:r>
      <w:r>
        <w:rPr>
          <w:color w:val="16181D"/>
          <w:sz w:val="21"/>
          <w:szCs w:val="21"/>
        </w:rPr>
        <w:t xml:space="preserve"> — </w:t>
      </w:r>
      <w:r>
        <w:rPr>
          <w:i/>
          <w:iCs/>
          <w:color w:val="16181D"/>
          <w:sz w:val="21"/>
          <w:szCs w:val="21"/>
        </w:rPr>
        <w:t xml:space="preserve">"Non-NIL inventory sold alongside the jobs, e.g. an iMC/BTG feature"</w:t>
      </w:r>
    </w:p>
    <w:p>
      <w:pPr>
        <w:spacing w:after="150" w:before="0"/>
      </w:pPr>
      <w:r>
        <w:rPr>
          <w:color w:val="16181D"/>
          <w:sz w:val="21"/>
          <w:szCs w:val="21"/>
        </w:rPr>
        <w:t xml:space="preserve">A magazine page is non-NIL inventory sold alongside the jobs. It belongs in </w:t>
      </w:r>
      <w:r>
        <w:rPr>
          <w:rFonts w:ascii="Consolas" w:cs="Consolas" w:eastAsia="Consolas" w:hAnsi="Consolas"/>
          <w:color w:val="B4500C"/>
          <w:sz w:val="18"/>
          <w:szCs w:val="18"/>
        </w:rPr>
        <w:t xml:space="preserve">includes</w:t>
      </w:r>
      <w:r>
        <w:rPr>
          <w:color w:val="16181D"/>
          <w:sz w:val="21"/>
          <w:szCs w:val="21"/>
        </w:rPr>
        <w:t xml:space="preserve">, which </w:t>
      </w:r>
      <w:r>
        <w:rPr>
          <w:rFonts w:ascii="Consolas" w:cs="Consolas" w:eastAsia="Consolas" w:hAnsi="Consolas"/>
          <w:color w:val="B4500C"/>
          <w:sz w:val="18"/>
          <w:szCs w:val="18"/>
        </w:rPr>
        <w:t xml:space="preserve">P0-PMO-13</w:t>
      </w:r>
      <w:r>
        <w:rPr>
          <w:color w:val="16181D"/>
          <w:sz w:val="21"/>
          <w:szCs w:val="21"/>
        </w:rPr>
        <w:t xml:space="preserve"> §5 already established must be </w:t>
      </w:r>
      <w:r>
        <w:rPr>
          <w:i/>
          <w:iCs/>
          <w:color w:val="16181D"/>
          <w:sz w:val="21"/>
          <w:szCs w:val="21"/>
        </w:rPr>
        <w:t xml:space="preserve">a record with a line</w:t>
      </w:r>
      <w:r>
        <w:rPr>
          <w:color w:val="16181D"/>
          <w:sz w:val="21"/>
          <w:szCs w:val="21"/>
        </w:rPr>
        <w:t xml:space="preserve">, not an unpriced phrase in a description.</w:t>
      </w:r>
    </w:p>
    <w:p>
      <w:pPr>
        <w:spacing w:after="150" w:before="0"/>
      </w:pPr>
      <w:r>
        <w:rPr>
          <w:color w:val="16181D"/>
          <w:sz w:val="21"/>
          <w:szCs w:val="21"/>
        </w:rPr>
        <w:t xml:space="preserve">So the source document's flagship product — the </w:t>
      </w:r>
      <w:r>
        <w:rPr>
          <w:b/>
          <w:bCs/>
          <w:color w:val="16181D"/>
          <w:sz w:val="21"/>
          <w:szCs w:val="21"/>
        </w:rPr>
        <w:t xml:space="preserve">$1,500 Local Business Package</w:t>
      </w:r>
      <w:r>
        <w:rPr>
          <w:color w:val="16181D"/>
          <w:sz w:val="21"/>
          <w:szCs w:val="21"/>
        </w:rPr>
        <w:t xml:space="preserve">: full-page ad + 4 student-created social posts + sponsored athlete feature + QR promotion + campaign report — is an ordinary </w:t>
      </w:r>
      <w:r>
        <w:rPr>
          <w:rFonts w:ascii="Consolas" w:cs="Consolas" w:eastAsia="Consolas" w:hAnsi="Consolas"/>
          <w:color w:val="B4500C"/>
          <w:sz w:val="18"/>
          <w:szCs w:val="18"/>
        </w:rPr>
        <w:t xml:space="preserve">SponsorPackage</w:t>
      </w:r>
      <w:r>
        <w:rPr>
          <w:color w:val="16181D"/>
          <w:sz w:val="21"/>
          <w:szCs w:val="21"/>
        </w:rPr>
        <w:t xml:space="preserve">:</w:t>
      </w:r>
    </w:p>
    <w:p>
      <w:pPr>
        <w:shd w:fill="F4F6F9" w:color="auto" w:val="clear"/>
        <w:spacing w:after="0" w:before="130" w:line="240"/>
        <w:ind w:left="260" w:right="260"/>
      </w:pPr>
      <w:r>
        <w:rPr>
          <w:rFonts w:ascii="Consolas" w:cs="Consolas" w:eastAsia="Consolas" w:hAnsi="Consolas"/>
          <w:color w:val="16181D"/>
          <w:sz w:val="16"/>
          <w:szCs w:val="16"/>
        </w:rPr>
        <w:t xml:space="preserve">{</w:t>
      </w:r>
    </w:p>
    <w:p>
      <w:pPr>
        <w:shd w:fill="F4F6F9" w:color="auto" w:val="clear"/>
        <w:spacing w:after="0" w:before="0" w:line="240"/>
        <w:ind w:left="260" w:right="260"/>
      </w:pPr>
      <w:r>
        <w:rPr>
          <w:rFonts w:ascii="Consolas" w:cs="Consolas" w:eastAsia="Consolas" w:hAnsi="Consolas"/>
          <w:color w:val="16181D"/>
          <w:sz w:val="16"/>
          <w:szCs w:val="16"/>
        </w:rPr>
        <w:t xml:space="preserve">  "code": "NEXT-LOCAL-1500",</w:t>
      </w:r>
    </w:p>
    <w:p>
      <w:pPr>
        <w:shd w:fill="F4F6F9" w:color="auto" w:val="clear"/>
        <w:spacing w:after="0" w:before="0" w:line="240"/>
        <w:ind w:left="260" w:right="260"/>
      </w:pPr>
      <w:r>
        <w:rPr>
          <w:rFonts w:ascii="Consolas" w:cs="Consolas" w:eastAsia="Consolas" w:hAnsi="Consolas"/>
          <w:color w:val="16181D"/>
          <w:sz w:val="16"/>
          <w:szCs w:val="16"/>
        </w:rPr>
        <w:t xml:space="preserve">  "lineItems": [{ "jobCode": "SX-02", "quantityPerAthlete": 4 }],</w:t>
      </w:r>
    </w:p>
    <w:p>
      <w:pPr>
        <w:shd w:fill="F4F6F9" w:color="auto" w:val="clear"/>
        <w:spacing w:after="0" w:before="0" w:line="240"/>
        <w:ind w:left="260" w:right="260"/>
      </w:pPr>
      <w:r>
        <w:rPr>
          <w:rFonts w:ascii="Consolas" w:cs="Consolas" w:eastAsia="Consolas" w:hAnsi="Consolas"/>
          <w:color w:val="16181D"/>
          <w:sz w:val="16"/>
          <w:szCs w:val="16"/>
        </w:rPr>
        <w:t xml:space="preserve">  "includes": [</w:t>
      </w:r>
    </w:p>
    <w:p>
      <w:pPr>
        <w:shd w:fill="F4F6F9" w:color="auto" w:val="clear"/>
        <w:spacing w:after="0" w:before="0" w:line="240"/>
        <w:ind w:left="260" w:right="260"/>
      </w:pPr>
      <w:r>
        <w:rPr>
          <w:rFonts w:ascii="Consolas" w:cs="Consolas" w:eastAsia="Consolas" w:hAnsi="Consolas"/>
          <w:color w:val="16181D"/>
          <w:sz w:val="16"/>
          <w:szCs w:val="16"/>
        </w:rPr>
        <w:t xml:space="preserve">    { "kind": "AD_SLOT",  "slotCode": "FULL_PAGE", "quantity": 1 },</w:t>
      </w:r>
    </w:p>
    <w:p>
      <w:pPr>
        <w:shd w:fill="F4F6F9" w:color="auto" w:val="clear"/>
        <w:spacing w:after="0" w:before="0" w:line="240"/>
        <w:ind w:left="260" w:right="260"/>
      </w:pPr>
      <w:r>
        <w:rPr>
          <w:rFonts w:ascii="Consolas" w:cs="Consolas" w:eastAsia="Consolas" w:hAnsi="Consolas"/>
          <w:color w:val="16181D"/>
          <w:sz w:val="16"/>
          <w:szCs w:val="16"/>
        </w:rPr>
        <w:t xml:space="preserve">    { "kind": "FEATURE",  "featureCode": "ATHLETE_SPOTLIGHT" }</w:t>
      </w:r>
    </w:p>
    <w:p>
      <w:pPr>
        <w:shd w:fill="F4F6F9" w:color="auto" w:val="clear"/>
        <w:spacing w:after="0" w:before="0" w:line="240"/>
        <w:ind w:left="260" w:right="260"/>
      </w:pPr>
      <w:r>
        <w:rPr>
          <w:rFonts w:ascii="Consolas" w:cs="Consolas" w:eastAsia="Consolas" w:hAnsi="Consolas"/>
          <w:color w:val="16181D"/>
          <w:sz w:val="16"/>
          <w:szCs w:val="16"/>
        </w:rPr>
        <w:t xml:space="preserve">  ]</w:t>
      </w:r>
    </w:p>
    <w:p>
      <w:pPr>
        <w:shd w:fill="F4F6F9" w:color="auto" w:val="clear"/>
        <w:spacing w:after="190" w:before="0" w:line="240"/>
        <w:ind w:left="260" w:right="260"/>
      </w:pPr>
      <w:r>
        <w:rPr>
          <w:rFonts w:ascii="Consolas" w:cs="Consolas" w:eastAsia="Consolas" w:hAnsi="Consolas"/>
          <w:color w:val="16181D"/>
          <w:sz w:val="16"/>
          <w:szCs w:val="16"/>
        </w:rPr>
        <w:t xml:space="preserve">}</w:t>
      </w:r>
    </w:p>
    <w:p>
      <w:pPr>
        <w:spacing w:after="150" w:before="0"/>
      </w:pPr>
      <w:r>
        <w:rPr>
          <w:color w:val="16181D"/>
          <w:sz w:val="21"/>
          <w:szCs w:val="21"/>
        </w:rPr>
        <w:t xml:space="preserve">It then flows, untouched, through the sponsor marketplace, the campaign builder, the </w:t>
      </w:r>
      <w:r>
        <w:rPr>
          <w:rFonts w:ascii="Consolas" w:cs="Consolas" w:eastAsia="Consolas" w:hAnsi="Consolas"/>
          <w:color w:val="B4500C"/>
          <w:sz w:val="18"/>
          <w:szCs w:val="18"/>
        </w:rPr>
        <w:t xml:space="preserve">1.4×</w:t>
      </w:r>
      <w:r>
        <w:rPr>
          <w:color w:val="16181D"/>
          <w:sz w:val="21"/>
          <w:szCs w:val="21"/>
        </w:rPr>
        <w:t xml:space="preserve"> margin floor (</w:t>
      </w:r>
      <w:r>
        <w:rPr>
          <w:rFonts w:ascii="Consolas" w:cs="Consolas" w:eastAsia="Consolas" w:hAnsi="Consolas"/>
          <w:color w:val="B4500C"/>
          <w:sz w:val="18"/>
          <w:szCs w:val="18"/>
        </w:rPr>
        <w:t xml:space="preserve">P3-BE-12</w:t>
      </w:r>
      <w:r>
        <w:rPr>
          <w:color w:val="16181D"/>
          <w:sz w:val="21"/>
          <w:szCs w:val="21"/>
        </w:rPr>
        <w:t xml:space="preserve">), the Zoho Deal sync and the ROI report. </w:t>
      </w:r>
      <w:r>
        <w:rPr>
          <w:b/>
          <w:bCs/>
          <w:color w:val="16181D"/>
          <w:sz w:val="21"/>
          <w:szCs w:val="21"/>
        </w:rPr>
        <w:t xml:space="preserve">This is the integration.</w:t>
      </w:r>
      <w:r>
        <w:rPr>
          <w:color w:val="16181D"/>
          <w:sz w:val="21"/>
          <w:szCs w:val="21"/>
        </w:rPr>
        <w:t xml:space="preserve"> Everything in §5 exists only to make that </w:t>
      </w:r>
      <w:r>
        <w:rPr>
          <w:rFonts w:ascii="Consolas" w:cs="Consolas" w:eastAsia="Consolas" w:hAnsi="Consolas"/>
          <w:color w:val="B4500C"/>
          <w:sz w:val="18"/>
          <w:szCs w:val="18"/>
        </w:rPr>
        <w:t xml:space="preserve">includes</w:t>
      </w:r>
      <w:r>
        <w:rPr>
          <w:color w:val="16181D"/>
          <w:sz w:val="21"/>
          <w:szCs w:val="21"/>
        </w:rPr>
        <w:t xml:space="preserve"> entry mean something.</w:t>
      </w:r>
    </w:p>
    <w:p>
      <w:pPr>
        <w:spacing w:after="150" w:before="0"/>
      </w:pPr>
      <w:r>
        <w:rPr>
          <w:color w:val="16181D"/>
          <w:sz w:val="21"/>
          <w:szCs w:val="21"/>
        </w:rPr>
        <w:t xml:space="preserve">Two consequences, and the second is a constraint nobody has had to think about yet:</w:t>
      </w:r>
    </w:p>
    <w:p>
      <w:pPr>
        <w:pStyle w:val="ListParagraph"/>
        <w:numPr>
          <w:ilvl w:val="0"/>
          <w:numId w:val="3"/>
        </w:numPr>
        <w:spacing w:after="50" w:before="50"/>
      </w:pPr>
      <w:r>
        <w:rPr>
          <w:rFonts w:ascii="Consolas" w:cs="Consolas" w:eastAsia="Consolas" w:hAnsi="Consolas"/>
          <w:color w:val="B4500C"/>
          <w:sz w:val="18"/>
          <w:szCs w:val="18"/>
        </w:rPr>
        <w:t xml:space="preserve">includes</w:t>
      </w:r>
      <w:r>
        <w:rPr>
          <w:color w:val="16181D"/>
          <w:sz w:val="21"/>
          <w:szCs w:val="21"/>
        </w:rPr>
        <w:t xml:space="preserve"> is free JSON today, so nothing stops the back cover being sold twice. That scarcity constraint is what </w:t>
      </w:r>
      <w:r>
        <w:rPr>
          <w:rFonts w:ascii="Consolas" w:cs="Consolas" w:eastAsia="Consolas" w:hAnsi="Consolas"/>
          <w:color w:val="B4500C"/>
          <w:sz w:val="18"/>
          <w:szCs w:val="18"/>
        </w:rPr>
        <w:t xml:space="preserve">AdSlot</w:t>
      </w:r>
      <w:r>
        <w:rPr>
          <w:color w:val="16181D"/>
          <w:sz w:val="21"/>
          <w:szCs w:val="21"/>
        </w:rPr>
        <w:t xml:space="preserve"> (§5.2) is for.</w:t>
      </w:r>
    </w:p>
    <w:p>
      <w:pPr>
        <w:pStyle w:val="ListParagraph"/>
        <w:numPr>
          <w:ilvl w:val="0"/>
          <w:numId w:val="3"/>
        </w:numPr>
        <w:spacing w:after="50" w:before="50"/>
      </w:pPr>
      <w:r>
        <w:rPr>
          <w:b/>
          <w:bCs/>
          <w:color w:val="16181D"/>
          <w:sz w:val="21"/>
          <w:szCs w:val="21"/>
        </w:rPr>
        <w:t xml:space="preserve">A pure ad sale has no </w:t>
      </w:r>
      <w:r>
        <w:rPr>
          <w:rFonts w:ascii="Consolas" w:cs="Consolas" w:eastAsia="Consolas" w:hAnsi="Consolas"/>
          <w:b/>
          <w:bCs/>
          <w:color w:val="B4500C"/>
          <w:sz w:val="18"/>
          <w:szCs w:val="18"/>
        </w:rPr>
        <w:t xml:space="preserve">CampaignOrder</w:t>
      </w:r>
      <w:r>
        <w:rPr>
          <w:b/>
          <w:bCs/>
          <w:color w:val="16181D"/>
          <w:sz w:val="21"/>
          <w:szCs w:val="21"/>
        </w:rPr>
        <w:t xml:space="preserve"> at all.</w:t>
      </w:r>
      <w:r>
        <w:rPr>
          <w:color w:val="16181D"/>
          <w:sz w:val="21"/>
          <w:szCs w:val="21"/>
        </w:rPr>
        <w:t xml:space="preserve"> </w:t>
      </w:r>
      <w:r>
        <w:rPr>
          <w:rFonts w:ascii="Consolas" w:cs="Consolas" w:eastAsia="Consolas" w:hAnsi="Consolas"/>
          <w:color w:val="B4500C"/>
          <w:sz w:val="18"/>
          <w:szCs w:val="18"/>
        </w:rPr>
        <w:t xml:space="preserve">CampaignOrder.athleteId</w:t>
      </w:r>
      <w:r>
        <w:rPr>
          <w:color w:val="16181D"/>
          <w:sz w:val="21"/>
          <w:szCs w:val="21"/>
        </w:rPr>
        <w:t xml:space="preserve"> and </w:t>
      </w:r>
      <w:r>
        <w:rPr>
          <w:rFonts w:ascii="Consolas" w:cs="Consolas" w:eastAsia="Consolas" w:hAnsi="Consolas"/>
          <w:color w:val="B4500C"/>
          <w:sz w:val="18"/>
          <w:szCs w:val="18"/>
        </w:rPr>
        <w:t xml:space="preserve">.jobId</w:t>
      </w:r>
      <w:r>
        <w:rPr>
          <w:color w:val="16181D"/>
          <w:sz w:val="21"/>
          <w:szCs w:val="21"/>
        </w:rPr>
        <w:t xml:space="preserve"> are both non-null — an order </w:t>
      </w:r>
      <w:r>
        <w:rPr>
          <w:i/>
          <w:iCs/>
          <w:color w:val="16181D"/>
          <w:sz w:val="21"/>
          <w:szCs w:val="21"/>
        </w:rPr>
        <w:t xml:space="preserve">is</w:t>
      </w:r>
      <w:r>
        <w:rPr>
          <w:color w:val="16181D"/>
          <w:sz w:val="21"/>
          <w:szCs w:val="21"/>
        </w:rPr>
        <w:t xml:space="preserve"> an athlete doing a job. A business buying only a quarter page involves no athlete, so that campaign carries zero order rows. The hybrid package in the block above is fine: its four SX-02 posts are ordinary orders and the ad slot rides alongside them. The pure ad is the case to settle (§5.2).</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5 · The four gaps</w:t>
      </w:r>
    </w:p>
    <w:p>
      <w:pPr>
        <w:spacing w:after="150" w:before="0"/>
      </w:pPr>
      <w:r>
        <w:rPr>
          <w:color w:val="16181D"/>
          <w:sz w:val="21"/>
          <w:szCs w:val="21"/>
        </w:rPr>
        <w:t xml:space="preserve">Everything not listed here is reuse. These four are genuinely absent.</w:t>
      </w:r>
    </w:p>
    <w:p>
      <w:pPr>
        <w:pStyle w:val="Heading2"/>
        <w:spacing w:after="120" w:before="280"/>
      </w:pPr>
      <w:r>
        <w:rPr>
          <w:b/>
          <w:bCs/>
          <w:color w:val="16181D"/>
          <w:sz w:val="23"/>
          <w:szCs w:val="23"/>
        </w:rPr>
        <w:t xml:space="preserve">5.1 · </w:t>
      </w:r>
      <w:r>
        <w:rPr>
          <w:rFonts w:ascii="Consolas" w:cs="Consolas" w:eastAsia="Consolas" w:hAnsi="Consolas"/>
          <w:b/>
          <w:bCs/>
          <w:color w:val="B4500C"/>
          <w:sz w:val="20"/>
          <w:szCs w:val="20"/>
        </w:rPr>
        <w:t xml:space="preserve">Student</w:t>
      </w:r>
      <w:r>
        <w:rPr>
          <w:b/>
          <w:bCs/>
          <w:color w:val="16181D"/>
          <w:sz w:val="23"/>
          <w:szCs w:val="23"/>
        </w:rPr>
        <w:t xml:space="preserve"> — not an </w:t>
      </w:r>
      <w:r>
        <w:rPr>
          <w:rFonts w:ascii="Consolas" w:cs="Consolas" w:eastAsia="Consolas" w:hAnsi="Consolas"/>
          <w:b/>
          <w:bCs/>
          <w:color w:val="B4500C"/>
          <w:sz w:val="20"/>
          <w:szCs w:val="20"/>
        </w:rPr>
        <w:t xml:space="preserve">Athlete</w:t>
      </w:r>
    </w:p>
    <w:p>
      <w:pPr>
        <w:spacing w:after="150" w:before="0"/>
      </w:pPr>
      <w:r>
        <w:rPr>
          <w:color w:val="16181D"/>
          <w:sz w:val="21"/>
          <w:szCs w:val="21"/>
        </w:rPr>
        <w:t xml:space="preserve">An athlete correspondent is both, so </w:t>
      </w:r>
      <w:r>
        <w:rPr>
          <w:rFonts w:ascii="Consolas" w:cs="Consolas" w:eastAsia="Consolas" w:hAnsi="Consolas"/>
          <w:color w:val="B4500C"/>
          <w:sz w:val="18"/>
          <w:szCs w:val="18"/>
        </w:rPr>
        <w:t xml:space="preserve">Student</w:t>
      </w:r>
      <w:r>
        <w:rPr>
          <w:color w:val="16181D"/>
          <w:sz w:val="21"/>
          <w:szCs w:val="21"/>
        </w:rPr>
        <w:t xml:space="preserve"> carries an optional link rather than extending </w:t>
      </w:r>
      <w:r>
        <w:rPr>
          <w:rFonts w:ascii="Consolas" w:cs="Consolas" w:eastAsia="Consolas" w:hAnsi="Consolas"/>
          <w:color w:val="B4500C"/>
          <w:sz w:val="18"/>
          <w:szCs w:val="18"/>
        </w:rPr>
        <w:t xml:space="preserve">Athlete</w:t>
      </w:r>
      <w:r>
        <w:rPr>
          <w:color w:val="16181D"/>
          <w:sz w:val="21"/>
          <w:szCs w:val="21"/>
        </w:rPr>
        <w:t xml:space="preserve">. Three reasons they cannot be one model:</w:t>
      </w:r>
    </w:p>
    <w:p>
      <w:pPr>
        <w:pStyle w:val="ListParagraph"/>
        <w:numPr>
          <w:ilvl w:val="0"/>
          <w:numId w:val="3"/>
        </w:numPr>
        <w:spacing w:after="50" w:before="50"/>
      </w:pPr>
      <w:r>
        <w:rPr>
          <w:b/>
          <w:bCs/>
          <w:color w:val="16181D"/>
          <w:sz w:val="21"/>
          <w:szCs w:val="21"/>
        </w:rPr>
        <w:t xml:space="preserve">Different attributes.</w:t>
      </w:r>
      <w:r>
        <w:rPr>
          <w:color w:val="16181D"/>
          <w:sz w:val="21"/>
          <w:szCs w:val="21"/>
        </w:rPr>
        <w:t xml:space="preserve"> A student has a masthead role (Editor, Writer, Photographer, Sales) and a school. They have no sport, position, tier or rate card, and a nullable half of </w:t>
      </w:r>
      <w:r>
        <w:rPr>
          <w:rFonts w:ascii="Consolas" w:cs="Consolas" w:eastAsia="Consolas" w:hAnsi="Consolas"/>
          <w:color w:val="B4500C"/>
          <w:sz w:val="18"/>
          <w:szCs w:val="18"/>
        </w:rPr>
        <w:t xml:space="preserve">Athlete</w:t>
      </w:r>
      <w:r>
        <w:rPr>
          <w:color w:val="16181D"/>
          <w:sz w:val="21"/>
          <w:szCs w:val="21"/>
        </w:rPr>
        <w:t xml:space="preserve"> for every student is a model that lies.</w:t>
      </w:r>
    </w:p>
    <w:p>
      <w:pPr>
        <w:pStyle w:val="ListParagraph"/>
        <w:numPr>
          <w:ilvl w:val="0"/>
          <w:numId w:val="3"/>
        </w:numPr>
        <w:spacing w:after="50" w:before="50"/>
      </w:pPr>
      <w:r>
        <w:rPr>
          <w:b/>
          <w:bCs/>
          <w:color w:val="16181D"/>
          <w:sz w:val="21"/>
          <w:szCs w:val="21"/>
        </w:rPr>
        <w:t xml:space="preserve">Different compensation semantics.</w:t>
      </w:r>
      <w:r>
        <w:rPr>
          <w:color w:val="16181D"/>
          <w:sz w:val="21"/>
          <w:szCs w:val="21"/>
        </w:rPr>
        <w:t xml:space="preserve"> Athlete compensation is money with a </w:t>
      </w:r>
      <w:r>
        <w:rPr>
          <w:rFonts w:ascii="Consolas" w:cs="Consolas" w:eastAsia="Consolas" w:hAnsi="Consolas"/>
          <w:color w:val="B4500C"/>
          <w:sz w:val="18"/>
          <w:szCs w:val="18"/>
        </w:rPr>
        <w:t xml:space="preserve">taxYear</w:t>
      </w:r>
      <w:r>
        <w:rPr>
          <w:color w:val="16181D"/>
          <w:sz w:val="21"/>
          <w:szCs w:val="21"/>
        </w:rPr>
        <w:t xml:space="preserve"> rollup. Student compensation is deliberately </w:t>
      </w:r>
      <w:r>
        <w:rPr>
          <w:i/>
          <w:iCs/>
          <w:color w:val="16181D"/>
          <w:sz w:val="21"/>
          <w:szCs w:val="21"/>
        </w:rPr>
        <w:t xml:space="preserve">not</w:t>
      </w:r>
      <w:r>
        <w:rPr>
          <w:color w:val="16181D"/>
          <w:sz w:val="21"/>
          <w:szCs w:val="21"/>
        </w:rPr>
        <w:t xml:space="preserve"> cash — the source document is explicit about school programme funds, scholarships, stipends and documented paid roles "rather than informal cash payments."</w:t>
      </w:r>
    </w:p>
    <w:p>
      <w:pPr>
        <w:pStyle w:val="ListParagraph"/>
        <w:numPr>
          <w:ilvl w:val="0"/>
          <w:numId w:val="3"/>
        </w:numPr>
        <w:spacing w:after="50" w:before="50"/>
      </w:pPr>
      <w:r>
        <w:rPr>
          <w:b/>
          <w:bCs/>
          <w:color w:val="16181D"/>
          <w:sz w:val="21"/>
          <w:szCs w:val="21"/>
        </w:rPr>
        <w:t xml:space="preserve">Different consent posture.</w:t>
      </w:r>
      <w:r>
        <w:rPr>
          <w:color w:val="16181D"/>
          <w:sz w:val="21"/>
          <w:szCs w:val="21"/>
        </w:rPr>
        <w:t xml:space="preserve"> Nearly every student is a minor. </w:t>
      </w:r>
      <w:r>
        <w:rPr>
          <w:rFonts w:ascii="Consolas" w:cs="Consolas" w:eastAsia="Consolas" w:hAnsi="Consolas"/>
          <w:color w:val="B4500C"/>
          <w:sz w:val="18"/>
          <w:szCs w:val="18"/>
        </w:rPr>
        <w:t xml:space="preserve">Guardian</w:t>
      </w:r>
      <w:r>
        <w:rPr>
          <w:color w:val="16181D"/>
          <w:sz w:val="21"/>
          <w:szCs w:val="21"/>
        </w:rPr>
        <w:t xml:space="preserve"> and </w:t>
      </w:r>
      <w:r>
        <w:rPr>
          <w:rFonts w:ascii="Consolas" w:cs="Consolas" w:eastAsia="Consolas" w:hAnsi="Consolas"/>
          <w:color w:val="B4500C"/>
          <w:sz w:val="18"/>
          <w:szCs w:val="18"/>
        </w:rPr>
        <w:t xml:space="preserve">AgreementAcceptance.guardianId</w:t>
      </w:r>
      <w:r>
        <w:rPr>
          <w:color w:val="16181D"/>
          <w:sz w:val="21"/>
          <w:szCs w:val="21"/>
        </w:rPr>
        <w:t xml:space="preserve"> already handle this and are reused as-is.</w:t>
      </w:r>
    </w:p>
    <w:p>
      <w:pPr>
        <w:shd w:fill="F4F6F9" w:color="auto" w:val="clear"/>
        <w:spacing w:after="0" w:before="130" w:line="240"/>
        <w:ind w:left="260" w:right="260"/>
      </w:pPr>
      <w:r>
        <w:rPr>
          <w:rFonts w:ascii="Consolas" w:cs="Consolas" w:eastAsia="Consolas" w:hAnsi="Consolas"/>
          <w:color w:val="16181D"/>
          <w:sz w:val="16"/>
          <w:szCs w:val="16"/>
        </w:rPr>
        <w:t xml:space="preserve">model Student {</w:t>
      </w:r>
    </w:p>
    <w:p>
      <w:pPr>
        <w:shd w:fill="F4F6F9" w:color="auto" w:val="clear"/>
        <w:spacing w:after="0" w:before="0" w:line="240"/>
        <w:ind w:left="260" w:right="260"/>
      </w:pPr>
      <w:r>
        <w:rPr>
          <w:rFonts w:ascii="Consolas" w:cs="Consolas" w:eastAsia="Consolas" w:hAnsi="Consolas"/>
          <w:color w:val="16181D"/>
          <w:sz w:val="16"/>
          <w:szCs w:val="16"/>
        </w:rPr>
        <w:t xml:space="preserve">  id          String   @id @default(cuid())</w:t>
      </w:r>
    </w:p>
    <w:p>
      <w:pPr>
        <w:shd w:fill="F4F6F9" w:color="auto" w:val="clear"/>
        <w:spacing w:after="0" w:before="0" w:line="240"/>
        <w:ind w:left="260" w:right="260"/>
      </w:pPr>
      <w:r>
        <w:rPr>
          <w:rFonts w:ascii="Consolas" w:cs="Consolas" w:eastAsia="Consolas" w:hAnsi="Consolas"/>
          <w:color w:val="16181D"/>
          <w:sz w:val="16"/>
          <w:szCs w:val="16"/>
        </w:rPr>
        <w:t xml:space="preserve">  tenantId    String</w:t>
      </w:r>
    </w:p>
    <w:p>
      <w:pPr>
        <w:shd w:fill="F4F6F9" w:color="auto" w:val="clear"/>
        <w:spacing w:after="0" w:before="0" w:line="240"/>
        <w:ind w:left="260" w:right="260"/>
      </w:pPr>
      <w:r>
        <w:rPr>
          <w:rFonts w:ascii="Consolas" w:cs="Consolas" w:eastAsia="Consolas" w:hAnsi="Consolas"/>
          <w:color w:val="16181D"/>
          <w:sz w:val="16"/>
          <w:szCs w:val="16"/>
        </w:rPr>
        <w:t xml:space="preserve">  propertyId  String              // the school</w:t>
      </w:r>
    </w:p>
    <w:p>
      <w:pPr>
        <w:shd w:fill="F4F6F9" w:color="auto" w:val="clear"/>
        <w:spacing w:after="0" w:before="0" w:line="240"/>
        <w:ind w:left="260" w:right="260"/>
      </w:pPr>
      <w:r>
        <w:rPr>
          <w:rFonts w:ascii="Consolas" w:cs="Consolas" w:eastAsia="Consolas" w:hAnsi="Consolas"/>
          <w:color w:val="16181D"/>
          <w:sz w:val="16"/>
          <w:szCs w:val="16"/>
        </w:rPr>
        <w:t xml:space="preserve">  athleteId   String?  @unique    // an athlete correspondent is both</w:t>
      </w:r>
    </w:p>
    <w:p>
      <w:pPr>
        <w:shd w:fill="F4F6F9" w:color="auto" w:val="clear"/>
        <w:spacing w:after="0" w:before="0" w:line="240"/>
        <w:ind w:left="260" w:right="260"/>
      </w:pPr>
      <w:r>
        <w:rPr>
          <w:rFonts w:ascii="Consolas" w:cs="Consolas" w:eastAsia="Consolas" w:hAnsi="Consolas"/>
          <w:color w:val="16181D"/>
          <w:sz w:val="16"/>
          <w:szCs w:val="16"/>
        </w:rPr>
        <w:t xml:space="preserve">  guardianId  String?</w:t>
      </w:r>
    </w:p>
    <w:p>
      <w:pPr>
        <w:shd w:fill="F4F6F9" w:color="auto" w:val="clear"/>
        <w:spacing w:after="0" w:before="0" w:line="240"/>
        <w:ind w:left="260" w:right="260"/>
      </w:pPr>
      <w:r>
        <w:rPr>
          <w:rFonts w:ascii="Consolas" w:cs="Consolas" w:eastAsia="Consolas" w:hAnsi="Consolas"/>
          <w:color w:val="16181D"/>
          <w:sz w:val="16"/>
          <w:szCs w:val="16"/>
        </w:rPr>
        <w:t xml:space="preserve">  legalName   String</w:t>
      </w:r>
    </w:p>
    <w:p>
      <w:pPr>
        <w:shd w:fill="F4F6F9" w:color="auto" w:val="clear"/>
        <w:spacing w:after="0" w:before="0" w:line="240"/>
        <w:ind w:left="260" w:right="260"/>
      </w:pPr>
      <w:r>
        <w:rPr>
          <w:rFonts w:ascii="Consolas" w:cs="Consolas" w:eastAsia="Consolas" w:hAnsi="Consolas"/>
          <w:color w:val="16181D"/>
          <w:sz w:val="16"/>
          <w:szCs w:val="16"/>
        </w:rPr>
        <w:t xml:space="preserve">  displayName String</w:t>
      </w:r>
    </w:p>
    <w:p>
      <w:pPr>
        <w:shd w:fill="F4F6F9" w:color="auto" w:val="clear"/>
        <w:spacing w:after="0" w:before="0" w:line="240"/>
        <w:ind w:left="260" w:right="260"/>
      </w:pPr>
      <w:r>
        <w:rPr>
          <w:rFonts w:ascii="Consolas" w:cs="Consolas" w:eastAsia="Consolas" w:hAnsi="Consolas"/>
          <w:color w:val="16181D"/>
          <w:sz w:val="16"/>
          <w:szCs w:val="16"/>
        </w:rPr>
        <w:t xml:space="preserve">  email       String</w:t>
      </w:r>
    </w:p>
    <w:p>
      <w:pPr>
        <w:shd w:fill="F4F6F9" w:color="auto" w:val="clear"/>
        <w:spacing w:after="0" w:before="0" w:line="240"/>
        <w:ind w:left="260" w:right="260"/>
      </w:pPr>
      <w:r>
        <w:rPr>
          <w:rFonts w:ascii="Consolas" w:cs="Consolas" w:eastAsia="Consolas" w:hAnsi="Consolas"/>
          <w:color w:val="16181D"/>
          <w:sz w:val="16"/>
          <w:szCs w:val="16"/>
        </w:rPr>
        <w:t xml:space="preserve">  gradYear    Int?</w:t>
      </w:r>
    </w:p>
    <w:p>
      <w:pPr>
        <w:shd w:fill="F4F6F9" w:color="auto" w:val="clear"/>
        <w:spacing w:after="0" w:before="0" w:line="240"/>
        <w:ind w:left="260" w:right="260"/>
      </w:pPr>
      <w:r>
        <w:rPr>
          <w:rFonts w:ascii="Consolas" w:cs="Consolas" w:eastAsia="Consolas" w:hAnsi="Consolas"/>
          <w:color w:val="16181D"/>
          <w:sz w:val="16"/>
          <w:szCs w:val="16"/>
        </w:rPr>
        <w:t xml:space="preserve">  /// EDITOR | WRITER | PHOTOGRAPHER | VIDEO | DESIGNER | SALES | CORRESPONDENT</w:t>
      </w:r>
    </w:p>
    <w:p>
      <w:pPr>
        <w:shd w:fill="F4F6F9" w:color="auto" w:val="clear"/>
        <w:spacing w:after="0" w:before="0" w:line="240"/>
        <w:ind w:left="260" w:right="260"/>
      </w:pPr>
      <w:r>
        <w:rPr>
          <w:rFonts w:ascii="Consolas" w:cs="Consolas" w:eastAsia="Consolas" w:hAnsi="Consolas"/>
          <w:color w:val="16181D"/>
          <w:sz w:val="16"/>
          <w:szCs w:val="16"/>
        </w:rPr>
        <w:t xml:space="preserve">  masthead    String[]</w:t>
      </w:r>
    </w:p>
    <w:p>
      <w:pPr>
        <w:shd w:fill="F4F6F9" w:color="auto" w:val="clear"/>
        <w:spacing w:after="0" w:before="0" w:line="240"/>
        <w:ind w:left="260" w:right="260"/>
      </w:pPr>
      <w:r>
        <w:rPr>
          <w:rFonts w:ascii="Consolas" w:cs="Consolas" w:eastAsia="Consolas" w:hAnsi="Consolas"/>
          <w:color w:val="16181D"/>
          <w:sz w:val="16"/>
          <w:szCs w:val="16"/>
        </w:rPr>
        <w:t xml:space="preserve">  state       StudentState @default(DRAFT)   // mirrors AthleteState</w:t>
      </w:r>
    </w:p>
    <w:p>
      <w:pPr>
        <w:shd w:fill="F4F6F9" w:color="auto" w:val="clear"/>
        <w:spacing w:after="0" w:before="0" w:line="240"/>
        <w:ind w:left="260" w:right="260"/>
      </w:pPr>
      <w:r>
        <w:rPr>
          <w:rFonts w:ascii="Consolas" w:cs="Consolas" w:eastAsia="Consolas" w:hAnsi="Consolas"/>
          <w:color w:val="16181D"/>
          <w:sz w:val="16"/>
          <w:szCs w:val="16"/>
        </w:rPr>
        <w:t xml:space="preserve">  createdAt   DateTime @default(now())</w:t>
      </w:r>
    </w:p>
    <w:p>
      <w:pPr>
        <w:shd w:fill="F4F6F9" w:color="auto" w:val="clear"/>
        <w:spacing w:after="190" w:before="0" w:line="240"/>
        <w:ind w:left="260" w:right="260"/>
      </w:pPr>
      <w:r>
        <w:rPr>
          <w:rFonts w:ascii="Consolas" w:cs="Consolas" w:eastAsia="Consolas" w:hAnsi="Consolas"/>
          <w:color w:val="16181D"/>
          <w:sz w:val="16"/>
          <w:szCs w:val="16"/>
        </w:rPr>
        <w:t xml:space="preserve">}</w:t>
      </w:r>
    </w:p>
    <w:p>
      <w:pPr>
        <w:spacing w:after="150" w:before="0"/>
      </w:pPr>
      <w:r>
        <w:rPr>
          <w:rFonts w:ascii="Consolas" w:cs="Consolas" w:eastAsia="Consolas" w:hAnsi="Consolas"/>
          <w:color w:val="B4500C"/>
          <w:sz w:val="18"/>
          <w:szCs w:val="18"/>
        </w:rPr>
        <w:t xml:space="preserve">StudentState</w:t>
      </w:r>
      <w:r>
        <w:rPr>
          <w:color w:val="16181D"/>
          <w:sz w:val="21"/>
          <w:szCs w:val="21"/>
        </w:rPr>
        <w:t xml:space="preserve"> mirrors </w:t>
      </w:r>
      <w:r>
        <w:rPr>
          <w:rFonts w:ascii="Consolas" w:cs="Consolas" w:eastAsia="Consolas" w:hAnsi="Consolas"/>
          <w:color w:val="B4500C"/>
          <w:sz w:val="18"/>
          <w:szCs w:val="18"/>
        </w:rPr>
        <w:t xml:space="preserve">AthleteState</w:t>
      </w:r>
      <w:r>
        <w:rPr>
          <w:color w:val="16181D"/>
          <w:sz w:val="21"/>
          <w:szCs w:val="21"/>
        </w:rPr>
        <w:t xml:space="preserve"> rather than inventing a vocabulary: a student application is reviewed by an advisor exactly as an athlete application is reviewed by a network manager.</w:t>
      </w:r>
    </w:p>
    <w:p>
      <w:pPr>
        <w:pStyle w:val="Heading2"/>
        <w:spacing w:after="120" w:before="280"/>
      </w:pPr>
      <w:r>
        <w:rPr>
          <w:b/>
          <w:bCs/>
          <w:color w:val="16181D"/>
          <w:sz w:val="23"/>
          <w:szCs w:val="23"/>
        </w:rPr>
        <w:t xml:space="preserve">5.2 · </w:t>
      </w:r>
      <w:r>
        <w:rPr>
          <w:rFonts w:ascii="Consolas" w:cs="Consolas" w:eastAsia="Consolas" w:hAnsi="Consolas"/>
          <w:b/>
          <w:bCs/>
          <w:color w:val="B4500C"/>
          <w:sz w:val="20"/>
          <w:szCs w:val="20"/>
        </w:rPr>
        <w:t xml:space="preserve">Publication</w:t>
      </w:r>
      <w:r>
        <w:rPr>
          <w:b/>
          <w:bCs/>
          <w:color w:val="16181D"/>
          <w:sz w:val="23"/>
          <w:szCs w:val="23"/>
        </w:rPr>
        <w:t xml:space="preserve"> / </w:t>
      </w:r>
      <w:r>
        <w:rPr>
          <w:rFonts w:ascii="Consolas" w:cs="Consolas" w:eastAsia="Consolas" w:hAnsi="Consolas"/>
          <w:b/>
          <w:bCs/>
          <w:color w:val="B4500C"/>
          <w:sz w:val="20"/>
          <w:szCs w:val="20"/>
        </w:rPr>
        <w:t xml:space="preserve">Edition</w:t>
      </w:r>
      <w:r>
        <w:rPr>
          <w:b/>
          <w:bCs/>
          <w:color w:val="16181D"/>
          <w:sz w:val="23"/>
          <w:szCs w:val="23"/>
        </w:rPr>
        <w:t xml:space="preserve"> / </w:t>
      </w:r>
      <w:r>
        <w:rPr>
          <w:rFonts w:ascii="Consolas" w:cs="Consolas" w:eastAsia="Consolas" w:hAnsi="Consolas"/>
          <w:b/>
          <w:bCs/>
          <w:color w:val="B4500C"/>
          <w:sz w:val="20"/>
          <w:szCs w:val="20"/>
        </w:rPr>
        <w:t xml:space="preserve">AdSlot</w:t>
      </w:r>
      <w:r>
        <w:rPr>
          <w:b/>
          <w:bCs/>
          <w:color w:val="16181D"/>
          <w:sz w:val="23"/>
          <w:szCs w:val="23"/>
        </w:rPr>
        <w:t xml:space="preserve"> — finite, positional, deadlined</w:t>
      </w:r>
    </w:p>
    <w:p>
      <w:pPr>
        <w:spacing w:after="150" w:before="0"/>
      </w:pPr>
      <w:r>
        <w:rPr>
          <w:color w:val="16181D"/>
          <w:sz w:val="21"/>
          <w:szCs w:val="21"/>
        </w:rPr>
        <w:t xml:space="preserve">This is the one thing the commercial catalogue cannot model. A </w:t>
      </w:r>
      <w:r>
        <w:rPr>
          <w:rFonts w:ascii="Consolas" w:cs="Consolas" w:eastAsia="Consolas" w:hAnsi="Consolas"/>
          <w:color w:val="B4500C"/>
          <w:sz w:val="18"/>
          <w:szCs w:val="18"/>
        </w:rPr>
        <w:t xml:space="preserve">NilJob</w:t>
      </w:r>
      <w:r>
        <w:rPr>
          <w:color w:val="16181D"/>
          <w:sz w:val="21"/>
          <w:szCs w:val="21"/>
        </w:rPr>
        <w:t xml:space="preserve"> is athlete-time, priced per athlete, available until the athlete is busy. A back cover is </w:t>
      </w:r>
      <w:r>
        <w:rPr>
          <w:b/>
          <w:bCs/>
          <w:color w:val="16181D"/>
          <w:sz w:val="21"/>
          <w:szCs w:val="21"/>
        </w:rPr>
        <w:t xml:space="preserve">quantity one</w:t>
      </w:r>
      <w:r>
        <w:rPr>
          <w:color w:val="16181D"/>
          <w:sz w:val="21"/>
          <w:szCs w:val="21"/>
        </w:rPr>
        <w:t xml:space="preserve">, on </w:t>
      </w:r>
      <w:r>
        <w:rPr>
          <w:b/>
          <w:bCs/>
          <w:color w:val="16181D"/>
          <w:sz w:val="21"/>
          <w:szCs w:val="21"/>
        </w:rPr>
        <w:t xml:space="preserve">one edition</w:t>
      </w:r>
      <w:r>
        <w:rPr>
          <w:color w:val="16181D"/>
          <w:sz w:val="21"/>
          <w:szCs w:val="21"/>
        </w:rPr>
        <w:t xml:space="preserve">, unsellable after the </w:t>
      </w:r>
      <w:r>
        <w:rPr>
          <w:b/>
          <w:bCs/>
          <w:color w:val="16181D"/>
          <w:sz w:val="21"/>
          <w:szCs w:val="21"/>
        </w:rPr>
        <w:t xml:space="preserve">close date</w:t>
      </w:r>
      <w:r>
        <w:rPr>
          <w:color w:val="16181D"/>
          <w:sz w:val="21"/>
          <w:szCs w:val="21"/>
        </w:rPr>
        <w:t xml:space="preserve">. Scarcity, position and a deadline are three properties </w:t>
      </w:r>
      <w:r>
        <w:rPr>
          <w:rFonts w:ascii="Consolas" w:cs="Consolas" w:eastAsia="Consolas" w:hAnsi="Consolas"/>
          <w:color w:val="B4500C"/>
          <w:sz w:val="18"/>
          <w:szCs w:val="18"/>
        </w:rPr>
        <w:t xml:space="preserve">NilJob</w:t>
      </w:r>
      <w:r>
        <w:rPr>
          <w:color w:val="16181D"/>
          <w:sz w:val="21"/>
          <w:szCs w:val="21"/>
        </w:rPr>
        <w:t xml:space="preserve"> has no column for, and forcing them in would corrupt the </w:t>
      </w:r>
      <w:r>
        <w:rPr>
          <w:rFonts w:ascii="Consolas" w:cs="Consolas" w:eastAsia="Consolas" w:hAnsi="Consolas"/>
          <w:color w:val="B4500C"/>
          <w:sz w:val="18"/>
          <w:szCs w:val="18"/>
        </w:rPr>
        <w:t xml:space="preserve">sellFloor*</w:t>
      </w:r>
      <w:r>
        <w:rPr>
          <w:color w:val="16181D"/>
          <w:sz w:val="21"/>
          <w:szCs w:val="21"/>
        </w:rPr>
        <w:t xml:space="preserve"> derivation that </w:t>
      </w:r>
      <w:r>
        <w:rPr>
          <w:rFonts w:ascii="Consolas" w:cs="Consolas" w:eastAsia="Consolas" w:hAnsi="Consolas"/>
          <w:color w:val="B4500C"/>
          <w:sz w:val="18"/>
          <w:szCs w:val="18"/>
        </w:rPr>
        <w:t xml:space="preserve">P0-PMO-13</w:t>
      </w:r>
      <w:r>
        <w:rPr>
          <w:color w:val="16181D"/>
          <w:sz w:val="21"/>
          <w:szCs w:val="21"/>
        </w:rPr>
        <w:t xml:space="preserve"> settled.</w:t>
      </w:r>
    </w:p>
    <w:p>
      <w:pPr>
        <w:pStyle w:val="ListParagraph"/>
        <w:numPr>
          <w:ilvl w:val="0"/>
          <w:numId w:val="3"/>
        </w:numPr>
        <w:spacing w:after="50" w:before="50"/>
      </w:pPr>
      <w:r>
        <w:rPr>
          <w:rFonts w:ascii="Consolas" w:cs="Consolas" w:eastAsia="Consolas" w:hAnsi="Consolas"/>
          <w:b/>
          <w:bCs/>
          <w:color w:val="B4500C"/>
          <w:sz w:val="18"/>
          <w:szCs w:val="18"/>
        </w:rPr>
        <w:t xml:space="preserve">Publication</w:t>
      </w:r>
      <w:r>
        <w:rPr>
          <w:color w:val="16181D"/>
          <w:sz w:val="21"/>
          <w:szCs w:val="21"/>
        </w:rPr>
        <w:t xml:space="preserve"> — the masthead per school or region. </w:t>
      </w:r>
      <w:r>
        <w:rPr>
          <w:i/>
          <w:iCs/>
          <w:color w:val="16181D"/>
          <w:sz w:val="21"/>
          <w:szCs w:val="21"/>
        </w:rPr>
        <w:t xml:space="preserve">SponsorX NEXT: DeMatha Edition</w:t>
      </w:r>
      <w:r>
        <w:rPr>
          <w:color w:val="16181D"/>
          <w:sz w:val="21"/>
          <w:szCs w:val="21"/>
        </w:rPr>
        <w:t xml:space="preserve">, </w:t>
      </w:r>
      <w:r>
        <w:rPr>
          <w:i/>
          <w:iCs/>
          <w:color w:val="16181D"/>
          <w:sz w:val="21"/>
          <w:szCs w:val="21"/>
        </w:rPr>
        <w:t xml:space="preserve">SponsorX NEXT — DMV Edition</w:t>
      </w:r>
      <w:r>
        <w:rPr>
          <w:color w:val="16181D"/>
          <w:sz w:val="21"/>
          <w:szCs w:val="21"/>
        </w:rPr>
        <w:t xml:space="preserve">. Belongs to a </w:t>
      </w:r>
      <w:r>
        <w:rPr>
          <w:rFonts w:ascii="Consolas" w:cs="Consolas" w:eastAsia="Consolas" w:hAnsi="Consolas"/>
          <w:color w:val="B4500C"/>
          <w:sz w:val="18"/>
          <w:szCs w:val="18"/>
        </w:rPr>
        <w:t xml:space="preserve">Property</w:t>
      </w:r>
      <w:r>
        <w:rPr>
          <w:color w:val="16181D"/>
          <w:sz w:val="21"/>
          <w:szCs w:val="21"/>
        </w:rPr>
        <w:t xml:space="preserve">, or to none for a regional edition.</w:t>
      </w:r>
    </w:p>
    <w:p>
      <w:pPr>
        <w:pStyle w:val="ListParagraph"/>
        <w:numPr>
          <w:ilvl w:val="0"/>
          <w:numId w:val="3"/>
        </w:numPr>
        <w:spacing w:after="50" w:before="50"/>
      </w:pPr>
      <w:r>
        <w:rPr>
          <w:rFonts w:ascii="Consolas" w:cs="Consolas" w:eastAsia="Consolas" w:hAnsi="Consolas"/>
          <w:b/>
          <w:bCs/>
          <w:color w:val="B4500C"/>
          <w:sz w:val="18"/>
          <w:szCs w:val="18"/>
        </w:rPr>
        <w:t xml:space="preserve">Edition</w:t>
      </w:r>
      <w:r>
        <w:rPr>
          <w:color w:val="16181D"/>
          <w:sz w:val="21"/>
          <w:szCs w:val="21"/>
        </w:rPr>
        <w:t xml:space="preserve"> — Fall / Winter / Spring / Year-End, carrying </w:t>
      </w:r>
      <w:r>
        <w:rPr>
          <w:rFonts w:ascii="Consolas" w:cs="Consolas" w:eastAsia="Consolas" w:hAnsi="Consolas"/>
          <w:color w:val="B4500C"/>
          <w:sz w:val="18"/>
          <w:szCs w:val="18"/>
        </w:rPr>
        <w:t xml:space="preserve">closeDate</w:t>
      </w:r>
      <w:r>
        <w:rPr>
          <w:color w:val="16181D"/>
          <w:sz w:val="21"/>
          <w:szCs w:val="21"/>
        </w:rPr>
        <w:t xml:space="preserve"> (the ad deadline), </w:t>
      </w:r>
      <w:r>
        <w:rPr>
          <w:rFonts w:ascii="Consolas" w:cs="Consolas" w:eastAsia="Consolas" w:hAnsi="Consolas"/>
          <w:color w:val="B4500C"/>
          <w:sz w:val="18"/>
          <w:szCs w:val="18"/>
        </w:rPr>
        <w:t xml:space="preserve">printDate</w:t>
      </w:r>
      <w:r>
        <w:rPr>
          <w:color w:val="16181D"/>
          <w:sz w:val="21"/>
          <w:szCs w:val="21"/>
        </w:rPr>
        <w:t xml:space="preserve">, </w:t>
      </w:r>
      <w:r>
        <w:rPr>
          <w:rFonts w:ascii="Consolas" w:cs="Consolas" w:eastAsia="Consolas" w:hAnsi="Consolas"/>
          <w:color w:val="B4500C"/>
          <w:sz w:val="18"/>
          <w:szCs w:val="18"/>
        </w:rPr>
        <w:t xml:space="preserve">pageCount</w:t>
      </w:r>
      <w:r>
        <w:rPr>
          <w:color w:val="16181D"/>
          <w:sz w:val="21"/>
          <w:szCs w:val="21"/>
        </w:rPr>
        <w:t xml:space="preserve">, and a state machine: </w:t>
      </w:r>
      <w:r>
        <w:rPr>
          <w:rFonts w:ascii="Consolas" w:cs="Consolas" w:eastAsia="Consolas" w:hAnsi="Consolas"/>
          <w:color w:val="B4500C"/>
          <w:sz w:val="18"/>
          <w:szCs w:val="18"/>
        </w:rPr>
        <w:t xml:space="preserve">PLANNING → SELLING → CLOSED → IN_PRODUCTION → PRINTED → DISTRIBUTED</w:t>
      </w:r>
      <w:r>
        <w:rPr>
          <w:color w:val="16181D"/>
          <w:sz w:val="21"/>
          <w:szCs w:val="21"/>
        </w:rPr>
        <w:t xml:space="preserve">.</w:t>
      </w:r>
    </w:p>
    <w:p>
      <w:pPr>
        <w:pStyle w:val="ListParagraph"/>
        <w:numPr>
          <w:ilvl w:val="0"/>
          <w:numId w:val="3"/>
        </w:numPr>
        <w:spacing w:after="50" w:before="50"/>
      </w:pPr>
      <w:r>
        <w:rPr>
          <w:rFonts w:ascii="Consolas" w:cs="Consolas" w:eastAsia="Consolas" w:hAnsi="Consolas"/>
          <w:b/>
          <w:bCs/>
          <w:color w:val="B4500C"/>
          <w:sz w:val="18"/>
          <w:szCs w:val="18"/>
        </w:rPr>
        <w:t xml:space="preserve">AdSlot</w:t>
      </w:r>
      <w:r>
        <w:rPr>
          <w:color w:val="16181D"/>
          <w:sz w:val="21"/>
          <w:szCs w:val="21"/>
        </w:rPr>
        <w:t xml:space="preserve"> — the inventory ledger. One row per sellable position per edition, with </w:t>
      </w:r>
      <w:r>
        <w:rPr>
          <w:rFonts w:ascii="Consolas" w:cs="Consolas" w:eastAsia="Consolas" w:hAnsi="Consolas"/>
          <w:color w:val="B4500C"/>
          <w:sz w:val="18"/>
          <w:szCs w:val="18"/>
        </w:rPr>
        <w:t xml:space="preserve">slotCode</w:t>
      </w:r>
      <w:r>
        <w:rPr>
          <w:color w:val="16181D"/>
          <w:sz w:val="21"/>
          <w:szCs w:val="21"/>
        </w:rPr>
        <w:t xml:space="preserve"> (</w:t>
      </w:r>
      <w:r>
        <w:rPr>
          <w:rFonts w:ascii="Consolas" w:cs="Consolas" w:eastAsia="Consolas" w:hAnsi="Consolas"/>
          <w:color w:val="B4500C"/>
          <w:sz w:val="18"/>
          <w:szCs w:val="18"/>
        </w:rPr>
        <w:t xml:space="preserve">BUSINESS_CARD</w:t>
      </w:r>
      <w:r>
        <w:rPr>
          <w:color w:val="16181D"/>
          <w:sz w:val="21"/>
          <w:szCs w:val="21"/>
        </w:rPr>
        <w:t xml:space="preserve">, </w:t>
      </w:r>
      <w:r>
        <w:rPr>
          <w:rFonts w:ascii="Consolas" w:cs="Consolas" w:eastAsia="Consolas" w:hAnsi="Consolas"/>
          <w:color w:val="B4500C"/>
          <w:sz w:val="18"/>
          <w:szCs w:val="18"/>
        </w:rPr>
        <w:t xml:space="preserve">QUARTER</w:t>
      </w:r>
      <w:r>
        <w:rPr>
          <w:color w:val="16181D"/>
          <w:sz w:val="21"/>
          <w:szCs w:val="21"/>
        </w:rPr>
        <w:t xml:space="preserve">, </w:t>
      </w:r>
      <w:r>
        <w:rPr>
          <w:rFonts w:ascii="Consolas" w:cs="Consolas" w:eastAsia="Consolas" w:hAnsi="Consolas"/>
          <w:color w:val="B4500C"/>
          <w:sz w:val="18"/>
          <w:szCs w:val="18"/>
        </w:rPr>
        <w:t xml:space="preserve">HALF</w:t>
      </w:r>
      <w:r>
        <w:rPr>
          <w:color w:val="16181D"/>
          <w:sz w:val="21"/>
          <w:szCs w:val="21"/>
        </w:rPr>
        <w:t xml:space="preserve">, </w:t>
      </w:r>
      <w:r>
        <w:rPr>
          <w:rFonts w:ascii="Consolas" w:cs="Consolas" w:eastAsia="Consolas" w:hAnsi="Consolas"/>
          <w:color w:val="B4500C"/>
          <w:sz w:val="18"/>
          <w:szCs w:val="18"/>
        </w:rPr>
        <w:t xml:space="preserve">FULL_PAGE</w:t>
      </w:r>
      <w:r>
        <w:rPr>
          <w:color w:val="16181D"/>
          <w:sz w:val="21"/>
          <w:szCs w:val="21"/>
        </w:rPr>
        <w:t xml:space="preserve">, </w:t>
      </w:r>
      <w:r>
        <w:rPr>
          <w:rFonts w:ascii="Consolas" w:cs="Consolas" w:eastAsia="Consolas" w:hAnsi="Consolas"/>
          <w:color w:val="B4500C"/>
          <w:sz w:val="18"/>
          <w:szCs w:val="18"/>
        </w:rPr>
        <w:t xml:space="preserve">INSIDE_COVER</w:t>
      </w:r>
      <w:r>
        <w:rPr>
          <w:color w:val="16181D"/>
          <w:sz w:val="21"/>
          <w:szCs w:val="21"/>
        </w:rPr>
        <w:t xml:space="preserve">, </w:t>
      </w:r>
      <w:r>
        <w:rPr>
          <w:rFonts w:ascii="Consolas" w:cs="Consolas" w:eastAsia="Consolas" w:hAnsi="Consolas"/>
          <w:color w:val="B4500C"/>
          <w:sz w:val="18"/>
          <w:szCs w:val="18"/>
        </w:rPr>
        <w:t xml:space="preserve">BACK_COVER</w:t>
      </w:r>
      <w:r>
        <w:rPr>
          <w:color w:val="16181D"/>
          <w:sz w:val="21"/>
          <w:szCs w:val="21"/>
        </w:rPr>
        <w:t xml:space="preserve">, </w:t>
      </w:r>
      <w:r>
        <w:rPr>
          <w:rFonts w:ascii="Consolas" w:cs="Consolas" w:eastAsia="Consolas" w:hAnsi="Consolas"/>
          <w:color w:val="B4500C"/>
          <w:sz w:val="18"/>
          <w:szCs w:val="18"/>
        </w:rPr>
        <w:t xml:space="preserve">TEAM_SPONSOR</w:t>
      </w:r>
      <w:r>
        <w:rPr>
          <w:color w:val="16181D"/>
          <w:sz w:val="21"/>
          <w:szCs w:val="21"/>
        </w:rPr>
        <w:t xml:space="preserve">, …), a price in </w:t>
      </w:r>
      <w:r>
        <w:rPr>
          <w:b/>
          <w:bCs/>
          <w:color w:val="16181D"/>
          <w:sz w:val="21"/>
          <w:szCs w:val="21"/>
        </w:rPr>
        <w:t xml:space="preserve">integer cents</w:t>
      </w:r>
      <w:r>
        <w:rPr>
          <w:color w:val="16181D"/>
          <w:sz w:val="21"/>
          <w:szCs w:val="21"/>
        </w:rPr>
        <w:t xml:space="preserve">, a quantity, and a nullable </w:t>
      </w:r>
      <w:r>
        <w:rPr>
          <w:rFonts w:ascii="Consolas" w:cs="Consolas" w:eastAsia="Consolas" w:hAnsi="Consolas"/>
          <w:b/>
          <w:bCs/>
          <w:color w:val="B4500C"/>
          <w:sz w:val="18"/>
          <w:szCs w:val="18"/>
        </w:rPr>
        <w:t xml:space="preserve">campaignId</w:t>
      </w:r>
      <w:r>
        <w:rPr>
          <w:color w:val="16181D"/>
          <w:sz w:val="21"/>
          <w:szCs w:val="21"/>
        </w:rPr>
        <w:t xml:space="preserve"> once sold. It points at the </w:t>
      </w:r>
      <w:r>
        <w:rPr>
          <w:rFonts w:ascii="Consolas" w:cs="Consolas" w:eastAsia="Consolas" w:hAnsi="Consolas"/>
          <w:color w:val="B4500C"/>
          <w:sz w:val="18"/>
          <w:szCs w:val="18"/>
        </w:rPr>
        <w:t xml:space="preserve">Campaign</w:t>
      </w:r>
      <w:r>
        <w:rPr>
          <w:color w:val="16181D"/>
          <w:sz w:val="21"/>
          <w:szCs w:val="21"/>
        </w:rPr>
        <w:t xml:space="preserve">, </w:t>
      </w:r>
      <w:r>
        <w:rPr>
          <w:i/>
          <w:iCs/>
          <w:color w:val="16181D"/>
          <w:sz w:val="21"/>
          <w:szCs w:val="21"/>
        </w:rPr>
        <w:t xml:space="preserve">not</w:t>
      </w:r>
      <w:r>
        <w:rPr>
          <w:color w:val="16181D"/>
          <w:sz w:val="21"/>
          <w:szCs w:val="21"/>
        </w:rPr>
        <w:t xml:space="preserve"> at a </w:t>
      </w:r>
      <w:r>
        <w:rPr>
          <w:rFonts w:ascii="Consolas" w:cs="Consolas" w:eastAsia="Consolas" w:hAnsi="Consolas"/>
          <w:color w:val="B4500C"/>
          <w:sz w:val="18"/>
          <w:szCs w:val="18"/>
        </w:rPr>
        <w:t xml:space="preserve">CampaignOrder</w:t>
      </w:r>
      <w:r>
        <w:rPr>
          <w:color w:val="16181D"/>
          <w:sz w:val="21"/>
          <w:szCs w:val="21"/>
        </w:rPr>
        <w:t xml:space="preserve">, for the reason in §4: an order requires an athlete and a job, and an ad slot has neither. This is what makes the </w:t>
      </w:r>
      <w:r>
        <w:rPr>
          <w:rFonts w:ascii="Consolas" w:cs="Consolas" w:eastAsia="Consolas" w:hAnsi="Consolas"/>
          <w:color w:val="B4500C"/>
          <w:sz w:val="18"/>
          <w:szCs w:val="18"/>
        </w:rPr>
        <w:t xml:space="preserve">includes</w:t>
      </w:r>
      <w:r>
        <w:rPr>
          <w:color w:val="16181D"/>
          <w:sz w:val="21"/>
          <w:szCs w:val="21"/>
        </w:rPr>
        <w:t xml:space="preserve"> entry in §4 enforceable.</w:t>
      </w:r>
    </w:p>
    <w:p>
      <w:pPr>
        <w:spacing w:after="150" w:before="0"/>
      </w:pPr>
      <w:r>
        <w:rPr>
          <w:color w:val="16181D"/>
          <w:sz w:val="21"/>
          <w:szCs w:val="21"/>
        </w:rPr>
        <w:t xml:space="preserve">Rate card from the source document, for seeding:</w:t>
      </w:r>
    </w:p>
    <w:tbl>
      <w:tblPr>
        <w:tblW w:type="dxa" w:w="9360"/>
        <w:tblBorders>
          <w:top w:val="single" w:color="D5D9E2" w:sz="4"/>
          <w:left w:val="single" w:color="D5D9E2" w:sz="4"/>
          <w:bottom w:val="single" w:color="D5D9E2" w:sz="4"/>
          <w:right w:val="single" w:color="D5D9E2" w:sz="4"/>
          <w:insideH w:val="single" w:color="D5D9E2" w:sz="2"/>
          <w:insideV w:val="single" w:color="D5D9E2" w:sz="2"/>
        </w:tblBorders>
      </w:tblPr>
      <w:tblGrid>
        <w:gridCol w:w="3120"/>
        <w:gridCol w:w="3120"/>
        <w:gridCol w:w="3120"/>
      </w:tblGrid>
      <w:tr>
        <w:trPr>
          <w:cantSplit/>
          <w:tblHeader/>
        </w:trPr>
        <w:tc>
          <w:tcPr>
            <w:tcW w:type="dxa" w:w="3120"/>
            <w:shd w:fill="EEF4FB" w:color="auto" w:val="clear"/>
            <w:tcMar>
              <w:top w:type="dxa" w:w="90"/>
              <w:left w:type="dxa" w:w="130"/>
              <w:bottom w:type="dxa" w:w="90"/>
              <w:right w:type="dxa" w:w="130"/>
            </w:tcMar>
          </w:tcPr>
          <w:p>
            <w:pPr>
              <w:spacing w:after="0" w:before="0" w:line="252"/>
            </w:pPr>
            <w:r>
              <w:rPr>
                <w:b/>
                <w:bCs/>
                <w:color w:val="1F6FB2"/>
                <w:sz w:val="18"/>
                <w:szCs w:val="18"/>
              </w:rPr>
              <w:t xml:space="preserve">Slot</w:t>
            </w:r>
          </w:p>
        </w:tc>
        <w:tc>
          <w:tcPr>
            <w:tcW w:type="dxa" w:w="3120"/>
            <w:shd w:fill="EEF4FB" w:color="auto" w:val="clear"/>
            <w:tcMar>
              <w:top w:type="dxa" w:w="90"/>
              <w:left w:type="dxa" w:w="130"/>
              <w:bottom w:type="dxa" w:w="90"/>
              <w:right w:type="dxa" w:w="130"/>
            </w:tcMar>
          </w:tcPr>
          <w:p>
            <w:pPr>
              <w:spacing w:after="0" w:before="0" w:line="252"/>
            </w:pPr>
            <w:r>
              <w:rPr>
                <w:b/>
                <w:bCs/>
                <w:color w:val="1F6FB2"/>
                <w:sz w:val="18"/>
                <w:szCs w:val="18"/>
              </w:rPr>
              <w:t xml:space="preserve">Price</w:t>
            </w:r>
          </w:p>
        </w:tc>
        <w:tc>
          <w:tcPr>
            <w:tcW w:type="dxa" w:w="3120"/>
            <w:shd w:fill="EEF4FB" w:color="auto" w:val="clear"/>
            <w:tcMar>
              <w:top w:type="dxa" w:w="90"/>
              <w:left w:type="dxa" w:w="130"/>
              <w:bottom w:type="dxa" w:w="90"/>
              <w:right w:type="dxa" w:w="130"/>
            </w:tcMar>
          </w:tcPr>
          <w:p>
            <w:pPr>
              <w:spacing w:after="0" w:before="0" w:line="252"/>
            </w:pPr>
            <w:r>
              <w:rPr>
                <w:b/>
                <w:bCs/>
                <w:color w:val="1F6FB2"/>
                <w:sz w:val="18"/>
                <w:szCs w:val="18"/>
              </w:rPr>
              <w:t xml:space="preserve">Quantity per edition</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Business Card</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$150</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many</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Quarter Page</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$250</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many</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Half Page</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$400</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many</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Full Page</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$650</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many</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Inside Cover</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$1,000</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2</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Back Cover</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$1,500</w:t>
            </w:r>
          </w:p>
        </w:tc>
        <w:tc>
          <w:tcPr>
            <w:tcW w:type="dxa" w:w="3120"/>
            <w:tcMar>
              <w:top w:type="dxa" w:w="90"/>
              <w:left w:type="dxa" w:w="130"/>
              <w:bottom w:type="dxa" w:w="90"/>
              <w:right w:type="dxa" w:w="130"/>
            </w:tcMar>
          </w:tcPr>
          <w:p>
            <w:pPr>
              <w:spacing w:after="0" w:before="0" w:line="252"/>
            </w:pPr>
            <w:r>
              <w:rPr>
                <w:b/>
                <w:bCs/>
                <w:color w:val="16181D"/>
                <w:sz w:val="18"/>
                <w:szCs w:val="18"/>
              </w:rPr>
              <w:t xml:space="preserve">1</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Team Sponsor</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$1,000</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per team</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Athlete Spotlight Sponsor</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$750</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per feature</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Season Sponsor</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$2,500</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few</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Presenting Sponsor</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$5,000+</w:t>
            </w:r>
          </w:p>
        </w:tc>
        <w:tc>
          <w:tcPr>
            <w:tcW w:type="dxa" w:w="3120"/>
            <w:tcMar>
              <w:top w:type="dxa" w:w="90"/>
              <w:left w:type="dxa" w:w="130"/>
              <w:bottom w:type="dxa" w:w="90"/>
              <w:right w:type="dxa" w:w="130"/>
            </w:tcMar>
          </w:tcPr>
          <w:p>
            <w:pPr>
              <w:spacing w:after="0" w:before="0" w:line="252"/>
            </w:pPr>
            <w:r>
              <w:rPr>
                <w:b/>
                <w:bCs/>
                <w:color w:val="16181D"/>
                <w:sz w:val="18"/>
                <w:szCs w:val="18"/>
              </w:rPr>
              <w:t xml:space="preserve">1</w:t>
            </w:r>
          </w:p>
        </w:tc>
      </w:tr>
      <w:tr>
        <w:trPr>
          <w:cantSplit/>
          <w:tblHeader w:val="false"/>
        </w:trPr>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Senior Congratulations</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$100–$250</w:t>
            </w:r>
          </w:p>
        </w:tc>
        <w:tc>
          <w:tcPr>
            <w:tcW w:type="dxa" w:w="3120"/>
            <w:tcMar>
              <w:top w:type="dxa" w:w="90"/>
              <w:left w:type="dxa" w:w="130"/>
              <w:bottom w:type="dxa" w:w="90"/>
              <w:right w:type="dxa" w:w="130"/>
            </w:tcMar>
          </w:tcPr>
          <w:p>
            <w:pPr>
              <w:spacing w:after="0" w:before="0" w:line="252"/>
            </w:pPr>
            <w:r>
              <w:rPr>
                <w:b w:val="false"/>
                <w:bCs w:val="false"/>
                <w:color w:val="16181D"/>
                <w:sz w:val="18"/>
                <w:szCs w:val="18"/>
              </w:rPr>
              <w:t xml:space="preserve">many</w:t>
            </w:r>
          </w:p>
        </w:tc>
      </w:tr>
    </w:tbl>
    <w:p>
      <w:pPr>
        <w:spacing w:after="200"/>
      </w:pPr>
    </w:p>
    <w:p>
      <w:pPr>
        <w:spacing w:after="150" w:before="0"/>
      </w:pPr>
      <w:r>
        <w:rPr>
          <w:color w:val="16181D"/>
          <w:sz w:val="21"/>
          <w:szCs w:val="21"/>
        </w:rPr>
        <w:t xml:space="preserve">Two rules need checking against this, neither of them a NEXT problem so much as a case the Phase 1 models were never posed:</w:t>
      </w:r>
    </w:p>
    <w:p>
      <w:pPr>
        <w:pStyle w:val="ListParagraph"/>
        <w:numPr>
          <w:ilvl w:val="0"/>
          <w:numId w:val="3"/>
        </w:numPr>
        <w:spacing w:after="50" w:before="50"/>
      </w:pPr>
      <w:r>
        <w:rPr>
          <w:b/>
          <w:bCs/>
          <w:color w:val="16181D"/>
          <w:sz w:val="21"/>
          <w:szCs w:val="21"/>
        </w:rPr>
        <w:t xml:space="preserve">The </w:t>
      </w:r>
      <w:r>
        <w:rPr>
          <w:rFonts w:ascii="Consolas" w:cs="Consolas" w:eastAsia="Consolas" w:hAnsi="Consolas"/>
          <w:b/>
          <w:bCs/>
          <w:color w:val="B4500C"/>
          <w:sz w:val="18"/>
          <w:szCs w:val="18"/>
        </w:rPr>
        <w:t xml:space="preserve">1.4×</w:t>
      </w:r>
      <w:r>
        <w:rPr>
          <w:b/>
          <w:bCs/>
          <w:color w:val="16181D"/>
          <w:sz w:val="21"/>
          <w:szCs w:val="21"/>
        </w:rPr>
        <w:t xml:space="preserve"> margin floor.</w:t>
      </w:r>
      <w:r>
        <w:rPr>
          <w:color w:val="16181D"/>
          <w:sz w:val="21"/>
          <w:szCs w:val="21"/>
        </w:rPr>
        <w:t xml:space="preserve"> </w:t>
      </w:r>
      <w:r>
        <w:rPr>
          <w:rFonts w:ascii="Consolas" w:cs="Consolas" w:eastAsia="Consolas" w:hAnsi="Consolas"/>
          <w:color w:val="B4500C"/>
          <w:sz w:val="18"/>
          <w:szCs w:val="18"/>
        </w:rPr>
        <w:t xml:space="preserve">P0-PMO-13</w:t>
      </w:r>
      <w:r>
        <w:rPr>
          <w:color w:val="16181D"/>
          <w:sz w:val="21"/>
          <w:szCs w:val="21"/>
        </w:rPr>
        <w:t xml:space="preserve"> §2 applies it </w:t>
      </w:r>
      <w:r>
        <w:rPr>
          <w:i/>
          <w:iCs/>
          <w:color w:val="16181D"/>
          <w:sz w:val="21"/>
          <w:szCs w:val="21"/>
        </w:rPr>
        <w:t xml:space="preserve">per campaign-order line</w:t>
      </w:r>
      <w:r>
        <w:rPr>
          <w:color w:val="16181D"/>
          <w:sz w:val="21"/>
          <w:szCs w:val="21"/>
        </w:rPr>
        <w:t xml:space="preserve">, so a pure ad sale is correct by construction — no order line, nothing to evaluate — and a hybrid package's NIL lines are checked exactly as they are today. The one thing to confirm with </w:t>
      </w:r>
      <w:r>
        <w:rPr>
          <w:rFonts w:ascii="Consolas" w:cs="Consolas" w:eastAsia="Consolas" w:hAnsi="Consolas"/>
          <w:color w:val="B4500C"/>
          <w:sz w:val="18"/>
          <w:szCs w:val="18"/>
        </w:rPr>
        <w:t xml:space="preserve">P3-BE-12</w:t>
      </w:r>
      <w:r>
        <w:rPr>
          <w:color w:val="16181D"/>
          <w:sz w:val="21"/>
          <w:szCs w:val="21"/>
        </w:rPr>
        <w:t xml:space="preserve">'s author: if the check ever compares a </w:t>
      </w:r>
      <w:r>
        <w:rPr>
          <w:b/>
          <w:bCs/>
          <w:color w:val="16181D"/>
          <w:sz w:val="21"/>
          <w:szCs w:val="21"/>
        </w:rPr>
        <w:t xml:space="preserve">package price</w:t>
      </w:r>
      <w:r>
        <w:rPr>
          <w:color w:val="16181D"/>
          <w:sz w:val="21"/>
          <w:szCs w:val="21"/>
        </w:rPr>
        <w:t xml:space="preserve"> against summed athlete cost rather than going line by line, a hybrid package's ad revenue would inflate the apparent margin and hide a losing NIL line behind a profitable page.</w:t>
      </w:r>
    </w:p>
    <w:p>
      <w:pPr>
        <w:pStyle w:val="ListParagraph"/>
        <w:numPr>
          <w:ilvl w:val="0"/>
          <w:numId w:val="3"/>
        </w:numPr>
        <w:spacing w:after="50" w:before="50"/>
      </w:pPr>
      <w:r>
        <w:rPr>
          <w:b/>
          <w:bCs/>
          <w:color w:val="16181D"/>
          <w:sz w:val="21"/>
          <w:szCs w:val="21"/>
        </w:rPr>
        <w:t xml:space="preserve">The </w:t>
      </w:r>
      <w:r>
        <w:rPr>
          <w:rFonts w:ascii="Consolas" w:cs="Consolas" w:eastAsia="Consolas" w:hAnsi="Consolas"/>
          <w:b/>
          <w:bCs/>
          <w:color w:val="B4500C"/>
          <w:sz w:val="18"/>
          <w:szCs w:val="18"/>
        </w:rPr>
        <w:t xml:space="preserve">Campaign</w:t>
      </w:r>
      <w:r>
        <w:rPr>
          <w:b/>
          <w:bCs/>
          <w:color w:val="16181D"/>
          <w:sz w:val="21"/>
          <w:szCs w:val="21"/>
        </w:rPr>
        <w:t xml:space="preserve"> state machine.</w:t>
      </w:r>
      <w:r>
        <w:rPr>
          <w:color w:val="16181D"/>
          <w:sz w:val="21"/>
          <w:szCs w:val="21"/>
        </w:rPr>
        <w:t xml:space="preserve"> </w:t>
      </w:r>
      <w:r>
        <w:rPr>
          <w:rFonts w:ascii="Consolas" w:cs="Consolas" w:eastAsia="Consolas" w:hAnsi="Consolas"/>
          <w:color w:val="B4500C"/>
          <w:sz w:val="18"/>
          <w:szCs w:val="18"/>
        </w:rPr>
        <w:t xml:space="preserve">DRAFT → STAFFING → APPROVAL → ACTIVE → REPORTING → COMPLETED</w:t>
      </w:r>
      <w:r>
        <w:rPr>
          <w:color w:val="16181D"/>
          <w:sz w:val="21"/>
          <w:szCs w:val="21"/>
        </w:rPr>
        <w:t xml:space="preserve"> assumes athletes to staff. A pure ad campaign has none and would sit in </w:t>
      </w:r>
      <w:r>
        <w:rPr>
          <w:rFonts w:ascii="Consolas" w:cs="Consolas" w:eastAsia="Consolas" w:hAnsi="Consolas"/>
          <w:color w:val="B4500C"/>
          <w:sz w:val="18"/>
          <w:szCs w:val="18"/>
        </w:rPr>
        <w:t xml:space="preserve">STAFFING</w:t>
      </w:r>
      <w:r>
        <w:rPr>
          <w:color w:val="16181D"/>
          <w:sz w:val="21"/>
          <w:szCs w:val="21"/>
        </w:rPr>
        <w:t xml:space="preserve"> with nothing to do. Either ad-only campaigns skip to </w:t>
      </w:r>
      <w:r>
        <w:rPr>
          <w:rFonts w:ascii="Consolas" w:cs="Consolas" w:eastAsia="Consolas" w:hAnsi="Consolas"/>
          <w:color w:val="B4500C"/>
          <w:sz w:val="18"/>
          <w:szCs w:val="18"/>
        </w:rPr>
        <w:t xml:space="preserve">APPROVAL</w:t>
      </w:r>
      <w:r>
        <w:rPr>
          <w:color w:val="16181D"/>
          <w:sz w:val="21"/>
          <w:szCs w:val="21"/>
        </w:rPr>
        <w:t xml:space="preserve">, or an ad sale is not a </w:t>
      </w:r>
      <w:r>
        <w:rPr>
          <w:rFonts w:ascii="Consolas" w:cs="Consolas" w:eastAsia="Consolas" w:hAnsi="Consolas"/>
          <w:color w:val="B4500C"/>
          <w:sz w:val="18"/>
          <w:szCs w:val="18"/>
        </w:rPr>
        <w:t xml:space="preserve">Campaign</w:t>
      </w:r>
      <w:r>
        <w:rPr>
          <w:color w:val="16181D"/>
          <w:sz w:val="21"/>
          <w:szCs w:val="21"/>
        </w:rPr>
        <w:t xml:space="preserve"> at all and attaches to the </w:t>
      </w:r>
      <w:r>
        <w:rPr>
          <w:rFonts w:ascii="Consolas" w:cs="Consolas" w:eastAsia="Consolas" w:hAnsi="Consolas"/>
          <w:color w:val="B4500C"/>
          <w:sz w:val="18"/>
          <w:szCs w:val="18"/>
        </w:rPr>
        <w:t xml:space="preserve">Edition</w:t>
      </w:r>
      <w:r>
        <w:rPr>
          <w:color w:val="16181D"/>
          <w:sz w:val="21"/>
          <w:szCs w:val="21"/>
        </w:rPr>
        <w:t xml:space="preserve"> directly. </w:t>
      </w:r>
      <w:r>
        <w:rPr>
          <w:b/>
          <w:bCs/>
          <w:color w:val="16181D"/>
          <w:sz w:val="21"/>
          <w:szCs w:val="21"/>
        </w:rPr>
        <w:t xml:space="preserve">Unresolved — §12.</w:t>
      </w:r>
    </w:p>
    <w:p>
      <w:pPr>
        <w:pStyle w:val="Heading2"/>
        <w:spacing w:after="120" w:before="280"/>
      </w:pPr>
      <w:r>
        <w:rPr>
          <w:b/>
          <w:bCs/>
          <w:color w:val="16181D"/>
          <w:sz w:val="23"/>
          <w:szCs w:val="23"/>
        </w:rPr>
        <w:t xml:space="preserve">5.3 · </w:t>
      </w:r>
      <w:r>
        <w:rPr>
          <w:rFonts w:ascii="Consolas" w:cs="Consolas" w:eastAsia="Consolas" w:hAnsi="Consolas"/>
          <w:b/>
          <w:bCs/>
          <w:color w:val="B4500C"/>
          <w:sz w:val="20"/>
          <w:szCs w:val="20"/>
        </w:rPr>
        <w:t xml:space="preserve">RevenueSplit</w:t>
      </w:r>
      <w:r>
        <w:rPr>
          <w:b/>
          <w:bCs/>
          <w:color w:val="16181D"/>
          <w:sz w:val="23"/>
          <w:szCs w:val="23"/>
        </w:rPr>
        <w:t xml:space="preserve"> — and </w:t>
      </w:r>
      <w:r>
        <w:rPr>
          <w:rFonts w:ascii="Consolas" w:cs="Consolas" w:eastAsia="Consolas" w:hAnsi="Consolas"/>
          <w:b/>
          <w:bCs/>
          <w:color w:val="B4500C"/>
          <w:sz w:val="20"/>
          <w:szCs w:val="20"/>
        </w:rPr>
        <w:t xml:space="preserve">Earning</w:t>
      </w:r>
      <w:r>
        <w:rPr>
          <w:b/>
          <w:bCs/>
          <w:color w:val="16181D"/>
          <w:sz w:val="23"/>
          <w:szCs w:val="23"/>
        </w:rPr>
        <w:t xml:space="preserve"> left alone</w:t>
      </w:r>
    </w:p>
    <w:p>
      <w:pPr>
        <w:spacing w:after="150" w:before="0"/>
      </w:pPr>
      <w:r>
        <w:rPr>
          <w:color w:val="16181D"/>
          <w:sz w:val="21"/>
          <w:szCs w:val="21"/>
        </w:rPr>
        <w:t xml:space="preserve">The source document splits net revenue four ways: SponsorX 35% / school 25% / student pool 25% / editorial fund 15%.</w:t>
      </w:r>
    </w:p>
    <w:p>
      <w:pPr>
        <w:spacing w:after="150" w:before="0"/>
      </w:pPr>
      <w:r>
        <w:rPr>
          <w:rFonts w:ascii="Consolas" w:cs="Consolas" w:eastAsia="Consolas" w:hAnsi="Consolas"/>
          <w:color w:val="B4500C"/>
          <w:sz w:val="18"/>
          <w:szCs w:val="18"/>
        </w:rPr>
        <w:t xml:space="preserve">Earning</w:t>
      </w:r>
      <w:r>
        <w:rPr>
          <w:color w:val="16181D"/>
          <w:sz w:val="21"/>
          <w:szCs w:val="21"/>
        </w:rPr>
        <w:t xml:space="preserve"> cannot express this and should not be made to. It is one order → one athlete → one gross, indexed </w:t>
      </w:r>
      <w:r>
        <w:rPr>
          <w:rFonts w:ascii="Consolas" w:cs="Consolas" w:eastAsia="Consolas" w:hAnsi="Consolas"/>
          <w:color w:val="B4500C"/>
          <w:sz w:val="18"/>
          <w:szCs w:val="18"/>
        </w:rPr>
        <w:t xml:space="preserve">[athleteId, taxYear]</w:t>
      </w:r>
      <w:r>
        <w:rPr>
          <w:color w:val="16181D"/>
          <w:sz w:val="21"/>
          <w:szCs w:val="21"/>
        </w:rPr>
        <w:t xml:space="preserve"> for year-end reporting, and the payment policy gate has already fixed its meaning. Making it polymorphic would put schools, internal funds and minors' scholarship pools into the table finance reconciles athlete payouts from.</w:t>
      </w:r>
    </w:p>
    <w:p>
      <w:pPr>
        <w:spacing w:after="150" w:before="0"/>
      </w:pPr>
      <w:r>
        <w:rPr>
          <w:color w:val="16181D"/>
          <w:sz w:val="21"/>
          <w:szCs w:val="21"/>
        </w:rPr>
        <w:t xml:space="preserve">So: a separate </w:t>
      </w:r>
      <w:r>
        <w:rPr>
          <w:rFonts w:ascii="Consolas" w:cs="Consolas" w:eastAsia="Consolas" w:hAnsi="Consolas"/>
          <w:color w:val="B4500C"/>
          <w:sz w:val="18"/>
          <w:szCs w:val="18"/>
        </w:rPr>
        <w:t xml:space="preserve">RevenueSplit</w:t>
      </w:r>
      <w:r>
        <w:rPr>
          <w:color w:val="16181D"/>
          <w:sz w:val="21"/>
          <w:szCs w:val="21"/>
        </w:rPr>
        <w:t xml:space="preserve">, attached to the </w:t>
      </w:r>
      <w:r>
        <w:rPr>
          <w:rFonts w:ascii="Consolas" w:cs="Consolas" w:eastAsia="Consolas" w:hAnsi="Consolas"/>
          <w:color w:val="B4500C"/>
          <w:sz w:val="18"/>
          <w:szCs w:val="18"/>
        </w:rPr>
        <w:t xml:space="preserve">Edition</w:t>
      </w:r>
      <w:r>
        <w:rPr>
          <w:color w:val="16181D"/>
          <w:sz w:val="21"/>
          <w:szCs w:val="21"/>
        </w:rPr>
        <w:t xml:space="preserve">, with a </w:t>
      </w:r>
      <w:r>
        <w:rPr>
          <w:rFonts w:ascii="Consolas" w:cs="Consolas" w:eastAsia="Consolas" w:hAnsi="Consolas"/>
          <w:color w:val="B4500C"/>
          <w:sz w:val="18"/>
          <w:szCs w:val="18"/>
        </w:rPr>
        <w:t xml:space="preserve">payeeKind</w:t>
      </w:r>
      <w:r>
        <w:rPr>
          <w:color w:val="16181D"/>
          <w:sz w:val="21"/>
          <w:szCs w:val="21"/>
        </w:rPr>
        <w:t xml:space="preserve"> (</w:t>
      </w:r>
      <w:r>
        <w:rPr>
          <w:rFonts w:ascii="Consolas" w:cs="Consolas" w:eastAsia="Consolas" w:hAnsi="Consolas"/>
          <w:color w:val="B4500C"/>
          <w:sz w:val="18"/>
          <w:szCs w:val="18"/>
        </w:rPr>
        <w:t xml:space="preserve">SPONSORX | SCHOOL | STUDENT_POOL | EDITORIAL_FUND</w:t>
      </w:r>
      <w:r>
        <w:rPr>
          <w:color w:val="16181D"/>
          <w:sz w:val="21"/>
          <w:szCs w:val="21"/>
        </w:rPr>
        <w:t xml:space="preserve">), a basis-points share, a computed amount in cents, and its own state. </w:t>
      </w:r>
      <w:r>
        <w:rPr>
          <w:rFonts w:ascii="Consolas" w:cs="Consolas" w:eastAsia="Consolas" w:hAnsi="Consolas"/>
          <w:color w:val="B4500C"/>
          <w:sz w:val="18"/>
          <w:szCs w:val="18"/>
        </w:rPr>
        <w:t xml:space="preserve">Earning</w:t>
      </w:r>
      <w:r>
        <w:rPr>
          <w:color w:val="16181D"/>
          <w:sz w:val="21"/>
          <w:szCs w:val="21"/>
        </w:rPr>
        <w:t xml:space="preserve"> stays exactly what it is and continues to mean athlete NIL compensation. Where a NEXT campaign includes real NIL work, that athlete's compensation is an ordinary </w:t>
      </w:r>
      <w:r>
        <w:rPr>
          <w:rFonts w:ascii="Consolas" w:cs="Consolas" w:eastAsia="Consolas" w:hAnsi="Consolas"/>
          <w:color w:val="B4500C"/>
          <w:sz w:val="18"/>
          <w:szCs w:val="18"/>
        </w:rPr>
        <w:t xml:space="preserve">Earning</w:t>
      </w:r>
      <w:r>
        <w:rPr>
          <w:color w:val="16181D"/>
          <w:sz w:val="21"/>
          <w:szCs w:val="21"/>
        </w:rPr>
        <w:t xml:space="preserve"> as always — the split applies to what is left after costs, not to the athlete line.</w:t>
      </w:r>
    </w:p>
    <w:p>
      <w:pPr>
        <w:pStyle w:val="Heading2"/>
        <w:spacing w:after="120" w:before="280"/>
      </w:pPr>
      <w:r>
        <w:rPr>
          <w:b/>
          <w:bCs/>
          <w:color w:val="16181D"/>
          <w:sz w:val="23"/>
          <w:szCs w:val="23"/>
        </w:rPr>
        <w:t xml:space="preserve">5.4 · </w:t>
      </w:r>
      <w:r>
        <w:rPr>
          <w:rFonts w:ascii="Consolas" w:cs="Consolas" w:eastAsia="Consolas" w:hAnsi="Consolas"/>
          <w:b/>
          <w:bCs/>
          <w:color w:val="B4500C"/>
          <w:sz w:val="20"/>
          <w:szCs w:val="20"/>
        </w:rPr>
        <w:t xml:space="preserve">StudentPoints</w:t>
      </w:r>
      <w:r>
        <w:rPr>
          <w:b/>
          <w:bCs/>
          <w:color w:val="16181D"/>
          <w:sz w:val="23"/>
          <w:szCs w:val="23"/>
        </w:rPr>
        <w:t xml:space="preserve"> — and why it is not money</w:t>
      </w:r>
    </w:p>
    <w:p>
      <w:pPr>
        <w:spacing w:after="150" w:before="0"/>
      </w:pPr>
      <w:r>
        <w:rPr>
          <w:color w:val="16181D"/>
          <w:sz w:val="21"/>
          <w:szCs w:val="21"/>
        </w:rPr>
        <w:t xml:space="preserve">Points: 50 an article, 25 an interview, 25 a business appointment, 100 per $500 sold. They unlock merchandise, equipment, internships, credentials and scholarship consideration.</w:t>
      </w:r>
    </w:p>
    <w:p>
      <w:pPr>
        <w:spacing w:after="150" w:before="0"/>
      </w:pPr>
      <w:r>
        <w:rPr>
          <w:color w:val="16181D"/>
          <w:sz w:val="21"/>
          <w:szCs w:val="21"/>
        </w:rPr>
        <w:t xml:space="preserve">A points ledger is a separate model with </w:t>
      </w:r>
      <w:r>
        <w:rPr>
          <w:b/>
          <w:bCs/>
          <w:color w:val="16181D"/>
          <w:sz w:val="21"/>
          <w:szCs w:val="21"/>
        </w:rPr>
        <w:t xml:space="preserve">no </w:t>
      </w:r>
      <w:r>
        <w:rPr>
          <w:rFonts w:ascii="Consolas" w:cs="Consolas" w:eastAsia="Consolas" w:hAnsi="Consolas"/>
          <w:b/>
          <w:bCs/>
          <w:color w:val="B4500C"/>
          <w:sz w:val="18"/>
          <w:szCs w:val="18"/>
        </w:rPr>
        <w:t xml:space="preserve">EarningState</w:t>
      </w:r>
      <w:r>
        <w:rPr>
          <w:b/>
          <w:bCs/>
          <w:color w:val="16181D"/>
          <w:sz w:val="21"/>
          <w:szCs w:val="21"/>
        </w:rPr>
        <w:t xml:space="preserve">, no </w:t>
      </w:r>
      <w:r>
        <w:rPr>
          <w:rFonts w:ascii="Consolas" w:cs="Consolas" w:eastAsia="Consolas" w:hAnsi="Consolas"/>
          <w:b/>
          <w:bCs/>
          <w:color w:val="B4500C"/>
          <w:sz w:val="18"/>
          <w:szCs w:val="18"/>
        </w:rPr>
        <w:t xml:space="preserve">taxYear</w:t>
      </w:r>
      <w:r>
        <w:rPr>
          <w:b/>
          <w:bCs/>
          <w:color w:val="16181D"/>
          <w:sz w:val="21"/>
          <w:szCs w:val="21"/>
        </w:rPr>
        <w:t xml:space="preserve">, no cents column, and no relation to </w:t>
      </w:r>
      <w:r>
        <w:rPr>
          <w:rFonts w:ascii="Consolas" w:cs="Consolas" w:eastAsia="Consolas" w:hAnsi="Consolas"/>
          <w:b/>
          <w:bCs/>
          <w:color w:val="B4500C"/>
          <w:sz w:val="18"/>
          <w:szCs w:val="18"/>
        </w:rPr>
        <w:t xml:space="preserve">Earning</w:t>
      </w:r>
      <w:r>
        <w:rPr>
          <w:color w:val="16181D"/>
          <w:sz w:val="21"/>
          <w:szCs w:val="21"/>
        </w:rPr>
        <w:t xml:space="preserve">. The separation is not tidiness. If points and cents share a table, a finance reconciliation of athlete payouts starts returning minors' scholarship balances, and the thing the source document is carefully avoiding — informal money to minors — arrives through the database instead of through a decision.</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6 · Attribution — a third namespace, not a fourth use of </w:t>
      </w:r>
      <w:r>
        <w:rPr>
          <w:rFonts w:ascii="Consolas" w:cs="Consolas" w:eastAsia="Consolas" w:hAnsi="Consolas"/>
          <w:b/>
          <w:bCs/>
          <w:color w:val="B4500C"/>
          <w:sz w:val="24"/>
          <w:szCs w:val="24"/>
        </w:rPr>
        <w:t xml:space="preserve">TrackingLink</w:t>
      </w:r>
    </w:p>
    <w:p>
      <w:pPr>
        <w:spacing w:after="150" w:before="0"/>
      </w:pPr>
      <w:r>
        <w:rPr>
          <w:color w:val="16181D"/>
          <w:sz w:val="21"/>
          <w:szCs w:val="21"/>
        </w:rPr>
        <w:t xml:space="preserve">A student sales code (</w:t>
      </w:r>
      <w:r>
        <w:rPr>
          <w:rFonts w:ascii="Consolas" w:cs="Consolas" w:eastAsia="Consolas" w:hAnsi="Consolas"/>
          <w:color w:val="B4500C"/>
          <w:sz w:val="18"/>
          <w:szCs w:val="18"/>
        </w:rPr>
        <w:t xml:space="preserve">JORDAN25</w:t>
      </w:r>
      <w:r>
        <w:rPr>
          <w:color w:val="16181D"/>
          <w:sz w:val="21"/>
          <w:szCs w:val="21"/>
        </w:rPr>
        <w:t xml:space="preserve">) is a third attribution subject. The schema already carries a scar from collapsing the first two:</w:t>
      </w:r>
    </w:p>
    <w:p>
      <w:pPr>
        <w:pBdr>
          <w:left w:val="single" w:color="B4500C" w:sz="12" w:space="14"/>
        </w:pBdr>
        <w:spacing w:after="190" w:before="150"/>
        <w:ind w:left="400"/>
      </w:pPr>
      <w:r>
        <w:rPr>
          <w:b w:val="false"/>
          <w:bCs w:val="false"/>
          <w:i/>
          <w:iCs/>
          <w:color w:val="5C6373"/>
          <w:sz w:val="20"/>
          <w:szCs w:val="20"/>
        </w:rPr>
        <w:t xml:space="preserve">A tracking link measures AN ATHLETE'S DELIVERABLE. A reward token measures A FAN'S JOURNEY. V1 collapsed them and wrote a TrackingLink id into a field that foreign-keys RewardToken; that bug is the reason these are separate.</w:t>
      </w:r>
    </w:p>
    <w:p>
      <w:pPr>
        <w:spacing w:after="150" w:before="0"/>
      </w:pPr>
      <w:r>
        <w:rPr>
          <w:color w:val="16181D"/>
          <w:sz w:val="21"/>
          <w:szCs w:val="21"/>
        </w:rPr>
        <w:t xml:space="preserve">A student's sale is neither. </w:t>
      </w:r>
      <w:r>
        <w:rPr>
          <w:rFonts w:ascii="Consolas" w:cs="Consolas" w:eastAsia="Consolas" w:hAnsi="Consolas"/>
          <w:color w:val="B4500C"/>
          <w:sz w:val="18"/>
          <w:szCs w:val="18"/>
        </w:rPr>
        <w:t xml:space="preserve">TrackingLink.deliverableId</w:t>
      </w:r>
      <w:r>
        <w:rPr>
          <w:color w:val="16181D"/>
          <w:sz w:val="21"/>
          <w:szCs w:val="21"/>
        </w:rPr>
        <w:t xml:space="preserve"> is </w:t>
      </w:r>
      <w:r>
        <w:rPr>
          <w:rFonts w:ascii="Consolas" w:cs="Consolas" w:eastAsia="Consolas" w:hAnsi="Consolas"/>
          <w:color w:val="B4500C"/>
          <w:sz w:val="18"/>
          <w:szCs w:val="18"/>
        </w:rPr>
        <w:t xml:space="preserve">@unique</w:t>
      </w:r>
      <w:r>
        <w:rPr>
          <w:color w:val="16181D"/>
          <w:sz w:val="21"/>
          <w:szCs w:val="21"/>
        </w:rPr>
        <w:t xml:space="preserve"> and non-null by design, and a sales code belongs to a person across many sales. Relaxing it to fit would repeat the exact mistake the comment is a monument to.</w:t>
      </w:r>
    </w:p>
    <w:p>
      <w:pPr>
        <w:spacing w:after="150" w:before="0"/>
      </w:pPr>
      <w:r>
        <w:rPr>
          <w:rFonts w:ascii="Consolas" w:cs="Consolas" w:eastAsia="Consolas" w:hAnsi="Consolas"/>
          <w:color w:val="B4500C"/>
          <w:sz w:val="18"/>
          <w:szCs w:val="18"/>
        </w:rPr>
        <w:t xml:space="preserve">StudentCode</w:t>
      </w:r>
      <w:r>
        <w:rPr>
          <w:color w:val="16181D"/>
          <w:sz w:val="21"/>
          <w:szCs w:val="21"/>
        </w:rPr>
        <w:t xml:space="preserve"> + </w:t>
      </w:r>
      <w:r>
        <w:rPr>
          <w:rFonts w:ascii="Consolas" w:cs="Consolas" w:eastAsia="Consolas" w:hAnsi="Consolas"/>
          <w:color w:val="B4500C"/>
          <w:sz w:val="18"/>
          <w:szCs w:val="18"/>
        </w:rPr>
        <w:t xml:space="preserve">SaleAttribution</w:t>
      </w:r>
      <w:r>
        <w:rPr>
          <w:color w:val="16181D"/>
          <w:sz w:val="21"/>
          <w:szCs w:val="21"/>
        </w:rPr>
        <w:t xml:space="preserve"> are their own models with the same </w:t>
      </w:r>
      <w:r>
        <w:rPr>
          <w:i/>
          <w:iCs/>
          <w:color w:val="16181D"/>
          <w:sz w:val="21"/>
          <w:szCs w:val="21"/>
        </w:rPr>
        <w:t xml:space="preserve">shape</w:t>
      </w:r>
      <w:r>
        <w:rPr>
          <w:color w:val="16181D"/>
          <w:sz w:val="21"/>
          <w:szCs w:val="21"/>
        </w:rPr>
        <w:t xml:space="preserve"> — opaque code, event rows, never a counter — resolved at </w:t>
      </w:r>
      <w:r>
        <w:rPr>
          <w:rFonts w:ascii="Consolas" w:cs="Consolas" w:eastAsia="Consolas" w:hAnsi="Consolas"/>
          <w:color w:val="B4500C"/>
          <w:sz w:val="18"/>
          <w:szCs w:val="18"/>
        </w:rPr>
        <w:t xml:space="preserve">/s/[code]</w:t>
      </w:r>
      <w:r>
        <w:rPr>
          <w:color w:val="16181D"/>
          <w:sz w:val="21"/>
          <w:szCs w:val="21"/>
        </w:rPr>
        <w:t xml:space="preserve">. Three short routes (</w:t>
      </w:r>
      <w:r>
        <w:rPr>
          <w:rFonts w:ascii="Consolas" w:cs="Consolas" w:eastAsia="Consolas" w:hAnsi="Consolas"/>
          <w:color w:val="B4500C"/>
          <w:sz w:val="18"/>
          <w:szCs w:val="18"/>
        </w:rPr>
        <w:t xml:space="preserve">/t/</w:t>
      </w:r>
      <w:r>
        <w:rPr>
          <w:color w:val="16181D"/>
          <w:sz w:val="21"/>
          <w:szCs w:val="21"/>
        </w:rPr>
        <w:t xml:space="preserve">, </w:t>
      </w:r>
      <w:r>
        <w:rPr>
          <w:rFonts w:ascii="Consolas" w:cs="Consolas" w:eastAsia="Consolas" w:hAnsi="Consolas"/>
          <w:color w:val="B4500C"/>
          <w:sz w:val="18"/>
          <w:szCs w:val="18"/>
        </w:rPr>
        <w:t xml:space="preserve">/r/</w:t>
      </w:r>
      <w:r>
        <w:rPr>
          <w:color w:val="16181D"/>
          <w:sz w:val="21"/>
          <w:szCs w:val="21"/>
        </w:rPr>
        <w:t xml:space="preserve">, </w:t>
      </w:r>
      <w:r>
        <w:rPr>
          <w:rFonts w:ascii="Consolas" w:cs="Consolas" w:eastAsia="Consolas" w:hAnsi="Consolas"/>
          <w:color w:val="B4500C"/>
          <w:sz w:val="18"/>
          <w:szCs w:val="18"/>
        </w:rPr>
        <w:t xml:space="preserve">/s/</w:t>
      </w:r>
      <w:r>
        <w:rPr>
          <w:color w:val="16181D"/>
          <w:sz w:val="21"/>
          <w:szCs w:val="21"/>
        </w:rPr>
        <w:t xml:space="preserve">) with three clear subjects beats one that has to ask what it is looking at.</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7 · Roles</w:t>
      </w:r>
    </w:p>
    <w:p>
      <w:pPr>
        <w:spacing w:after="150" w:before="0"/>
      </w:pPr>
      <w:r>
        <w:rPr>
          <w:color w:val="16181D"/>
          <w:sz w:val="21"/>
          <w:szCs w:val="21"/>
        </w:rPr>
        <w:t xml:space="preserve">Two additions to the </w:t>
      </w:r>
      <w:r>
        <w:rPr>
          <w:rFonts w:ascii="Consolas" w:cs="Consolas" w:eastAsia="Consolas" w:hAnsi="Consolas"/>
          <w:color w:val="B4500C"/>
          <w:sz w:val="18"/>
          <w:szCs w:val="18"/>
        </w:rPr>
        <w:t xml:space="preserve">Role</w:t>
      </w:r>
      <w:r>
        <w:rPr>
          <w:color w:val="16181D"/>
          <w:sz w:val="21"/>
          <w:szCs w:val="21"/>
        </w:rPr>
        <w:t xml:space="preserve"> enum:</w:t>
      </w:r>
    </w:p>
    <w:tbl>
      <w:tblPr>
        <w:tblW w:type="dxa" w:w="9360"/>
        <w:tblBorders>
          <w:top w:val="single" w:color="D5D9E2" w:sz="4"/>
          <w:left w:val="single" w:color="D5D9E2" w:sz="4"/>
          <w:bottom w:val="single" w:color="D5D9E2" w:sz="4"/>
          <w:right w:val="single" w:color="D5D9E2" w:sz="4"/>
          <w:insideH w:val="single" w:color="D5D9E2" w:sz="2"/>
          <w:insideV w:val="single" w:color="D5D9E2" w:sz="2"/>
        </w:tblBorders>
      </w:tblPr>
      <w:tblGrid>
        <w:gridCol w:w="4680"/>
        <w:gridCol w:w="4680"/>
      </w:tblGrid>
      <w:tr>
        <w:trPr>
          <w:cantSplit/>
          <w:tblHeader/>
        </w:trPr>
        <w:tc>
          <w:tcPr>
            <w:tcW w:type="dxa" w:w="4680"/>
            <w:shd w:fill="EEF4FB" w:color="auto" w:val="clear"/>
            <w:tcMar>
              <w:top w:type="dxa" w:w="90"/>
              <w:left w:type="dxa" w:w="130"/>
              <w:bottom w:type="dxa" w:w="90"/>
              <w:right w:type="dxa" w:w="130"/>
            </w:tcMar>
          </w:tcPr>
          <w:p>
            <w:pPr>
              <w:spacing w:after="0" w:before="0" w:line="252"/>
            </w:pPr>
            <w:r>
              <w:rPr>
                <w:b/>
                <w:bCs/>
                <w:color w:val="1F6FB2"/>
                <w:sz w:val="18"/>
                <w:szCs w:val="18"/>
              </w:rPr>
              <w:t xml:space="preserve">Role</w:t>
            </w:r>
          </w:p>
        </w:tc>
        <w:tc>
          <w:tcPr>
            <w:tcW w:type="dxa" w:w="4680"/>
            <w:shd w:fill="EEF4FB" w:color="auto" w:val="clear"/>
            <w:tcMar>
              <w:top w:type="dxa" w:w="90"/>
              <w:left w:type="dxa" w:w="130"/>
              <w:bottom w:type="dxa" w:w="90"/>
              <w:right w:type="dxa" w:w="130"/>
            </w:tcMar>
          </w:tcPr>
          <w:p>
            <w:pPr>
              <w:spacing w:after="0" w:before="0" w:line="252"/>
            </w:pPr>
            <w:r>
              <w:rPr>
                <w:b/>
                <w:bCs/>
                <w:color w:val="1F6FB2"/>
                <w:sz w:val="18"/>
                <w:szCs w:val="18"/>
              </w:rPr>
              <w:t xml:space="preserve">Scope</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STUDENT</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Own masthead assignments, own sales and codes, own points. Never another student's sales, never any athlete rate.</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ADVISOR</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The faculty advisor. One school. Reviews student applications and approves student content before it reaches BTG review.</w:t>
            </w:r>
          </w:p>
        </w:tc>
      </w:tr>
    </w:tbl>
    <w:p>
      <w:pPr>
        <w:spacing w:after="200"/>
      </w:pPr>
    </w:p>
    <w:p>
      <w:pPr>
        <w:spacing w:after="150" w:before="0"/>
      </w:pPr>
      <w:r>
        <w:rPr>
          <w:rFonts w:ascii="Consolas" w:cs="Consolas" w:eastAsia="Consolas" w:hAnsi="Consolas"/>
          <w:color w:val="B4500C"/>
          <w:sz w:val="18"/>
          <w:szCs w:val="18"/>
        </w:rPr>
        <w:t xml:space="preserve">PROPERTY_MGR</w:t>
      </w:r>
      <w:r>
        <w:rPr>
          <w:color w:val="16181D"/>
          <w:sz w:val="21"/>
          <w:szCs w:val="21"/>
        </w:rPr>
        <w:t xml:space="preserve"> is deliberately </w:t>
      </w:r>
      <w:r>
        <w:rPr>
          <w:b/>
          <w:bCs/>
          <w:color w:val="16181D"/>
          <w:sz w:val="21"/>
          <w:szCs w:val="21"/>
        </w:rPr>
        <w:t xml:space="preserve">not</w:t>
      </w:r>
      <w:r>
        <w:rPr>
          <w:color w:val="16181D"/>
          <w:sz w:val="21"/>
          <w:szCs w:val="21"/>
        </w:rPr>
        <w:t xml:space="preserve"> reused for the advisor. It scopes to a property's inventory and analytics; an advisor's permissions are editorial and custodial over minors, which is a different set that happens to share a row scope. Two roles with clear permissions beat one role with a comment.</w:t>
      </w:r>
    </w:p>
    <w:p>
      <w:pPr>
        <w:spacing w:after="150" w:before="0"/>
      </w:pPr>
      <w:r>
        <w:rPr>
          <w:color w:val="16181D"/>
          <w:sz w:val="21"/>
          <w:szCs w:val="21"/>
        </w:rPr>
        <w:t xml:space="preserve">Both additions need the </w:t>
      </w:r>
      <w:r>
        <w:rPr>
          <w:rFonts w:ascii="Consolas" w:cs="Consolas" w:eastAsia="Consolas" w:hAnsi="Consolas"/>
          <w:color w:val="B4500C"/>
          <w:sz w:val="18"/>
          <w:szCs w:val="18"/>
        </w:rPr>
        <w:t xml:space="preserve">authz-policy.ts</w:t>
      </w:r>
      <w:r>
        <w:rPr>
          <w:color w:val="16181D"/>
          <w:sz w:val="21"/>
          <w:szCs w:val="21"/>
        </w:rPr>
        <w:t xml:space="preserve"> matrix extended and the tenant-isolation tests grown — the guardrail already names field-level authz as the real risk, and </w:t>
      </w:r>
      <w:r>
        <w:rPr>
          <w:rFonts w:ascii="Consolas" w:cs="Consolas" w:eastAsia="Consolas" w:hAnsi="Consolas"/>
          <w:color w:val="B4500C"/>
          <w:sz w:val="18"/>
          <w:szCs w:val="18"/>
        </w:rPr>
        <w:t xml:space="preserve">AthleteRate.amount</w:t>
      </w:r>
      <w:r>
        <w:rPr>
          <w:color w:val="16181D"/>
          <w:sz w:val="21"/>
          <w:szCs w:val="21"/>
        </w:rPr>
        <w:t xml:space="preserve"> must be invisible to a </w:t>
      </w:r>
      <w:r>
        <w:rPr>
          <w:rFonts w:ascii="Consolas" w:cs="Consolas" w:eastAsia="Consolas" w:hAnsi="Consolas"/>
          <w:color w:val="B4500C"/>
          <w:sz w:val="18"/>
          <w:szCs w:val="18"/>
        </w:rPr>
        <w:t xml:space="preserve">STUDENT</w:t>
      </w:r>
      <w:r>
        <w:rPr>
          <w:color w:val="16181D"/>
          <w:sz w:val="21"/>
          <w:szCs w:val="21"/>
        </w:rPr>
        <w:t xml:space="preserve"> as firmly as it is to a sponsor.</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8 · Routes</w:t>
      </w:r>
    </w:p>
    <w:p>
      <w:pPr>
        <w:spacing w:after="150" w:before="0"/>
      </w:pPr>
      <w:r>
        <w:rPr>
          <w:color w:val="16181D"/>
          <w:sz w:val="21"/>
          <w:szCs w:val="21"/>
        </w:rPr>
        <w:t xml:space="preserve">Following the existing structure, no new patterns:</w:t>
      </w:r>
    </w:p>
    <w:tbl>
      <w:tblPr>
        <w:tblW w:type="dxa" w:w="9360"/>
        <w:tblBorders>
          <w:top w:val="single" w:color="D5D9E2" w:sz="4"/>
          <w:left w:val="single" w:color="D5D9E2" w:sz="4"/>
          <w:bottom w:val="single" w:color="D5D9E2" w:sz="4"/>
          <w:right w:val="single" w:color="D5D9E2" w:sz="4"/>
          <w:insideH w:val="single" w:color="D5D9E2" w:sz="2"/>
          <w:insideV w:val="single" w:color="D5D9E2" w:sz="2"/>
        </w:tblBorders>
      </w:tblPr>
      <w:tblGrid>
        <w:gridCol w:w="4680"/>
        <w:gridCol w:w="4680"/>
      </w:tblGrid>
      <w:tr>
        <w:trPr>
          <w:cantSplit/>
          <w:tblHeader/>
        </w:trPr>
        <w:tc>
          <w:tcPr>
            <w:tcW w:type="dxa" w:w="4680"/>
            <w:shd w:fill="EEF4FB" w:color="auto" w:val="clear"/>
            <w:tcMar>
              <w:top w:type="dxa" w:w="90"/>
              <w:left w:type="dxa" w:w="130"/>
              <w:bottom w:type="dxa" w:w="90"/>
              <w:right w:type="dxa" w:w="130"/>
            </w:tcMar>
          </w:tcPr>
          <w:p>
            <w:pPr>
              <w:spacing w:after="0" w:before="0" w:line="252"/>
            </w:pPr>
            <w:r>
              <w:rPr>
                <w:b/>
                <w:bCs/>
                <w:color w:val="1F6FB2"/>
                <w:sz w:val="18"/>
                <w:szCs w:val="18"/>
              </w:rPr>
              <w:t xml:space="preserve">Route</w:t>
            </w:r>
          </w:p>
        </w:tc>
        <w:tc>
          <w:tcPr>
            <w:tcW w:type="dxa" w:w="4680"/>
            <w:shd w:fill="EEF4FB" w:color="auto" w:val="clear"/>
            <w:tcMar>
              <w:top w:type="dxa" w:w="90"/>
              <w:left w:type="dxa" w:w="130"/>
              <w:bottom w:type="dxa" w:w="90"/>
              <w:right w:type="dxa" w:w="130"/>
            </w:tcMar>
          </w:tcPr>
          <w:p>
            <w:pPr>
              <w:spacing w:after="0" w:before="0" w:line="252"/>
            </w:pPr>
            <w:r>
              <w:rPr>
                <w:b/>
                <w:bCs/>
                <w:color w:val="1F6FB2"/>
                <w:sz w:val="18"/>
                <w:szCs w:val="18"/>
              </w:rPr>
              <w:t xml:space="preserve">Purpose</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(public)/next</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Programme landing — the two audiences in §9</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(public)/next/apply</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"Become the Media" — student application</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(public)/next/schools</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School adoption — administrator-facing</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(public)/next/[school]/[edition]</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Digital edition (deferred — §9.7)</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(app)/next</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Student portal — assignments, sales, codes, points</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(app)/advisor</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Advisor desk — applications, student content review</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(app)/admin/next/editions</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Edition planning and the page map</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(app)/admin/next/inventory</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Ad slot ledger, sold/reserved/open</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(app)/admin/next/production</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Editorial board (reuses </w:t>
            </w:r>
            <w:r>
              <w:rPr>
                <w:rFonts w:ascii="Consolas" w:cs="Consolas" w:eastAsia="Consolas" w:hAnsi="Consolas"/>
                <w:b w:val="false"/>
                <w:bCs w:val="false"/>
                <w:color w:val="B4500C"/>
                <w:sz w:val="15"/>
                <w:szCs w:val="15"/>
              </w:rPr>
              <w:t xml:space="preserve">approvals-desk</w:t>
            </w:r>
            <w:r>
              <w:rPr>
                <w:b w:val="false"/>
                <w:bCs w:val="false"/>
                <w:color w:val="16181D"/>
                <w:sz w:val="18"/>
                <w:szCs w:val="18"/>
              </w:rPr>
              <w:t xml:space="preserve">)</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(app)/admin/next/splits</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Revenue splits per edition</w:t>
            </w:r>
          </w:p>
        </w:tc>
      </w:tr>
      <w:tr>
        <w:trPr>
          <w:cantSplit/>
          <w:tblHeader w:val="false"/>
        </w:trPr>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/s/[code]</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Student sales code resolver</w:t>
            </w:r>
          </w:p>
        </w:tc>
      </w:tr>
    </w:tbl>
    <w:p>
      <w:pPr>
        <w:spacing w:after="200"/>
      </w:pPr>
    </w:p>
    <w:p>
      <w:pPr>
        <w:spacing w:after="150" w:before="0"/>
      </w:pPr>
      <w:r>
        <w:rPr>
          <w:rFonts w:ascii="Consolas" w:cs="Consolas" w:eastAsia="Consolas" w:hAnsi="Consolas"/>
          <w:color w:val="B4500C"/>
          <w:sz w:val="18"/>
          <w:szCs w:val="18"/>
        </w:rPr>
        <w:t xml:space="preserve">/(public)/athletes/[slug]</w:t>
      </w:r>
      <w:r>
        <w:rPr>
          <w:color w:val="16181D"/>
          <w:sz w:val="21"/>
          <w:szCs w:val="21"/>
        </w:rPr>
        <w:t xml:space="preserve"> already serves as the "SCAN TO MEET THE ATHLETE" destination and needs nothing.</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9 · Front-end design impact</w:t>
      </w:r>
    </w:p>
    <w:p>
      <w:pPr>
        <w:spacing w:after="150" w:before="0"/>
      </w:pPr>
      <w:r>
        <w:rPr>
          <w:color w:val="16181D"/>
          <w:sz w:val="21"/>
          <w:szCs w:val="21"/>
        </w:rPr>
        <w:t xml:space="preserve">Less than the feature list suggests, because the portal chrome is already parameterised. But it is not zero, and two of the items are real design work.</w:t>
      </w:r>
    </w:p>
    <w:p>
      <w:pPr>
        <w:pStyle w:val="Heading2"/>
        <w:spacing w:after="120" w:before="280"/>
      </w:pPr>
      <w:r>
        <w:rPr>
          <w:b/>
          <w:bCs/>
          <w:color w:val="16181D"/>
          <w:sz w:val="23"/>
          <w:szCs w:val="23"/>
        </w:rPr>
        <w:t xml:space="preserve">What does not change</w:t>
      </w:r>
    </w:p>
    <w:p>
      <w:pPr>
        <w:spacing w:after="150" w:before="0"/>
      </w:pPr>
      <w:r>
        <w:rPr>
          <w:rFonts w:ascii="Consolas" w:cs="Consolas" w:eastAsia="Consolas" w:hAnsi="Consolas"/>
          <w:color w:val="B4500C"/>
          <w:sz w:val="18"/>
          <w:szCs w:val="18"/>
        </w:rPr>
        <w:t xml:space="preserve">app/globals.css</w:t>
      </w:r>
      <w:r>
        <w:rPr>
          <w:color w:val="16181D"/>
          <w:sz w:val="21"/>
          <w:szCs w:val="21"/>
        </w:rPr>
        <w:t xml:space="preserve"> — the A0 brand palette, the type scale, the surface steps and the A2 light variant are untouched. </w:t>
      </w:r>
      <w:r>
        <w:rPr>
          <w:rFonts w:ascii="Consolas" w:cs="Consolas" w:eastAsia="Consolas" w:hAnsi="Consolas"/>
          <w:color w:val="B4500C"/>
          <w:sz w:val="18"/>
          <w:szCs w:val="18"/>
        </w:rPr>
        <w:t xml:space="preserve">PortalShell</w:t>
      </w:r>
      <w:r>
        <w:rPr>
          <w:color w:val="16181D"/>
          <w:sz w:val="21"/>
          <w:szCs w:val="21"/>
        </w:rPr>
        <w:t xml:space="preserve"> is keyed by a </w:t>
      </w:r>
      <w:r>
        <w:rPr>
          <w:rFonts w:ascii="Consolas" w:cs="Consolas" w:eastAsia="Consolas" w:hAnsi="Consolas"/>
          <w:color w:val="B4500C"/>
          <w:sz w:val="18"/>
          <w:szCs w:val="18"/>
        </w:rPr>
        <w:t xml:space="preserve">Portal</w:t>
      </w:r>
      <w:r>
        <w:rPr>
          <w:color w:val="16181D"/>
          <w:sz w:val="21"/>
          <w:szCs w:val="21"/>
        </w:rPr>
        <w:t xml:space="preserve"> union (</w:t>
      </w:r>
      <w:r>
        <w:rPr>
          <w:rFonts w:ascii="Consolas" w:cs="Consolas" w:eastAsia="Consolas" w:hAnsi="Consolas"/>
          <w:color w:val="B4500C"/>
          <w:sz w:val="18"/>
          <w:szCs w:val="18"/>
        </w:rPr>
        <w:t xml:space="preserve">"sponsor" | "athlete" | "admin" | "property"</w:t>
      </w:r>
      <w:r>
        <w:rPr>
          <w:color w:val="16181D"/>
          <w:sz w:val="21"/>
          <w:szCs w:val="21"/>
        </w:rPr>
        <w:t xml:space="preserve">) into an </w:t>
      </w:r>
      <w:r>
        <w:rPr>
          <w:rFonts w:ascii="Consolas" w:cs="Consolas" w:eastAsia="Consolas" w:hAnsi="Consolas"/>
          <w:color w:val="B4500C"/>
          <w:sz w:val="18"/>
          <w:szCs w:val="18"/>
        </w:rPr>
        <w:t xml:space="preserve">ACCENT</w:t>
      </w:r>
      <w:r>
        <w:rPr>
          <w:color w:val="16181D"/>
          <w:sz w:val="21"/>
          <w:szCs w:val="21"/>
        </w:rPr>
        <w:t xml:space="preserve"> map that resolves </w:t>
      </w:r>
      <w:r>
        <w:rPr>
          <w:rFonts w:ascii="Consolas" w:cs="Consolas" w:eastAsia="Consolas" w:hAnsi="Consolas"/>
          <w:color w:val="B4500C"/>
          <w:sz w:val="18"/>
          <w:szCs w:val="18"/>
        </w:rPr>
        <w:t xml:space="preserve">text</w:t>
      </w:r>
      <w:r>
        <w:rPr>
          <w:color w:val="16181D"/>
          <w:sz w:val="21"/>
          <w:szCs w:val="21"/>
        </w:rPr>
        <w:t xml:space="preserve"> / </w:t>
      </w:r>
      <w:r>
        <w:rPr>
          <w:rFonts w:ascii="Consolas" w:cs="Consolas" w:eastAsia="Consolas" w:hAnsi="Consolas"/>
          <w:color w:val="B4500C"/>
          <w:sz w:val="18"/>
          <w:szCs w:val="18"/>
        </w:rPr>
        <w:t xml:space="preserve">bg</w:t>
      </w:r>
      <w:r>
        <w:rPr>
          <w:color w:val="16181D"/>
          <w:sz w:val="21"/>
          <w:szCs w:val="21"/>
        </w:rPr>
        <w:t xml:space="preserve"> / </w:t>
      </w:r>
      <w:r>
        <w:rPr>
          <w:rFonts w:ascii="Consolas" w:cs="Consolas" w:eastAsia="Consolas" w:hAnsi="Consolas"/>
          <w:color w:val="B4500C"/>
          <w:sz w:val="18"/>
          <w:szCs w:val="18"/>
        </w:rPr>
        <w:t xml:space="preserve">dot</w:t>
      </w:r>
      <w:r>
        <w:rPr>
          <w:color w:val="16181D"/>
          <w:sz w:val="21"/>
          <w:szCs w:val="21"/>
        </w:rPr>
        <w:t xml:space="preserve"> / </w:t>
      </w:r>
      <w:r>
        <w:rPr>
          <w:rFonts w:ascii="Consolas" w:cs="Consolas" w:eastAsia="Consolas" w:hAnsi="Consolas"/>
          <w:color w:val="B4500C"/>
          <w:sz w:val="18"/>
          <w:szCs w:val="18"/>
        </w:rPr>
        <w:t xml:space="preserve">wash</w:t>
      </w:r>
      <w:r>
        <w:rPr>
          <w:color w:val="16181D"/>
          <w:sz w:val="21"/>
          <w:szCs w:val="21"/>
        </w:rPr>
        <w:t xml:space="preserve"> / </w:t>
      </w:r>
      <w:r>
        <w:rPr>
          <w:rFonts w:ascii="Consolas" w:cs="Consolas" w:eastAsia="Consolas" w:hAnsi="Consolas"/>
          <w:color w:val="B4500C"/>
          <w:sz w:val="18"/>
          <w:szCs w:val="18"/>
        </w:rPr>
        <w:t xml:space="preserve">edge</w:t>
      </w:r>
      <w:r>
        <w:rPr>
          <w:color w:val="16181D"/>
          <w:sz w:val="21"/>
          <w:szCs w:val="21"/>
        </w:rPr>
        <w:t xml:space="preserve"> / </w:t>
      </w:r>
      <w:r>
        <w:rPr>
          <w:rFonts w:ascii="Consolas" w:cs="Consolas" w:eastAsia="Consolas" w:hAnsi="Consolas"/>
          <w:color w:val="B4500C"/>
          <w:sz w:val="18"/>
          <w:szCs w:val="18"/>
        </w:rPr>
        <w:t xml:space="preserve">label</w:t>
      </w:r>
      <w:r>
        <w:rPr>
          <w:color w:val="16181D"/>
          <w:sz w:val="21"/>
          <w:szCs w:val="21"/>
        </w:rPr>
        <w:t xml:space="preserve">, and hands the rest to </w:t>
      </w:r>
      <w:r>
        <w:rPr>
          <w:rFonts w:ascii="Consolas" w:cs="Consolas" w:eastAsia="Consolas" w:hAnsi="Consolas"/>
          <w:color w:val="B4500C"/>
          <w:sz w:val="18"/>
          <w:szCs w:val="18"/>
        </w:rPr>
        <w:t xml:space="preserve">PortalNav</w:t>
      </w:r>
      <w:r>
        <w:rPr>
          <w:color w:val="16181D"/>
          <w:sz w:val="21"/>
          <w:szCs w:val="21"/>
        </w:rPr>
        <w:t xml:space="preserve">. A fifth portal is </w:t>
      </w:r>
      <w:r>
        <w:rPr>
          <w:b/>
          <w:bCs/>
          <w:color w:val="16181D"/>
          <w:sz w:val="21"/>
          <w:szCs w:val="21"/>
        </w:rPr>
        <w:t xml:space="preserve">one union member and one </w:t>
      </w:r>
      <w:r>
        <w:rPr>
          <w:rFonts w:ascii="Consolas" w:cs="Consolas" w:eastAsia="Consolas" w:hAnsi="Consolas"/>
          <w:b/>
          <w:bCs/>
          <w:color w:val="B4500C"/>
          <w:sz w:val="18"/>
          <w:szCs w:val="18"/>
        </w:rPr>
        <w:t xml:space="preserve">ACCENT</w:t>
      </w:r>
      <w:r>
        <w:rPr>
          <w:b/>
          <w:bCs/>
          <w:color w:val="16181D"/>
          <w:sz w:val="21"/>
          <w:szCs w:val="21"/>
        </w:rPr>
        <w:t xml:space="preserve"> entry</w:t>
      </w:r>
      <w:r>
        <w:rPr>
          <w:color w:val="16181D"/>
          <w:sz w:val="21"/>
          <w:szCs w:val="21"/>
        </w:rPr>
        <w:t xml:space="preserve"> — the bloom, the hairlines, the watermark and the staggered entrance all follow from it. That is the design system doing its job. Reused wholesale: </w:t>
      </w:r>
      <w:r>
        <w:rPr>
          <w:rFonts w:ascii="Consolas" w:cs="Consolas" w:eastAsia="Consolas" w:hAnsi="Consolas"/>
          <w:color w:val="B4500C"/>
          <w:sz w:val="18"/>
          <w:szCs w:val="18"/>
        </w:rPr>
        <w:t xml:space="preserve">approvals-desk</w:t>
      </w:r>
      <w:r>
        <w:rPr>
          <w:color w:val="16181D"/>
          <w:sz w:val="21"/>
          <w:szCs w:val="21"/>
        </w:rPr>
        <w:t xml:space="preserve">, </w:t>
      </w:r>
      <w:r>
        <w:rPr>
          <w:rFonts w:ascii="Consolas" w:cs="Consolas" w:eastAsia="Consolas" w:hAnsi="Consolas"/>
          <w:color w:val="B4500C"/>
          <w:sz w:val="18"/>
          <w:szCs w:val="18"/>
        </w:rPr>
        <w:t xml:space="preserve">join-wizard</w:t>
      </w:r>
      <w:r>
        <w:rPr>
          <w:color w:val="16181D"/>
          <w:sz w:val="21"/>
          <w:szCs w:val="21"/>
        </w:rPr>
        <w:t xml:space="preserve">, </w:t>
      </w:r>
      <w:r>
        <w:rPr>
          <w:rFonts w:ascii="Consolas" w:cs="Consolas" w:eastAsia="Consolas" w:hAnsi="Consolas"/>
          <w:color w:val="B4500C"/>
          <w:sz w:val="18"/>
          <w:szCs w:val="18"/>
        </w:rPr>
        <w:t xml:space="preserve">filter-kit</w:t>
      </w:r>
      <w:r>
        <w:rPr>
          <w:color w:val="16181D"/>
          <w:sz w:val="21"/>
          <w:szCs w:val="21"/>
        </w:rPr>
        <w:t xml:space="preserve">, </w:t>
      </w:r>
      <w:r>
        <w:rPr>
          <w:rFonts w:ascii="Consolas" w:cs="Consolas" w:eastAsia="Consolas" w:hAnsi="Consolas"/>
          <w:color w:val="B4500C"/>
          <w:sz w:val="18"/>
          <w:szCs w:val="18"/>
        </w:rPr>
        <w:t xml:space="preserve">charts</w:t>
      </w:r>
      <w:r>
        <w:rPr>
          <w:color w:val="16181D"/>
          <w:sz w:val="21"/>
          <w:szCs w:val="21"/>
        </w:rPr>
        <w:t xml:space="preserve">, </w:t>
      </w:r>
      <w:r>
        <w:rPr>
          <w:rFonts w:ascii="Consolas" w:cs="Consolas" w:eastAsia="Consolas" w:hAnsi="Consolas"/>
          <w:color w:val="B4500C"/>
          <w:sz w:val="18"/>
          <w:szCs w:val="18"/>
        </w:rPr>
        <w:t xml:space="preserve">progress-ring</w:t>
      </w:r>
      <w:r>
        <w:rPr>
          <w:color w:val="16181D"/>
          <w:sz w:val="21"/>
          <w:szCs w:val="21"/>
        </w:rPr>
        <w:t xml:space="preserve">, </w:t>
      </w:r>
      <w:r>
        <w:rPr>
          <w:rFonts w:ascii="Consolas" w:cs="Consolas" w:eastAsia="Consolas" w:hAnsi="Consolas"/>
          <w:color w:val="B4500C"/>
          <w:sz w:val="18"/>
          <w:szCs w:val="18"/>
        </w:rPr>
        <w:t xml:space="preserve">count-up</w:t>
      </w:r>
      <w:r>
        <w:rPr>
          <w:color w:val="16181D"/>
          <w:sz w:val="21"/>
          <w:szCs w:val="21"/>
        </w:rPr>
        <w:t xml:space="preserve">, </w:t>
      </w:r>
      <w:r>
        <w:rPr>
          <w:rFonts w:ascii="Consolas" w:cs="Consolas" w:eastAsia="Consolas" w:hAnsi="Consolas"/>
          <w:color w:val="B4500C"/>
          <w:sz w:val="18"/>
          <w:szCs w:val="18"/>
        </w:rPr>
        <w:t xml:space="preserve">athlete-profile-view</w:t>
      </w:r>
      <w:r>
        <w:rPr>
          <w:color w:val="16181D"/>
          <w:sz w:val="21"/>
          <w:szCs w:val="21"/>
        </w:rPr>
        <w:t xml:space="preserve">, </w:t>
      </w:r>
      <w:r>
        <w:rPr>
          <w:rFonts w:ascii="Consolas" w:cs="Consolas" w:eastAsia="Consolas" w:hAnsi="Consolas"/>
          <w:color w:val="B4500C"/>
          <w:sz w:val="18"/>
          <w:szCs w:val="18"/>
        </w:rPr>
        <w:t xml:space="preserve">export-report</w:t>
      </w:r>
      <w:r>
        <w:rPr>
          <w:color w:val="16181D"/>
          <w:sz w:val="21"/>
          <w:szCs w:val="21"/>
        </w:rPr>
        <w:t xml:space="preserve">, </w:t>
      </w:r>
      <w:r>
        <w:rPr>
          <w:rFonts w:ascii="Consolas" w:cs="Consolas" w:eastAsia="Consolas" w:hAnsi="Consolas"/>
          <w:color w:val="B4500C"/>
          <w:sz w:val="18"/>
          <w:szCs w:val="18"/>
        </w:rPr>
        <w:t xml:space="preserve">pagination</w:t>
      </w:r>
      <w:r>
        <w:rPr>
          <w:color w:val="16181D"/>
          <w:sz w:val="21"/>
          <w:szCs w:val="21"/>
        </w:rPr>
        <w:t xml:space="preserve">, </w:t>
      </w:r>
      <w:r>
        <w:rPr>
          <w:rFonts w:ascii="Consolas" w:cs="Consolas" w:eastAsia="Consolas" w:hAnsi="Consolas"/>
          <w:color w:val="B4500C"/>
          <w:sz w:val="18"/>
          <w:szCs w:val="18"/>
        </w:rPr>
        <w:t xml:space="preserve">back-link</w:t>
      </w:r>
      <w:r>
        <w:rPr>
          <w:color w:val="16181D"/>
          <w:sz w:val="21"/>
          <w:szCs w:val="21"/>
        </w:rPr>
        <w:t xml:space="preserve">.</w:t>
      </w:r>
    </w:p>
    <w:p>
      <w:pPr>
        <w:pStyle w:val="Heading2"/>
        <w:spacing w:after="120" w:before="280"/>
      </w:pPr>
      <w:r>
        <w:rPr>
          <w:b/>
          <w:bCs/>
          <w:color w:val="16181D"/>
          <w:sz w:val="23"/>
          <w:szCs w:val="23"/>
        </w:rPr>
        <w:t xml:space="preserve">9.1 · A fifth portal accent — and no logo colour left</w:t>
      </w:r>
    </w:p>
    <w:p>
      <w:pPr>
        <w:spacing w:after="150" w:before="0"/>
      </w:pPr>
      <w:r>
        <w:rPr>
          <w:color w:val="16181D"/>
          <w:sz w:val="21"/>
          <w:szCs w:val="21"/>
        </w:rPr>
        <w:t xml:space="preserve">The four accents are all derived from the logo per A0: athlete blue </w:t>
      </w:r>
      <w:r>
        <w:rPr>
          <w:rFonts w:ascii="Consolas" w:cs="Consolas" w:eastAsia="Consolas" w:hAnsi="Consolas"/>
          <w:color w:val="B4500C"/>
          <w:sz w:val="18"/>
          <w:szCs w:val="18"/>
        </w:rPr>
        <w:t xml:space="preserve">#2E9BF5</w:t>
      </w:r>
      <w:r>
        <w:rPr>
          <w:color w:val="16181D"/>
          <w:sz w:val="21"/>
          <w:szCs w:val="21"/>
        </w:rPr>
        <w:t xml:space="preserve">, sponsor orange </w:t>
      </w:r>
      <w:r>
        <w:rPr>
          <w:rFonts w:ascii="Consolas" w:cs="Consolas" w:eastAsia="Consolas" w:hAnsi="Consolas"/>
          <w:color w:val="B4500C"/>
          <w:sz w:val="18"/>
          <w:szCs w:val="18"/>
        </w:rPr>
        <w:t xml:space="preserve">#F97A1F</w:t>
      </w:r>
      <w:r>
        <w:rPr>
          <w:color w:val="16181D"/>
          <w:sz w:val="21"/>
          <w:szCs w:val="21"/>
        </w:rPr>
        <w:t xml:space="preserve">, admin steel </w:t>
      </w:r>
      <w:r>
        <w:rPr>
          <w:rFonts w:ascii="Consolas" w:cs="Consolas" w:eastAsia="Consolas" w:hAnsi="Consolas"/>
          <w:color w:val="B4500C"/>
          <w:sz w:val="18"/>
          <w:szCs w:val="18"/>
        </w:rPr>
        <w:t xml:space="preserve">#CBD5E1</w:t>
      </w:r>
      <w:r>
        <w:rPr>
          <w:color w:val="16181D"/>
          <w:sz w:val="21"/>
          <w:szCs w:val="21"/>
        </w:rPr>
        <w:t xml:space="preserve">, property soft-blue </w:t>
      </w:r>
      <w:r>
        <w:rPr>
          <w:rFonts w:ascii="Consolas" w:cs="Consolas" w:eastAsia="Consolas" w:hAnsi="Consolas"/>
          <w:color w:val="B4500C"/>
          <w:sz w:val="18"/>
          <w:szCs w:val="18"/>
        </w:rPr>
        <w:t xml:space="preserve">#63B4F8</w:t>
      </w:r>
      <w:r>
        <w:rPr>
          <w:color w:val="16181D"/>
          <w:sz w:val="21"/>
          <w:szCs w:val="21"/>
        </w:rPr>
        <w:t xml:space="preserve">. NEXT needs a fifth and the logo has no more colours in it. Two options:</w:t>
      </w:r>
    </w:p>
    <w:p>
      <w:pPr>
        <w:pStyle w:val="ListParagraph"/>
        <w:numPr>
          <w:ilvl w:val="0"/>
          <w:numId w:val="3"/>
        </w:numPr>
        <w:spacing w:after="50" w:before="50"/>
      </w:pPr>
      <w:r>
        <w:rPr>
          <w:color w:val="16181D"/>
          <w:sz w:val="21"/>
          <w:szCs w:val="21"/>
        </w:rPr>
        <w:t xml:space="preserve">reuse </w:t>
      </w:r>
      <w:r>
        <w:rPr>
          <w:rFonts w:ascii="Consolas" w:cs="Consolas" w:eastAsia="Consolas" w:hAnsi="Consolas"/>
          <w:color w:val="B4500C"/>
          <w:sz w:val="18"/>
          <w:szCs w:val="18"/>
        </w:rPr>
        <w:t xml:space="preserve">--sx-accent</w:t>
      </w:r>
      <w:r>
        <w:rPr>
          <w:color w:val="16181D"/>
          <w:sz w:val="21"/>
          <w:szCs w:val="21"/>
        </w:rPr>
        <w:t xml:space="preserve"> orange, treating NEXT as a sponsor-revenue surface — free, but the sponsor and NEXT portals stop being distinguishable at a glance</w:t>
      </w:r>
    </w:p>
    <w:p>
      <w:pPr>
        <w:pStyle w:val="ListParagraph"/>
        <w:numPr>
          <w:ilvl w:val="0"/>
          <w:numId w:val="3"/>
        </w:numPr>
        <w:spacing w:after="50" w:before="50"/>
      </w:pPr>
      <w:r>
        <w:rPr>
          <w:color w:val="16181D"/>
          <w:sz w:val="21"/>
          <w:szCs w:val="21"/>
        </w:rPr>
        <w:t xml:space="preserve">introduce one new token, which then owes a light-theme value and the </w:t>
      </w:r>
      <w:r>
        <w:rPr>
          <w:rFonts w:ascii="Consolas" w:cs="Consolas" w:eastAsia="Consolas" w:hAnsi="Consolas"/>
          <w:color w:val="B4500C"/>
          <w:sz w:val="18"/>
          <w:szCs w:val="18"/>
        </w:rPr>
        <w:t xml:space="preserve">P1-QA-02</w:t>
      </w:r>
      <w:r>
        <w:rPr>
          <w:color w:val="16181D"/>
          <w:sz w:val="21"/>
          <w:szCs w:val="21"/>
        </w:rPr>
        <w:t xml:space="preserve"> contrast pass in </w:t>
      </w:r>
      <w:r>
        <w:rPr>
          <w:b/>
          <w:bCs/>
          <w:color w:val="16181D"/>
          <w:sz w:val="21"/>
          <w:szCs w:val="21"/>
        </w:rPr>
        <w:t xml:space="preserve">both</w:t>
      </w:r>
      <w:r>
        <w:rPr>
          <w:color w:val="16181D"/>
          <w:sz w:val="21"/>
          <w:szCs w:val="21"/>
        </w:rPr>
        <w:t xml:space="preserve"> themes</w:t>
      </w:r>
    </w:p>
    <w:p>
      <w:pPr>
        <w:spacing w:after="150" w:before="0"/>
      </w:pPr>
      <w:r>
        <w:rPr>
          <w:color w:val="16181D"/>
          <w:sz w:val="21"/>
          <w:szCs w:val="21"/>
        </w:rPr>
        <w:t xml:space="preserve">Recommend the second. It is a brand decision, not a code one, and belongs to whoever owns the logo.</w:t>
      </w:r>
    </w:p>
    <w:p>
      <w:pPr>
        <w:pStyle w:val="Heading2"/>
        <w:spacing w:after="120" w:before="280"/>
      </w:pPr>
      <w:r>
        <w:rPr>
          <w:b/>
          <w:bCs/>
          <w:color w:val="16181D"/>
          <w:sz w:val="23"/>
          <w:szCs w:val="23"/>
        </w:rPr>
        <w:t xml:space="preserve">9.2 · Four nav glyphs</w:t>
      </w:r>
    </w:p>
    <w:p>
      <w:pPr>
        <w:spacing w:after="150" w:before="0"/>
      </w:pPr>
      <w:r>
        <w:rPr>
          <w:rFonts w:ascii="Consolas" w:cs="Consolas" w:eastAsia="Consolas" w:hAnsi="Consolas"/>
          <w:color w:val="B4500C"/>
          <w:sz w:val="18"/>
          <w:szCs w:val="18"/>
        </w:rPr>
        <w:t xml:space="preserve">ICONS</w:t>
      </w:r>
      <w:r>
        <w:rPr>
          <w:color w:val="16181D"/>
          <w:sz w:val="21"/>
          <w:szCs w:val="21"/>
        </w:rPr>
        <w:t xml:space="preserve"> has no book, pen, camera or trophy. Same 24×24 viewBox, 1.6 stroke, round caps and joins.</w:t>
      </w:r>
    </w:p>
    <w:p>
      <w:pPr>
        <w:pStyle w:val="Heading2"/>
        <w:spacing w:after="120" w:before="280"/>
      </w:pPr>
      <w:r>
        <w:rPr>
          <w:b/>
          <w:bCs/>
          <w:color w:val="16181D"/>
          <w:sz w:val="23"/>
          <w:szCs w:val="23"/>
        </w:rPr>
        <w:t xml:space="preserve">9.3 · Three screen archetypes the app has never rendered</w:t>
      </w:r>
    </w:p>
    <w:p>
      <w:pPr>
        <w:pStyle w:val="ListParagraph"/>
        <w:numPr>
          <w:ilvl w:val="0"/>
          <w:numId w:val="3"/>
        </w:numPr>
        <w:spacing w:after="50" w:before="50"/>
      </w:pPr>
      <w:r>
        <w:rPr>
          <w:b/>
          <w:bCs/>
          <w:color w:val="16181D"/>
          <w:sz w:val="21"/>
          <w:szCs w:val="21"/>
        </w:rPr>
        <w:t xml:space="preserve">Edition page map.</w:t>
      </w:r>
      <w:r>
        <w:rPr>
          <w:color w:val="16181D"/>
          <w:sz w:val="21"/>
          <w:szCs w:val="21"/>
        </w:rPr>
        <w:t xml:space="preserve"> Finite positional inventory — a page grid showing sold / reserved / open, the back cover as a singleton, a close date counting down. </w:t>
      </w:r>
      <w:r>
        <w:rPr>
          <w:rFonts w:ascii="Consolas" w:cs="Consolas" w:eastAsia="Consolas" w:hAnsi="Consolas"/>
          <w:color w:val="B4500C"/>
          <w:sz w:val="18"/>
          <w:szCs w:val="18"/>
        </w:rPr>
        <w:t xml:space="preserve">marketplace-catalog</w:t>
      </w:r>
      <w:r>
        <w:rPr>
          <w:color w:val="16181D"/>
          <w:sz w:val="21"/>
          <w:szCs w:val="21"/>
        </w:rPr>
        <w:t xml:space="preserve"> lists packages; nothing in the app renders scarcity against a layout. This is the one genuinely new interaction.</w:t>
      </w:r>
    </w:p>
    <w:p>
      <w:pPr>
        <w:pStyle w:val="ListParagraph"/>
        <w:numPr>
          <w:ilvl w:val="0"/>
          <w:numId w:val="3"/>
        </w:numPr>
        <w:spacing w:after="50" w:before="50"/>
      </w:pPr>
      <w:r>
        <w:rPr>
          <w:b/>
          <w:bCs/>
          <w:color w:val="16181D"/>
          <w:sz w:val="21"/>
          <w:szCs w:val="21"/>
        </w:rPr>
        <w:t xml:space="preserve">Leaderboard.</w:t>
      </w:r>
      <w:r>
        <w:rPr>
          <w:color w:val="16181D"/>
          <w:sz w:val="21"/>
          <w:szCs w:val="21"/>
        </w:rPr>
        <w:t xml:space="preserve"> Ranked, cross-school, with movement and prize tiers. </w:t>
      </w:r>
      <w:r>
        <w:rPr>
          <w:rFonts w:ascii="Consolas" w:cs="Consolas" w:eastAsia="Consolas" w:hAnsi="Consolas"/>
          <w:color w:val="B4500C"/>
          <w:sz w:val="18"/>
          <w:szCs w:val="18"/>
        </w:rPr>
        <w:t xml:space="preserve">charts</w:t>
      </w:r>
      <w:r>
        <w:rPr>
          <w:color w:val="16181D"/>
          <w:sz w:val="21"/>
          <w:szCs w:val="21"/>
        </w:rPr>
        <w:t xml:space="preserve"> and </w:t>
      </w:r>
      <w:r>
        <w:rPr>
          <w:rFonts w:ascii="Consolas" w:cs="Consolas" w:eastAsia="Consolas" w:hAnsi="Consolas"/>
          <w:color w:val="B4500C"/>
          <w:sz w:val="18"/>
          <w:szCs w:val="18"/>
        </w:rPr>
        <w:t xml:space="preserve">count-up</w:t>
      </w:r>
      <w:r>
        <w:rPr>
          <w:color w:val="16181D"/>
          <w:sz w:val="21"/>
          <w:szCs w:val="21"/>
        </w:rPr>
        <w:t xml:space="preserve"> get part of the way; the archetype is new.</w:t>
      </w:r>
    </w:p>
    <w:p>
      <w:pPr>
        <w:pStyle w:val="ListParagraph"/>
        <w:numPr>
          <w:ilvl w:val="0"/>
          <w:numId w:val="3"/>
        </w:numPr>
        <w:spacing w:after="50" w:before="50"/>
      </w:pPr>
      <w:r>
        <w:rPr>
          <w:b/>
          <w:bCs/>
          <w:color w:val="16181D"/>
          <w:sz w:val="21"/>
          <w:szCs w:val="21"/>
        </w:rPr>
        <w:t xml:space="preserve">Points balance and reward catalogue.</w:t>
      </w:r>
      <w:r>
        <w:rPr>
          <w:color w:val="16181D"/>
          <w:sz w:val="21"/>
          <w:szCs w:val="21"/>
        </w:rPr>
        <w:t xml:space="preserve"> Must be visually </w:t>
      </w:r>
      <w:r>
        <w:rPr>
          <w:i/>
          <w:iCs/>
          <w:color w:val="16181D"/>
          <w:sz w:val="21"/>
          <w:szCs w:val="21"/>
        </w:rPr>
        <w:t xml:space="preserve">unlike</w:t>
      </w:r>
      <w:r>
        <w:rPr>
          <w:color w:val="16181D"/>
          <w:sz w:val="21"/>
          <w:szCs w:val="21"/>
        </w:rPr>
        <w:t xml:space="preserve"> </w:t>
      </w:r>
      <w:r>
        <w:rPr>
          <w:rFonts w:ascii="Consolas" w:cs="Consolas" w:eastAsia="Consolas" w:hAnsi="Consolas"/>
          <w:color w:val="B4500C"/>
          <w:sz w:val="18"/>
          <w:szCs w:val="18"/>
        </w:rPr>
        <w:t xml:space="preserve">athlete/earnings</w:t>
      </w:r>
      <w:r>
        <w:rPr>
          <w:color w:val="16181D"/>
          <w:sz w:val="21"/>
          <w:szCs w:val="21"/>
        </w:rPr>
        <w:t xml:space="preserve"> — deliberately. Points are not money, and a student or a parent who reads a points balance as a dollar balance is a legal problem before it is a UX one. Different card, different treatment, no currency glyph anywhere on the screen.</w:t>
      </w:r>
    </w:p>
    <w:p>
      <w:pPr>
        <w:pStyle w:val="Heading2"/>
        <w:spacing w:after="120" w:before="280"/>
      </w:pPr>
      <w:r>
        <w:rPr>
          <w:b/>
          <w:bCs/>
          <w:color w:val="16181D"/>
          <w:sz w:val="23"/>
          <w:szCs w:val="23"/>
        </w:rPr>
        <w:t xml:space="preserve">9.4 · Mobile-first, for the first time</w:t>
      </w:r>
    </w:p>
    <w:p>
      <w:pPr>
        <w:spacing w:after="150" w:before="0"/>
      </w:pPr>
      <w:r>
        <w:rPr>
          <w:color w:val="16181D"/>
          <w:sz w:val="21"/>
          <w:szCs w:val="21"/>
        </w:rPr>
        <w:t xml:space="preserve">Every existing portal is a desk: admin approvals, finance workspace, campaign builder, matching studio. The student portal is the opposite — a sixteen-year-old selling an ad in a parking lot on a phone. </w:t>
      </w:r>
      <w:r>
        <w:rPr>
          <w:rFonts w:ascii="Consolas" w:cs="Consolas" w:eastAsia="Consolas" w:hAnsi="Consolas"/>
          <w:color w:val="B4500C"/>
          <w:sz w:val="18"/>
          <w:szCs w:val="18"/>
        </w:rPr>
        <w:t xml:space="preserve">mobile-nav</w:t>
      </w:r>
      <w:r>
        <w:rPr>
          <w:color w:val="16181D"/>
          <w:sz w:val="21"/>
          <w:szCs w:val="21"/>
        </w:rPr>
        <w:t xml:space="preserve"> exists, but the student routes should be designed at 390px and widened, which is the reverse of how the rest of the app was built.</w:t>
      </w:r>
    </w:p>
    <w:p>
      <w:pPr>
        <w:pStyle w:val="Heading2"/>
        <w:spacing w:after="120" w:before="280"/>
      </w:pPr>
      <w:r>
        <w:rPr>
          <w:b/>
          <w:bCs/>
          <w:color w:val="16181D"/>
          <w:sz w:val="23"/>
          <w:szCs w:val="23"/>
        </w:rPr>
        <w:t xml:space="preserve">9.5 · Two new public audiences</w:t>
      </w:r>
    </w:p>
    <w:p>
      <w:pPr>
        <w:spacing w:after="150" w:before="0"/>
      </w:pPr>
      <w:r>
        <w:rPr>
          <w:rFonts w:ascii="Consolas" w:cs="Consolas" w:eastAsia="Consolas" w:hAnsi="Consolas"/>
          <w:color w:val="B4500C"/>
          <w:sz w:val="18"/>
          <w:szCs w:val="18"/>
        </w:rPr>
        <w:t xml:space="preserve">(public)</w:t>
      </w:r>
      <w:r>
        <w:rPr>
          <w:color w:val="16181D"/>
          <w:sz w:val="21"/>
          <w:szCs w:val="21"/>
        </w:rPr>
        <w:t xml:space="preserve"> currently speaks to athletes and sponsors. NEXT adds teenagers ("Become the Media") and school administrators (programme adoption) — different voice, different proof, different CTA, and an administrator page that has to survive being forwarded to a principal. </w:t>
      </w:r>
      <w:r>
        <w:rPr>
          <w:b/>
          <w:bCs/>
          <w:color w:val="16181D"/>
          <w:sz w:val="21"/>
          <w:szCs w:val="21"/>
        </w:rPr>
        <w:t xml:space="preserve">Most of the actual design hours in this programme sit here</w:t>
      </w:r>
      <w:r>
        <w:rPr>
          <w:color w:val="16181D"/>
          <w:sz w:val="21"/>
          <w:szCs w:val="21"/>
        </w:rPr>
        <w:t xml:space="preserve">, not in the portals.</w:t>
      </w:r>
    </w:p>
    <w:p>
      <w:pPr>
        <w:pStyle w:val="Heading2"/>
        <w:spacing w:after="120" w:before="280"/>
      </w:pPr>
      <w:r>
        <w:rPr>
          <w:b/>
          <w:bCs/>
          <w:color w:val="16181D"/>
          <w:sz w:val="23"/>
          <w:szCs w:val="23"/>
        </w:rPr>
        <w:t xml:space="preserve">9.6 · Not the design system</w:t>
      </w:r>
    </w:p>
    <w:p>
      <w:pPr>
        <w:spacing w:after="150" w:before="0"/>
      </w:pPr>
      <w:r>
        <w:rPr>
          <w:color w:val="16181D"/>
          <w:sz w:val="21"/>
          <w:szCs w:val="21"/>
        </w:rPr>
        <w:t xml:space="preserve">Magazine page layout is InDesign or Canva, and the printer's problem. The platform's only interest is the approved artwork as a </w:t>
      </w:r>
      <w:r>
        <w:rPr>
          <w:rFonts w:ascii="Consolas" w:cs="Consolas" w:eastAsia="Consolas" w:hAnsi="Consolas"/>
          <w:color w:val="B4500C"/>
          <w:sz w:val="18"/>
          <w:szCs w:val="18"/>
        </w:rPr>
        <w:t xml:space="preserve">CreativeAsset</w:t>
      </w:r>
      <w:r>
        <w:rPr>
          <w:color w:val="16181D"/>
          <w:sz w:val="21"/>
          <w:szCs w:val="21"/>
        </w:rPr>
        <w:t xml:space="preserve"> and the final press PDF. Building page layout in Tailwind would be the scope error that sinks the programme.</w:t>
      </w:r>
    </w:p>
    <w:p>
      <w:pPr>
        <w:pStyle w:val="Heading2"/>
        <w:spacing w:after="120" w:before="280"/>
      </w:pPr>
      <w:r>
        <w:rPr>
          <w:b/>
          <w:bCs/>
          <w:color w:val="16181D"/>
          <w:sz w:val="23"/>
          <w:szCs w:val="23"/>
        </w:rPr>
        <w:t xml:space="preserve">9.7 · Deferred — the digital edition reader</w:t>
      </w:r>
    </w:p>
    <w:p>
      <w:pPr>
        <w:spacing w:after="150" w:before="0"/>
      </w:pPr>
      <w:r>
        <w:rPr>
          <w:color w:val="16181D"/>
          <w:sz w:val="21"/>
          <w:szCs w:val="21"/>
        </w:rPr>
        <w:t xml:space="preserve">Long-form editorial typography — measure, drop caps, pull quotes, photo galleries — is a reading experience this dashboard product has no type scale for. The pilot ships article pages on the existing scale, or a third-party flipbook. The reader is Stage 2 at the earliest.</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10 · Sequencing — Stage 0 runs on what exists</w:t>
      </w:r>
    </w:p>
    <w:p>
      <w:pPr>
        <w:spacing w:after="150" w:before="0"/>
      </w:pPr>
      <w:r>
        <w:rPr>
          <w:color w:val="16181D"/>
          <w:sz w:val="21"/>
          <w:szCs w:val="21"/>
        </w:rPr>
        <w:t xml:space="preserve">The roadmap has the §39 protected loop not yet closed end to end. NEXT is a second unproven loop, and §37's own gate — </w:t>
      </w:r>
      <w:r>
        <w:rPr>
          <w:i/>
          <w:iCs/>
          <w:color w:val="16181D"/>
          <w:sz w:val="21"/>
          <w:szCs w:val="21"/>
        </w:rPr>
        <w:t xml:space="preserve">"Before Phase 2: Phase 1 campaigns operating reliably"</w:t>
      </w:r>
      <w:r>
        <w:rPr>
          <w:color w:val="16181D"/>
          <w:sz w:val="21"/>
          <w:szCs w:val="21"/>
        </w:rPr>
        <w:t xml:space="preserve"> — applies to it in spirit.</w:t>
      </w:r>
    </w:p>
    <w:p>
      <w:pPr>
        <w:spacing w:after="150" w:before="0"/>
      </w:pPr>
      <w:r>
        <w:rPr>
          <w:color w:val="16181D"/>
          <w:sz w:val="21"/>
          <w:szCs w:val="21"/>
        </w:rPr>
        <w:t xml:space="preserve">So the </w:t>
      </w:r>
      <w:r>
        <w:rPr>
          <w:b/>
          <w:bCs/>
          <w:color w:val="16181D"/>
          <w:sz w:val="21"/>
          <w:szCs w:val="21"/>
        </w:rPr>
        <w:t xml:space="preserve">first edition ships with zero new models</w:t>
      </w:r>
      <w:r>
        <w:rPr>
          <w:color w:val="16181D"/>
          <w:sz w:val="21"/>
          <w:szCs w:val="21"/>
        </w:rPr>
        <w:t xml:space="preserve">:</w:t>
      </w:r>
    </w:p>
    <w:tbl>
      <w:tblPr>
        <w:tblW w:type="dxa" w:w="9360"/>
        <w:tblBorders>
          <w:top w:val="single" w:color="D5D9E2" w:sz="4"/>
          <w:left w:val="single" w:color="D5D9E2" w:sz="4"/>
          <w:bottom w:val="single" w:color="D5D9E2" w:sz="4"/>
          <w:right w:val="single" w:color="D5D9E2" w:sz="4"/>
          <w:insideH w:val="single" w:color="D5D9E2" w:sz="2"/>
          <w:insideV w:val="single" w:color="D5D9E2" w:sz="2"/>
        </w:tblBorders>
      </w:tblPr>
      <w:tblGrid>
        <w:gridCol w:w="4680"/>
        <w:gridCol w:w="4680"/>
      </w:tblGrid>
      <w:tr>
        <w:trPr>
          <w:cantSplit/>
          <w:tblHeader/>
        </w:trPr>
        <w:tc>
          <w:tcPr>
            <w:tcW w:type="dxa" w:w="4680"/>
            <w:shd w:fill="EEF4FB" w:color="auto" w:val="clear"/>
            <w:tcMar>
              <w:top w:type="dxa" w:w="90"/>
              <w:left w:type="dxa" w:w="130"/>
              <w:bottom w:type="dxa" w:w="90"/>
              <w:right w:type="dxa" w:w="130"/>
            </w:tcMar>
          </w:tcPr>
          <w:p>
            <w:pPr>
              <w:spacing w:after="0" w:before="0" w:line="252"/>
            </w:pPr>
            <w:r>
              <w:rPr>
                <w:b/>
                <w:bCs/>
                <w:color w:val="1F6FB2"/>
                <w:sz w:val="18"/>
                <w:szCs w:val="18"/>
              </w:rPr>
              <w:t xml:space="preserve">NEXT need</w:t>
            </w:r>
          </w:p>
        </w:tc>
        <w:tc>
          <w:tcPr>
            <w:tcW w:type="dxa" w:w="4680"/>
            <w:shd w:fill="EEF4FB" w:color="auto" w:val="clear"/>
            <w:tcMar>
              <w:top w:type="dxa" w:w="90"/>
              <w:left w:type="dxa" w:w="130"/>
              <w:bottom w:type="dxa" w:w="90"/>
              <w:right w:type="dxa" w:w="130"/>
            </w:tcMar>
          </w:tcPr>
          <w:p>
            <w:pPr>
              <w:spacing w:after="0" w:before="0" w:line="252"/>
            </w:pPr>
            <w:r>
              <w:rPr>
                <w:b/>
                <w:bCs/>
                <w:color w:val="1F6FB2"/>
                <w:sz w:val="18"/>
                <w:szCs w:val="18"/>
              </w:rPr>
              <w:t xml:space="preserve">Stage 0 mechanism</w:t>
            </w:r>
          </w:p>
        </w:tc>
      </w:tr>
      <w:tr>
        <w:trPr>
          <w:cantSplit/>
          <w:tblHeader w:val="false"/>
        </w:trPr>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School</w:t>
            </w:r>
          </w:p>
        </w:tc>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Property</w:t>
            </w:r>
            <w:r>
              <w:rPr>
                <w:b w:val="false"/>
                <w:bCs w:val="false"/>
                <w:color w:val="16181D"/>
                <w:sz w:val="18"/>
                <w:szCs w:val="18"/>
              </w:rPr>
              <w:t xml:space="preserve"> </w:t>
            </w:r>
            <w:r>
              <w:rPr>
                <w:rFonts w:ascii="Consolas" w:cs="Consolas" w:eastAsia="Consolas" w:hAnsi="Consolas"/>
                <w:b w:val="false"/>
                <w:bCs w:val="false"/>
                <w:color w:val="B4500C"/>
                <w:sz w:val="15"/>
                <w:szCs w:val="15"/>
              </w:rPr>
              <w:t xml:space="preserve">kind = "SCHOOL"</w:t>
            </w:r>
          </w:p>
        </w:tc>
      </w:tr>
      <w:tr>
        <w:trPr>
          <w:cantSplit/>
          <w:tblHeader w:val="false"/>
        </w:trPr>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Ad and hybrid packages</w:t>
            </w:r>
          </w:p>
        </w:tc>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SponsorPackage</w:t>
            </w:r>
            <w:r>
              <w:rPr>
                <w:b w:val="false"/>
                <w:bCs w:val="false"/>
                <w:color w:val="16181D"/>
                <w:sz w:val="18"/>
                <w:szCs w:val="18"/>
              </w:rPr>
              <w:t xml:space="preserve">, print slots in </w:t>
            </w:r>
            <w:r>
              <w:rPr>
                <w:rFonts w:ascii="Consolas" w:cs="Consolas" w:eastAsia="Consolas" w:hAnsi="Consolas"/>
                <w:b w:val="false"/>
                <w:bCs w:val="false"/>
                <w:color w:val="B4500C"/>
                <w:sz w:val="15"/>
                <w:szCs w:val="15"/>
              </w:rPr>
              <w:t xml:space="preserve">includes</w:t>
            </w:r>
          </w:p>
        </w:tc>
      </w:tr>
      <w:tr>
        <w:trPr>
          <w:cantSplit/>
          <w:tblHeader w:val="false"/>
        </w:trPr>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Local business</w:t>
            </w:r>
          </w:p>
        </w:tc>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Sponsor</w:t>
            </w:r>
            <w:r>
              <w:rPr>
                <w:b w:val="false"/>
                <w:bCs w:val="false"/>
                <w:color w:val="16181D"/>
                <w:sz w:val="18"/>
                <w:szCs w:val="18"/>
              </w:rPr>
              <w:t xml:space="preserve"> (+ Zoho Account)</w:t>
            </w:r>
          </w:p>
        </w:tc>
      </w:tr>
      <w:tr>
        <w:trPr>
          <w:cantSplit/>
          <w:tblHeader w:val="false"/>
        </w:trPr>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The sale</w:t>
            </w:r>
          </w:p>
        </w:tc>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CampaignBrief</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Campaign</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CampaignOrder</w:t>
            </w:r>
          </w:p>
        </w:tc>
      </w:tr>
      <w:tr>
        <w:trPr>
          <w:cantSplit/>
          <w:tblHeader w:val="false"/>
        </w:trPr>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Artwork approval</w:t>
            </w:r>
          </w:p>
        </w:tc>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Deliverable</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CreativeAsset</w:t>
            </w:r>
          </w:p>
        </w:tc>
      </w:tr>
      <w:tr>
        <w:trPr>
          <w:cantSplit/>
          <w:tblHeader w:val="false"/>
        </w:trPr>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Athlete QR</w:t>
            </w:r>
          </w:p>
        </w:tc>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Reward</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RewardToken</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/r/[token]</w:t>
            </w:r>
            <w:r>
              <w:rPr>
                <w:b w:val="false"/>
                <w:bCs w:val="false"/>
                <w:color w:val="16181D"/>
                <w:sz w:val="18"/>
                <w:szCs w:val="18"/>
              </w:rPr>
              <w:t xml:space="preserve"> → </w:t>
            </w:r>
            <w:r>
              <w:rPr>
                <w:rFonts w:ascii="Consolas" w:cs="Consolas" w:eastAsia="Consolas" w:hAnsi="Consolas"/>
                <w:b w:val="false"/>
                <w:bCs w:val="false"/>
                <w:color w:val="B4500C"/>
                <w:sz w:val="15"/>
                <w:szCs w:val="15"/>
              </w:rPr>
              <w:t xml:space="preserve">/athletes/[slug]</w:t>
            </w:r>
          </w:p>
        </w:tc>
      </w:tr>
      <w:tr>
        <w:trPr>
          <w:cantSplit/>
          <w:tblHeader w:val="false"/>
        </w:trPr>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Student sales code</w:t>
            </w:r>
          </w:p>
        </w:tc>
        <w:tc>
          <w:tcPr>
            <w:tcW w:type="dxa" w:w="4680"/>
            <w:tcMar>
              <w:top w:type="dxa" w:w="90"/>
              <w:left w:type="dxa" w:w="130"/>
              <w:bottom w:type="dxa" w:w="90"/>
              <w:right w:type="dxa" w:w="130"/>
            </w:tcMar>
          </w:tcPr>
          <w:p>
            <w:pPr>
              <w:spacing w:after="0" w:before="0" w:line="252"/>
            </w:pPr>
            <w:r>
              <w:rPr>
                <w:rFonts w:ascii="Consolas" w:cs="Consolas" w:eastAsia="Consolas" w:hAnsi="Consolas"/>
                <w:b w:val="false"/>
                <w:bCs w:val="false"/>
                <w:color w:val="B4500C"/>
                <w:sz w:val="15"/>
                <w:szCs w:val="15"/>
              </w:rPr>
              <w:t xml:space="preserve">TrackingLink</w:t>
            </w:r>
            <w:r>
              <w:rPr>
                <w:b w:val="false"/>
                <w:bCs w:val="false"/>
                <w:color w:val="16181D"/>
                <w:sz w:val="18"/>
                <w:szCs w:val="18"/>
              </w:rPr>
              <w:t xml:space="preserve"> on the campaign deliverable </w:t>
            </w:r>
            <w:r>
              <w:rPr>
                <w:b w:val="false"/>
                <w:bCs w:val="false"/>
                <w:i/>
                <w:iCs/>
                <w:color w:val="16181D"/>
                <w:sz w:val="18"/>
                <w:szCs w:val="18"/>
              </w:rPr>
              <w:t xml:space="preserve">(approximate)</w:t>
            </w:r>
          </w:p>
        </w:tc>
      </w:tr>
      <w:tr>
        <w:trPr>
          <w:cantSplit/>
          <w:tblHeader w:val="false"/>
        </w:trPr>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Back-cover scarcity</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a person, watching</w:t>
            </w:r>
          </w:p>
        </w:tc>
      </w:tr>
      <w:tr>
        <w:trPr>
          <w:cantSplit/>
          <w:tblHeader w:val="false"/>
        </w:trPr>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Splits and points</w:t>
            </w:r>
          </w:p>
        </w:tc>
        <w:tc>
          <w:tcPr>
            <w:tcW w:type="dxa" w:w="4680"/>
            <w:tcMar>
              <w:top w:type="dxa" w:w="90"/>
              <w:left w:type="dxa" w:w="130"/>
              <w:bottom w:type="dxa" w:w="90"/>
              <w:right w:type="dxa" w:w="130"/>
            </w:tcMar>
          </w:tcPr>
          <w:p>
            <w:pPr>
              <w:spacing w:after="0" w:before="0" w:line="252"/>
            </w:pPr>
            <w:r>
              <w:rPr>
                <w:b w:val="false"/>
                <w:bCs w:val="false"/>
                <w:color w:val="16181D"/>
                <w:sz w:val="18"/>
                <w:szCs w:val="18"/>
              </w:rPr>
              <w:t xml:space="preserve">spreadsheet</w:t>
            </w:r>
          </w:p>
        </w:tc>
      </w:tr>
    </w:tbl>
    <w:p>
      <w:pPr>
        <w:spacing w:after="200"/>
      </w:pPr>
    </w:p>
    <w:p>
      <w:pPr>
        <w:spacing w:after="150" w:before="0"/>
      </w:pPr>
      <w:r>
        <w:rPr>
          <w:color w:val="16181D"/>
          <w:sz w:val="21"/>
          <w:szCs w:val="21"/>
        </w:rPr>
        <w:t xml:space="preserve">What Stage 0 proves is entirely commercial: that a local business will buy the hybrid package, that students can sell, that a school will sign. None of that needs software, and all of it can fail — which is the argument for finding out before cutting four models and two roles into a schema whose first loop is still being closed.</w:t>
      </w:r>
    </w:p>
    <w:p>
      <w:pPr>
        <w:spacing w:after="150" w:before="0"/>
      </w:pPr>
      <w:r>
        <w:rPr>
          <w:b/>
          <w:bCs/>
          <w:color w:val="16181D"/>
          <w:sz w:val="21"/>
          <w:szCs w:val="21"/>
        </w:rPr>
        <w:t xml:space="preserve">Stage 1</w:t>
      </w:r>
      <w:r>
        <w:rPr>
          <w:color w:val="16181D"/>
          <w:sz w:val="21"/>
          <w:szCs w:val="21"/>
        </w:rPr>
        <w:t xml:space="preserve"> — the §5 models, the two roles, the </w:t>
      </w:r>
      <w:r>
        <w:rPr>
          <w:rFonts w:ascii="Consolas" w:cs="Consolas" w:eastAsia="Consolas" w:hAnsi="Consolas"/>
          <w:color w:val="B4500C"/>
          <w:sz w:val="18"/>
          <w:szCs w:val="18"/>
        </w:rPr>
        <w:t xml:space="preserve">/s/[code]</w:t>
      </w:r>
      <w:r>
        <w:rPr>
          <w:color w:val="16181D"/>
          <w:sz w:val="21"/>
          <w:szCs w:val="21"/>
        </w:rPr>
        <w:t xml:space="preserve"> namespace, the student and advisor portals — is earned once an edition has sold. </w:t>
      </w:r>
      <w:r>
        <w:rPr>
          <w:b/>
          <w:bCs/>
          <w:color w:val="16181D"/>
          <w:sz w:val="21"/>
          <w:szCs w:val="21"/>
        </w:rPr>
        <w:t xml:space="preserve">Stage 2</w:t>
      </w:r>
      <w:r>
        <w:rPr>
          <w:color w:val="16181D"/>
          <w:sz w:val="21"/>
          <w:szCs w:val="21"/>
        </w:rPr>
        <w:t xml:space="preserve"> — points, leaderboard, digital reader, self-service — follows the same rule.</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11 · Roadmap slot</w:t>
      </w:r>
    </w:p>
    <w:p>
      <w:pPr>
        <w:spacing w:after="150" w:before="0"/>
      </w:pPr>
      <w:r>
        <w:rPr>
          <w:color w:val="16181D"/>
          <w:sz w:val="21"/>
          <w:szCs w:val="21"/>
        </w:rPr>
        <w:t xml:space="preserve">NEXT is a </w:t>
      </w:r>
      <w:r>
        <w:rPr>
          <w:b/>
          <w:bCs/>
          <w:color w:val="16181D"/>
          <w:sz w:val="21"/>
          <w:szCs w:val="21"/>
        </w:rPr>
        <w:t xml:space="preserve">Block C, after B8</w:t>
      </w:r>
      <w:r>
        <w:rPr>
          <w:color w:val="16181D"/>
          <w:sz w:val="21"/>
          <w:szCs w:val="21"/>
        </w:rPr>
        <w:t xml:space="preserve">. Not a milestone inside Block B, and not interleaved with one.</w:t>
      </w:r>
    </w:p>
    <w:p>
      <w:pPr>
        <w:pBdr>
          <w:left w:val="single" w:color="B4500C" w:sz="12" w:space="14"/>
        </w:pBdr>
        <w:spacing w:after="70" w:before="150"/>
        <w:ind w:left="400"/>
      </w:pPr>
      <w:r>
        <w:rPr>
          <w:b/>
          <w:bCs/>
          <w:color w:val="16181D"/>
          <w:sz w:val="21"/>
          <w:szCs w:val="21"/>
        </w:rPr>
        <w:t xml:space="preserve">C1 · SponsorX NEXT — publication, students, splits</w:t>
      </w:r>
    </w:p>
    <w:p>
      <w:pPr>
        <w:pBdr>
          <w:left w:val="single" w:color="B4500C" w:sz="12" w:space="14"/>
        </w:pBdr>
        <w:spacing w:after="70" w:before="70"/>
        <w:ind w:left="400"/>
      </w:pPr>
      <w:r>
        <w:rPr>
          <w:rFonts w:ascii="Consolas" w:cs="Consolas" w:eastAsia="Consolas" w:hAnsi="Consolas"/>
          <w:b w:val="false"/>
          <w:bCs w:val="false"/>
          <w:color w:val="B4500C"/>
          <w:sz w:val="17"/>
          <w:szCs w:val="17"/>
        </w:rPr>
        <w:t xml:space="preserve">Publication</w:t>
      </w:r>
      <w:r>
        <w:rPr>
          <w:b w:val="false"/>
          <w:bCs w:val="false"/>
          <w:color w:val="5C6373"/>
          <w:sz w:val="20"/>
          <w:szCs w:val="20"/>
        </w:rPr>
        <w:t xml:space="preserve"> / </w:t>
      </w:r>
      <w:r>
        <w:rPr>
          <w:rFonts w:ascii="Consolas" w:cs="Consolas" w:eastAsia="Consolas" w:hAnsi="Consolas"/>
          <w:b w:val="false"/>
          <w:bCs w:val="false"/>
          <w:color w:val="B4500C"/>
          <w:sz w:val="17"/>
          <w:szCs w:val="17"/>
        </w:rPr>
        <w:t xml:space="preserve">Edition</w:t>
      </w:r>
      <w:r>
        <w:rPr>
          <w:b w:val="false"/>
          <w:bCs w:val="false"/>
          <w:color w:val="5C6373"/>
          <w:sz w:val="20"/>
          <w:szCs w:val="20"/>
        </w:rPr>
        <w:t xml:space="preserve"> / </w:t>
      </w:r>
      <w:r>
        <w:rPr>
          <w:rFonts w:ascii="Consolas" w:cs="Consolas" w:eastAsia="Consolas" w:hAnsi="Consolas"/>
          <w:b w:val="false"/>
          <w:bCs w:val="false"/>
          <w:color w:val="B4500C"/>
          <w:sz w:val="17"/>
          <w:szCs w:val="17"/>
        </w:rPr>
        <w:t xml:space="preserve">AdSlot</w:t>
      </w:r>
      <w:r>
        <w:rPr>
          <w:b w:val="false"/>
          <w:bCs w:val="false"/>
          <w:color w:val="5C6373"/>
          <w:sz w:val="20"/>
          <w:szCs w:val="20"/>
        </w:rPr>
        <w:t xml:space="preserve"> with the inventory ledger and close-date enforcement. </w:t>
      </w:r>
      <w:r>
        <w:rPr>
          <w:rFonts w:ascii="Consolas" w:cs="Consolas" w:eastAsia="Consolas" w:hAnsi="Consolas"/>
          <w:b w:val="false"/>
          <w:bCs w:val="false"/>
          <w:color w:val="B4500C"/>
          <w:sz w:val="17"/>
          <w:szCs w:val="17"/>
        </w:rPr>
        <w:t xml:space="preserve">Student</w:t>
      </w:r>
      <w:r>
        <w:rPr>
          <w:b w:val="false"/>
          <w:bCs w:val="false"/>
          <w:color w:val="5C6373"/>
          <w:sz w:val="20"/>
          <w:szCs w:val="20"/>
        </w:rPr>
        <w:t xml:space="preserve"> + </w:t>
      </w:r>
      <w:r>
        <w:rPr>
          <w:rFonts w:ascii="Consolas" w:cs="Consolas" w:eastAsia="Consolas" w:hAnsi="Consolas"/>
          <w:b w:val="false"/>
          <w:bCs w:val="false"/>
          <w:color w:val="B4500C"/>
          <w:sz w:val="17"/>
          <w:szCs w:val="17"/>
        </w:rPr>
        <w:t xml:space="preserve">StudentState</w:t>
      </w:r>
      <w:r>
        <w:rPr>
          <w:b w:val="false"/>
          <w:bCs w:val="false"/>
          <w:color w:val="5C6373"/>
          <w:sz w:val="20"/>
          <w:szCs w:val="20"/>
        </w:rPr>
        <w:t xml:space="preserve"> reusing </w:t>
      </w:r>
      <w:r>
        <w:rPr>
          <w:rFonts w:ascii="Consolas" w:cs="Consolas" w:eastAsia="Consolas" w:hAnsi="Consolas"/>
          <w:b w:val="false"/>
          <w:bCs w:val="false"/>
          <w:color w:val="B4500C"/>
          <w:sz w:val="17"/>
          <w:szCs w:val="17"/>
        </w:rPr>
        <w:t xml:space="preserve">Guardian</w:t>
      </w:r>
      <w:r>
        <w:rPr>
          <w:b w:val="false"/>
          <w:bCs w:val="false"/>
          <w:color w:val="5C6373"/>
          <w:sz w:val="20"/>
          <w:szCs w:val="20"/>
        </w:rPr>
        <w:t xml:space="preserve">. </w:t>
      </w:r>
      <w:r>
        <w:rPr>
          <w:rFonts w:ascii="Consolas" w:cs="Consolas" w:eastAsia="Consolas" w:hAnsi="Consolas"/>
          <w:b w:val="false"/>
          <w:bCs w:val="false"/>
          <w:color w:val="B4500C"/>
          <w:sz w:val="17"/>
          <w:szCs w:val="17"/>
        </w:rPr>
        <w:t xml:space="preserve">RevenueSplit</w:t>
      </w:r>
      <w:r>
        <w:rPr>
          <w:b w:val="false"/>
          <w:bCs w:val="false"/>
          <w:color w:val="5C6373"/>
          <w:sz w:val="20"/>
          <w:szCs w:val="20"/>
        </w:rPr>
        <w:t xml:space="preserve"> on the edition; </w:t>
      </w:r>
      <w:r>
        <w:rPr>
          <w:rFonts w:ascii="Consolas" w:cs="Consolas" w:eastAsia="Consolas" w:hAnsi="Consolas"/>
          <w:b w:val="false"/>
          <w:bCs w:val="false"/>
          <w:color w:val="B4500C"/>
          <w:sz w:val="17"/>
          <w:szCs w:val="17"/>
        </w:rPr>
        <w:t xml:space="preserve">Earning</w:t>
      </w:r>
      <w:r>
        <w:rPr>
          <w:b w:val="false"/>
          <w:bCs w:val="false"/>
          <w:color w:val="5C6373"/>
          <w:sz w:val="20"/>
          <w:szCs w:val="20"/>
        </w:rPr>
        <w:t xml:space="preserve"> untouched. </w:t>
      </w:r>
      <w:r>
        <w:rPr>
          <w:rFonts w:ascii="Consolas" w:cs="Consolas" w:eastAsia="Consolas" w:hAnsi="Consolas"/>
          <w:b w:val="false"/>
          <w:bCs w:val="false"/>
          <w:color w:val="B4500C"/>
          <w:sz w:val="17"/>
          <w:szCs w:val="17"/>
        </w:rPr>
        <w:t xml:space="preserve">StudentCode</w:t>
      </w:r>
      <w:r>
        <w:rPr>
          <w:b w:val="false"/>
          <w:bCs w:val="false"/>
          <w:color w:val="5C6373"/>
          <w:sz w:val="20"/>
          <w:szCs w:val="20"/>
        </w:rPr>
        <w:t xml:space="preserve"> + </w:t>
      </w:r>
      <w:r>
        <w:rPr>
          <w:rFonts w:ascii="Consolas" w:cs="Consolas" w:eastAsia="Consolas" w:hAnsi="Consolas"/>
          <w:b w:val="false"/>
          <w:bCs w:val="false"/>
          <w:color w:val="B4500C"/>
          <w:sz w:val="17"/>
          <w:szCs w:val="17"/>
        </w:rPr>
        <w:t xml:space="preserve">SaleAttribution</w:t>
      </w:r>
      <w:r>
        <w:rPr>
          <w:b w:val="false"/>
          <w:bCs w:val="false"/>
          <w:color w:val="5C6373"/>
          <w:sz w:val="20"/>
          <w:szCs w:val="20"/>
        </w:rPr>
        <w:t xml:space="preserve"> at </w:t>
      </w:r>
      <w:r>
        <w:rPr>
          <w:rFonts w:ascii="Consolas" w:cs="Consolas" w:eastAsia="Consolas" w:hAnsi="Consolas"/>
          <w:b w:val="false"/>
          <w:bCs w:val="false"/>
          <w:color w:val="B4500C"/>
          <w:sz w:val="17"/>
          <w:szCs w:val="17"/>
        </w:rPr>
        <w:t xml:space="preserve">/s/[code]</w:t>
      </w:r>
      <w:r>
        <w:rPr>
          <w:b w:val="false"/>
          <w:bCs w:val="false"/>
          <w:color w:val="5C6373"/>
          <w:sz w:val="20"/>
          <w:szCs w:val="20"/>
        </w:rPr>
        <w:t xml:space="preserve">. </w:t>
      </w:r>
      <w:r>
        <w:rPr>
          <w:rFonts w:ascii="Consolas" w:cs="Consolas" w:eastAsia="Consolas" w:hAnsi="Consolas"/>
          <w:b w:val="false"/>
          <w:bCs w:val="false"/>
          <w:color w:val="B4500C"/>
          <w:sz w:val="17"/>
          <w:szCs w:val="17"/>
        </w:rPr>
        <w:t xml:space="preserve">STUDENT</w:t>
      </w:r>
      <w:r>
        <w:rPr>
          <w:b w:val="false"/>
          <w:bCs w:val="false"/>
          <w:color w:val="5C6373"/>
          <w:sz w:val="20"/>
          <w:szCs w:val="20"/>
        </w:rPr>
        <w:t xml:space="preserve"> and </w:t>
      </w:r>
      <w:r>
        <w:rPr>
          <w:rFonts w:ascii="Consolas" w:cs="Consolas" w:eastAsia="Consolas" w:hAnsi="Consolas"/>
          <w:b w:val="false"/>
          <w:bCs w:val="false"/>
          <w:color w:val="B4500C"/>
          <w:sz w:val="17"/>
          <w:szCs w:val="17"/>
        </w:rPr>
        <w:t xml:space="preserve">ADVISOR</w:t>
      </w:r>
      <w:r>
        <w:rPr>
          <w:b w:val="false"/>
          <w:bCs w:val="false"/>
          <w:color w:val="5C6373"/>
          <w:sz w:val="20"/>
          <w:szCs w:val="20"/>
        </w:rPr>
        <w:t xml:space="preserve"> in </w:t>
      </w:r>
      <w:r>
        <w:rPr>
          <w:rFonts w:ascii="Consolas" w:cs="Consolas" w:eastAsia="Consolas" w:hAnsi="Consolas"/>
          <w:b w:val="false"/>
          <w:bCs w:val="false"/>
          <w:color w:val="B4500C"/>
          <w:sz w:val="17"/>
          <w:szCs w:val="17"/>
        </w:rPr>
        <w:t xml:space="preserve">authz-policy.ts</w:t>
      </w:r>
      <w:r>
        <w:rPr>
          <w:b w:val="false"/>
          <w:bCs w:val="false"/>
          <w:color w:val="5C6373"/>
          <w:sz w:val="20"/>
          <w:szCs w:val="20"/>
        </w:rPr>
        <w:t xml:space="preserve"> with isolation tests. Student portal (mobile-first) and advisor desk. </w:t>
      </w:r>
      <w:r>
        <w:rPr>
          <w:rFonts w:ascii="Consolas" w:cs="Consolas" w:eastAsia="Consolas" w:hAnsi="Consolas"/>
          <w:b w:val="false"/>
          <w:bCs w:val="false"/>
          <w:color w:val="B4500C"/>
          <w:sz w:val="17"/>
          <w:szCs w:val="17"/>
        </w:rPr>
        <w:t xml:space="preserve">P3-BE-12</w:t>
      </w:r>
      <w:r>
        <w:rPr>
          <w:b w:val="false"/>
          <w:bCs w:val="false"/>
          <w:color w:val="5C6373"/>
          <w:sz w:val="20"/>
          <w:szCs w:val="20"/>
        </w:rPr>
        <w:t xml:space="preserve"> amended to evaluate the margin floor against NIL line items rather than package totals.</w:t>
      </w:r>
    </w:p>
    <w:p>
      <w:pPr>
        <w:pBdr>
          <w:left w:val="single" w:color="B4500C" w:sz="12" w:space="14"/>
        </w:pBdr>
        <w:spacing w:after="190" w:before="70"/>
        <w:ind w:left="400"/>
      </w:pPr>
      <w:r>
        <w:rPr>
          <w:b/>
          <w:bCs/>
          <w:color w:val="5C6373"/>
          <w:sz w:val="20"/>
          <w:szCs w:val="20"/>
        </w:rPr>
        <w:t xml:space="preserve">Exit:</w:t>
      </w:r>
      <w:r>
        <w:rPr>
          <w:b w:val="false"/>
          <w:bCs w:val="false"/>
          <w:color w:val="5C6373"/>
          <w:sz w:val="20"/>
          <w:szCs w:val="20"/>
        </w:rPr>
        <w:t xml:space="preserve"> a school is a Property, an edition sells a back cover exactly once, a student's code attributes a sale, artwork clears the approval board, the sponsor report carries print circulation as </w:t>
      </w:r>
      <w:r>
        <w:rPr>
          <w:rFonts w:ascii="Consolas" w:cs="Consolas" w:eastAsia="Consolas" w:hAnsi="Consolas"/>
          <w:b w:val="false"/>
          <w:bCs w:val="false"/>
          <w:color w:val="B4500C"/>
          <w:sz w:val="17"/>
          <w:szCs w:val="17"/>
        </w:rPr>
        <w:t xml:space="preserve">ESTIMATED</w:t>
      </w:r>
      <w:r>
        <w:rPr>
          <w:b w:val="false"/>
          <w:bCs w:val="false"/>
          <w:color w:val="5C6373"/>
          <w:sz w:val="20"/>
          <w:szCs w:val="20"/>
        </w:rPr>
        <w:t xml:space="preserve">, and the split resolves to four payees without touching </w:t>
      </w:r>
      <w:r>
        <w:rPr>
          <w:rFonts w:ascii="Consolas" w:cs="Consolas" w:eastAsia="Consolas" w:hAnsi="Consolas"/>
          <w:b w:val="false"/>
          <w:bCs w:val="false"/>
          <w:color w:val="B4500C"/>
          <w:sz w:val="17"/>
          <w:szCs w:val="17"/>
        </w:rPr>
        <w:t xml:space="preserve">Earning</w:t>
      </w:r>
      <w:r>
        <w:rPr>
          <w:b w:val="false"/>
          <w:bCs w:val="false"/>
          <w:color w:val="5C6373"/>
          <w:sz w:val="20"/>
          <w:szCs w:val="20"/>
        </w:rPr>
        <w:t xml:space="preserve">. </w:t>
      </w:r>
      <w:r>
        <w:rPr>
          <w:b w:val="false"/>
          <w:bCs w:val="false"/>
          <w:i/>
          <w:iCs/>
          <w:color w:val="5C6373"/>
          <w:sz w:val="20"/>
          <w:szCs w:val="20"/>
        </w:rPr>
        <w:t xml:space="preserve">(L)</w:t>
      </w:r>
    </w:p>
    <w:p>
      <w:pPr>
        <w:spacing w:after="150" w:before="0"/>
      </w:pPr>
      <w:r>
        <w:rPr>
          <w:color w:val="16181D"/>
          <w:sz w:val="21"/>
          <w:szCs w:val="21"/>
        </w:rPr>
        <w:t xml:space="preserve">The guardrail stands: if time runs short, cut from here — never from §39.</w:t>
      </w:r>
    </w:p>
    <w:p>
      <w:pPr>
        <w:pBdr>
          <w:bottom w:val="single" w:color="D5D9E2" w:sz="6"/>
        </w:pBdr>
        <w:spacing w:after="170" w:before="170"/>
      </w:pPr>
    </w:p>
    <w:p>
      <w:pPr>
        <w:pStyle w:val="Heading1"/>
        <w:pBdr>
          <w:bottom w:val="single" w:color="2E9BF5" w:sz="6"/>
        </w:pBdr>
        <w:spacing w:after="170" w:before="380"/>
      </w:pPr>
      <w:r>
        <w:rPr>
          <w:b/>
          <w:bCs/>
          <w:color w:val="1F6FB2"/>
          <w:sz w:val="27"/>
          <w:szCs w:val="27"/>
        </w:rPr>
        <w:t xml:space="preserve">12 · What this does not decide</w:t>
      </w:r>
    </w:p>
    <w:p>
      <w:pPr>
        <w:pStyle w:val="ListParagraph"/>
        <w:numPr>
          <w:ilvl w:val="0"/>
          <w:numId w:val="3"/>
        </w:numPr>
        <w:spacing w:after="50" w:before="50"/>
      </w:pPr>
      <w:r>
        <w:rPr>
          <w:b/>
          <w:bCs/>
          <w:color w:val="16181D"/>
          <w:sz w:val="21"/>
          <w:szCs w:val="21"/>
        </w:rPr>
        <w:t xml:space="preserve">Magazine copy sales.</w:t>
      </w:r>
      <w:r>
        <w:rPr>
          <w:color w:val="16181D"/>
          <w:sz w:val="21"/>
          <w:szCs w:val="21"/>
        </w:rPr>
        <w:t xml:space="preserve"> $10 × 500 copies is taking money from parents. The Phase 1 payment policy is invoice and reference tracking only, with the payment adapter deferred to Phase 2. Either the school collects and the platform records units, or this waits. </w:t>
      </w:r>
      <w:r>
        <w:rPr>
          <w:b/>
          <w:bCs/>
          <w:color w:val="16181D"/>
          <w:sz w:val="21"/>
          <w:szCs w:val="21"/>
        </w:rPr>
        <w:t xml:space="preserve">Unresolved.</w:t>
      </w:r>
    </w:p>
    <w:p>
      <w:pPr>
        <w:pStyle w:val="ListParagraph"/>
        <w:numPr>
          <w:ilvl w:val="0"/>
          <w:numId w:val="3"/>
        </w:numPr>
        <w:spacing w:after="50" w:before="50"/>
      </w:pPr>
      <w:r>
        <w:rPr>
          <w:b/>
          <w:bCs/>
          <w:color w:val="16181D"/>
          <w:sz w:val="21"/>
          <w:szCs w:val="21"/>
        </w:rPr>
        <w:t xml:space="preserve">Cash and scholarships to minors</w:t>
      </w:r>
      <w:r>
        <w:rPr>
          <w:color w:val="16181D"/>
          <w:sz w:val="21"/>
          <w:szCs w:val="21"/>
        </w:rPr>
        <w:t xml:space="preserve"> — the $1,000 top-seller prize and the 25% student pool. This is the legal review §26 and §37 already gate on, and it blocks Stage 1, not Stage 0.</w:t>
      </w:r>
    </w:p>
    <w:p>
      <w:pPr>
        <w:pStyle w:val="ListParagraph"/>
        <w:numPr>
          <w:ilvl w:val="0"/>
          <w:numId w:val="3"/>
        </w:numPr>
        <w:spacing w:after="50" w:before="50"/>
      </w:pPr>
      <w:r>
        <w:rPr>
          <w:b/>
          <w:bCs/>
          <w:color w:val="16181D"/>
          <w:sz w:val="21"/>
          <w:szCs w:val="21"/>
        </w:rPr>
        <w:t xml:space="preserve">The Sales Challenge as a contest.</w:t>
      </w:r>
      <w:r>
        <w:rPr>
          <w:color w:val="16181D"/>
          <w:sz w:val="21"/>
          <w:szCs w:val="21"/>
        </w:rPr>
        <w:t xml:space="preserve"> Prizes awarded on a sales ranking is sweepstakes-adjacent, and §37 already requires reward terms reviewed before the sponsor pilot.</w:t>
      </w:r>
    </w:p>
    <w:p>
      <w:pPr>
        <w:pStyle w:val="ListParagraph"/>
        <w:numPr>
          <w:ilvl w:val="0"/>
          <w:numId w:val="3"/>
        </w:numPr>
        <w:spacing w:after="50" w:before="50"/>
      </w:pPr>
      <w:r>
        <w:rPr>
          <w:b/>
          <w:bCs/>
          <w:color w:val="16181D"/>
          <w:sz w:val="21"/>
          <w:szCs w:val="21"/>
        </w:rPr>
        <w:t xml:space="preserve">The split percentages.</w:t>
      </w:r>
      <w:r>
        <w:rPr>
          <w:color w:val="16181D"/>
          <w:sz w:val="21"/>
          <w:szCs w:val="21"/>
        </w:rPr>
        <w:t xml:space="preserve"> 35/25/25/15 is the source document's illustration, explicitly adjustable. It needs a commercial decision of the kind </w:t>
      </w:r>
      <w:r>
        <w:rPr>
          <w:rFonts w:ascii="Consolas" w:cs="Consolas" w:eastAsia="Consolas" w:hAnsi="Consolas"/>
          <w:color w:val="B4500C"/>
          <w:sz w:val="18"/>
          <w:szCs w:val="18"/>
        </w:rPr>
        <w:t xml:space="preserve">P0-PMO-13</w:t>
      </w:r>
      <w:r>
        <w:rPr>
          <w:color w:val="16181D"/>
          <w:sz w:val="21"/>
          <w:szCs w:val="21"/>
        </w:rPr>
        <w:t xml:space="preserve"> was for pricing.</w:t>
      </w:r>
    </w:p>
    <w:p>
      <w:pPr>
        <w:pStyle w:val="ListParagraph"/>
        <w:numPr>
          <w:ilvl w:val="0"/>
          <w:numId w:val="3"/>
        </w:numPr>
        <w:spacing w:after="50" w:before="50"/>
      </w:pPr>
      <w:r>
        <w:rPr>
          <w:b/>
          <w:bCs/>
          <w:color w:val="16181D"/>
          <w:sz w:val="21"/>
          <w:szCs w:val="21"/>
        </w:rPr>
        <w:t xml:space="preserve">Whether the advisor or BTG holds final editorial approval</w:t>
      </w:r>
      <w:r>
        <w:rPr>
          <w:color w:val="16181D"/>
          <w:sz w:val="21"/>
          <w:szCs w:val="21"/>
        </w:rPr>
        <w:t xml:space="preserve"> on student content that names a sponsor.</w:t>
      </w:r>
    </w:p>
    <w:p>
      <w:pPr>
        <w:pStyle w:val="ListParagraph"/>
        <w:numPr>
          <w:ilvl w:val="0"/>
          <w:numId w:val="3"/>
        </w:numPr>
        <w:spacing w:after="50" w:before="50"/>
      </w:pPr>
      <w:r>
        <w:rPr>
          <w:b/>
          <w:bCs/>
          <w:color w:val="16181D"/>
          <w:sz w:val="21"/>
          <w:szCs w:val="21"/>
        </w:rPr>
        <w:t xml:space="preserve">The fifth portal accent</w:t>
      </w:r>
      <w:r>
        <w:rPr>
          <w:color w:val="16181D"/>
          <w:sz w:val="21"/>
          <w:szCs w:val="21"/>
        </w:rPr>
        <w:t xml:space="preserve"> (§9.1).</w:t>
      </w:r>
    </w:p>
    <w:p>
      <w:pPr>
        <w:pStyle w:val="ListParagraph"/>
        <w:numPr>
          <w:ilvl w:val="0"/>
          <w:numId w:val="3"/>
        </w:numPr>
        <w:spacing w:after="50" w:before="50"/>
      </w:pPr>
      <w:r>
        <w:rPr>
          <w:b/>
          <w:bCs/>
          <w:color w:val="16181D"/>
          <w:sz w:val="21"/>
          <w:szCs w:val="21"/>
        </w:rPr>
        <w:t xml:space="preserve">Whether an ad-only sale is a </w:t>
      </w:r>
      <w:r>
        <w:rPr>
          <w:rFonts w:ascii="Consolas" w:cs="Consolas" w:eastAsia="Consolas" w:hAnsi="Consolas"/>
          <w:b/>
          <w:bCs/>
          <w:color w:val="B4500C"/>
          <w:sz w:val="18"/>
          <w:szCs w:val="18"/>
        </w:rPr>
        <w:t xml:space="preserve">Campaign</w:t>
      </w:r>
      <w:r>
        <w:rPr>
          <w:b/>
          <w:bCs/>
          <w:color w:val="16181D"/>
          <w:sz w:val="21"/>
          <w:szCs w:val="21"/>
        </w:rPr>
        <w:t xml:space="preserve"> at all</w:t>
      </w:r>
      <w:r>
        <w:rPr>
          <w:color w:val="16181D"/>
          <w:sz w:val="21"/>
          <w:szCs w:val="21"/>
        </w:rPr>
        <w:t xml:space="preserve"> (§5.2). A campaign with no athletes has no orders and no one to staff. Skipping it to </w:t>
      </w:r>
      <w:r>
        <w:rPr>
          <w:rFonts w:ascii="Consolas" w:cs="Consolas" w:eastAsia="Consolas" w:hAnsi="Consolas"/>
          <w:color w:val="B4500C"/>
          <w:sz w:val="18"/>
          <w:szCs w:val="18"/>
        </w:rPr>
        <w:t xml:space="preserve">APPROVAL</w:t>
      </w:r>
      <w:r>
        <w:rPr>
          <w:color w:val="16181D"/>
          <w:sz w:val="21"/>
          <w:szCs w:val="21"/>
        </w:rPr>
        <w:t xml:space="preserve"> is the small fix; attaching ad sales to the </w:t>
      </w:r>
      <w:r>
        <w:rPr>
          <w:rFonts w:ascii="Consolas" w:cs="Consolas" w:eastAsia="Consolas" w:hAnsi="Consolas"/>
          <w:color w:val="B4500C"/>
          <w:sz w:val="18"/>
          <w:szCs w:val="18"/>
        </w:rPr>
        <w:t xml:space="preserve">Edition</w:t>
      </w:r>
      <w:r>
        <w:rPr>
          <w:color w:val="16181D"/>
          <w:sz w:val="21"/>
          <w:szCs w:val="21"/>
        </w:rPr>
        <w:t xml:space="preserve"> instead is the honest one.</w:t>
      </w:r>
    </w:p>
    <w:p>
      <w:pPr>
        <w:pStyle w:val="ListParagraph"/>
        <w:numPr>
          <w:ilvl w:val="0"/>
          <w:numId w:val="3"/>
        </w:numPr>
        <w:spacing w:after="50" w:before="50"/>
      </w:pPr>
      <w:r>
        <w:rPr>
          <w:b/>
          <w:bCs/>
          <w:color w:val="16181D"/>
          <w:sz w:val="21"/>
          <w:szCs w:val="21"/>
        </w:rPr>
        <w:t xml:space="preserve">Whether </w:t>
      </w:r>
      <w:r>
        <w:rPr>
          <w:rFonts w:ascii="Consolas" w:cs="Consolas" w:eastAsia="Consolas" w:hAnsi="Consolas"/>
          <w:b/>
          <w:bCs/>
          <w:color w:val="B4500C"/>
          <w:sz w:val="18"/>
          <w:szCs w:val="18"/>
        </w:rPr>
        <w:t xml:space="preserve">Publication</w:t>
      </w:r>
      <w:r>
        <w:rPr>
          <w:b/>
          <w:bCs/>
          <w:color w:val="16181D"/>
          <w:sz w:val="21"/>
          <w:szCs w:val="21"/>
        </w:rPr>
        <w:t xml:space="preserve"> belongs to a </w:t>
      </w:r>
      <w:r>
        <w:rPr>
          <w:rFonts w:ascii="Consolas" w:cs="Consolas" w:eastAsia="Consolas" w:hAnsi="Consolas"/>
          <w:b/>
          <w:bCs/>
          <w:color w:val="B4500C"/>
          <w:sz w:val="18"/>
          <w:szCs w:val="18"/>
        </w:rPr>
        <w:t xml:space="preserve">Property</w:t>
      </w:r>
      <w:r>
        <w:rPr>
          <w:b/>
          <w:bCs/>
          <w:color w:val="16181D"/>
          <w:sz w:val="21"/>
          <w:szCs w:val="21"/>
        </w:rPr>
        <w:t xml:space="preserve"> or stands alone</w:t>
      </w:r>
      <w:r>
        <w:rPr>
          <w:color w:val="16181D"/>
          <w:sz w:val="21"/>
          <w:szCs w:val="21"/>
        </w:rPr>
        <w:t xml:space="preserve"> for the regional DMV edition. Probably nullable </w:t>
      </w:r>
      <w:r>
        <w:rPr>
          <w:rFonts w:ascii="Consolas" w:cs="Consolas" w:eastAsia="Consolas" w:hAnsi="Consolas"/>
          <w:color w:val="B4500C"/>
          <w:sz w:val="18"/>
          <w:szCs w:val="18"/>
        </w:rPr>
        <w:t xml:space="preserve">propertyId</w:t>
      </w:r>
      <w:r>
        <w:rPr>
          <w:color w:val="16181D"/>
          <w:sz w:val="21"/>
          <w:szCs w:val="21"/>
        </w:rPr>
        <w:t xml:space="preserve">; not yet argued.</w:t>
      </w:r>
    </w:p>
    <w:p>
      <w:pPr>
        <w:pBdr>
          <w:bottom w:val="single" w:color="D5D9E2" w:sz="6"/>
        </w:pBdr>
        <w:spacing w:after="170" w:before="170"/>
      </w:pPr>
    </w:p>
    <w:p>
      <w:pPr>
        <w:spacing w:after="150" w:before="0"/>
      </w:pPr>
      <w:r>
        <w:rPr>
          <w:i/>
          <w:iCs/>
          <w:color w:val="16181D"/>
          <w:sz w:val="21"/>
          <w:szCs w:val="21"/>
        </w:rPr>
        <w:t xml:space="preserve">References: Blueprint §5, §6, §7, §11, §16, §18, §21, §26, §37, §39. Source: "SponsorX NEXT" concept document. Extends </w:t>
      </w:r>
      <w:r>
        <w:rPr>
          <w:rFonts w:ascii="Consolas" w:cs="Consolas" w:eastAsia="Consolas" w:hAnsi="Consolas"/>
          <w:i/>
          <w:iCs/>
          <w:color w:val="B4500C"/>
          <w:sz w:val="18"/>
          <w:szCs w:val="18"/>
        </w:rPr>
        <w:t xml:space="preserve">P2-BE-02</w:t>
      </w:r>
      <w:r>
        <w:rPr>
          <w:i/>
          <w:iCs/>
          <w:color w:val="16181D"/>
          <w:sz w:val="21"/>
          <w:szCs w:val="21"/>
        </w:rPr>
        <w:t xml:space="preserve"> (schema), </w:t>
      </w:r>
      <w:r>
        <w:rPr>
          <w:rFonts w:ascii="Consolas" w:cs="Consolas" w:eastAsia="Consolas" w:hAnsi="Consolas"/>
          <w:i/>
          <w:iCs/>
          <w:color w:val="B4500C"/>
          <w:sz w:val="18"/>
          <w:szCs w:val="18"/>
        </w:rPr>
        <w:t xml:space="preserve">P0-PMO-13</w:t>
      </w:r>
      <w:r>
        <w:rPr>
          <w:i/>
          <w:iCs/>
          <w:color w:val="16181D"/>
          <w:sz w:val="21"/>
          <w:szCs w:val="21"/>
        </w:rPr>
        <w:t xml:space="preserve"> (pricing and package line items), </w:t>
      </w:r>
      <w:r>
        <w:rPr>
          <w:rFonts w:ascii="Consolas" w:cs="Consolas" w:eastAsia="Consolas" w:hAnsi="Consolas"/>
          <w:i/>
          <w:iCs/>
          <w:color w:val="B4500C"/>
          <w:sz w:val="18"/>
          <w:szCs w:val="18"/>
        </w:rPr>
        <w:t xml:space="preserve">P0-DATA-01</w:t>
      </w:r>
      <w:r>
        <w:rPr>
          <w:i/>
          <w:iCs/>
          <w:color w:val="16181D"/>
          <w:sz w:val="21"/>
          <w:szCs w:val="21"/>
        </w:rPr>
        <w:t xml:space="preserve"> (provenance). Amends </w:t>
      </w:r>
      <w:r>
        <w:rPr>
          <w:rFonts w:ascii="Consolas" w:cs="Consolas" w:eastAsia="Consolas" w:hAnsi="Consolas"/>
          <w:i/>
          <w:iCs/>
          <w:color w:val="B4500C"/>
          <w:sz w:val="18"/>
          <w:szCs w:val="18"/>
        </w:rPr>
        <w:t xml:space="preserve">P3-BE-12</w:t>
      </w:r>
      <w:r>
        <w:rPr>
          <w:i/>
          <w:iCs/>
          <w:color w:val="16181D"/>
          <w:sz w:val="21"/>
          <w:szCs w:val="21"/>
        </w:rPr>
        <w:t xml:space="preserve"> (margin floor scope). Gated by `P0-LEG-</w:t>
      </w:r>
      <w:r>
        <w:rPr>
          <w:color w:val="16181D"/>
          <w:sz w:val="21"/>
          <w:szCs w:val="21"/>
        </w:rPr>
        <w:t xml:space="preserve">` (minors, rewards) and the Phase 1 payment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373"/>
        <w:sz w:val="15"/>
        <w:szCs w:val="15"/>
      </w:rPr>
      <w:t xml:space="preserve">P0-PMO-14   ·   </w:t>
    </w:r>
    <w:r>
      <w:rPr>
        <w:color w:val="5C63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2" w:sz="4"/>
      </w:pBdr>
      <w:spacing w:after="140"/>
      <w:jc w:val="right"/>
    </w:pPr>
    <w:r>
      <w:rPr>
        <w:color w:val="5C6373"/>
        <w:sz w:val="15"/>
        <w:szCs w:val="15"/>
      </w:rPr>
      <w:t xml:space="preserve">SponsorX NEXT — Integration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1D"/>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SponsorX NEXT — Integration Specification</dc:title>
  <dc:creator>BTG Sports Group — SponsorX</dc:creator>
  <dc:description>P0-PMO-14 · integration specification for the SponsorX NEXT programme</dc:description>
  <cp:lastModifiedBy>Un-named</cp:lastModifiedBy>
  <cp:revision>1</cp:revision>
  <dcterms:created xsi:type="dcterms:W3CDTF">2026-09-22T03:23:12.176Z</dcterms:created>
  <dcterms:modified xsi:type="dcterms:W3CDTF">2026-09-22T03:23:12.176Z</dcterms:modified>
</cp:coreProperties>
</file>

<file path=docProps/custom.xml><?xml version="1.0" encoding="utf-8"?>
<Properties xmlns="http://schemas.openxmlformats.org/officeDocument/2006/custom-properties" xmlns:vt="http://schemas.openxmlformats.org/officeDocument/2006/docPropsVTypes"/>
</file>