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32"/>
        </w:rPr>
        <w:br/>
        <w:t>BTG SPORTS GROUP</w:t>
        <w:br/>
      </w:r>
      <w:r>
        <w:rPr>
          <w:b/>
          <w:sz w:val="68"/>
        </w:rPr>
        <w:t>SPONSORX</w:t>
        <w:br/>
      </w:r>
      <w:r>
        <w:rPr>
          <w:b/>
          <w:sz w:val="38"/>
        </w:rPr>
        <w:t>PHASES 2-4 DETAILED DEVELOPER SPECIFICATIONS</w:t>
      </w:r>
    </w:p>
    <w:p>
      <w:pPr>
        <w:jc w:val="center"/>
      </w:pPr>
      <w:r>
        <w:rPr>
          <w:i/>
          <w:sz w:val="23"/>
        </w:rPr>
        <w:t>Continuation of the BTG SponsorX Master Development Blueprint</w:t>
      </w:r>
    </w:p>
    <w:p>
      <w:pPr>
        <w:jc w:val="center"/>
      </w:pPr>
      <w:r>
        <w:rPr>
          <w:sz w:val="20"/>
        </w:rPr>
        <w:t>Developer Handoff | Version 1.0 | August 2026</w:t>
      </w:r>
    </w:p>
    <w:p/>
    <w:p>
      <w:pPr>
        <w:jc w:val="center"/>
      </w:pPr>
      <w:r>
        <w:rPr>
          <w:sz w:val="22"/>
        </w:rPr>
        <w:t>Scope: Phase 2 Marketplace &amp; Athlete Commerce | Phase 3 Intelligence &amp; Attribution | Phase 4 INFINEX Integration</w:t>
      </w:r>
    </w:p>
    <w:p>
      <w:r>
        <w:br w:type="page"/>
      </w:r>
    </w:p>
    <w:p>
      <w:pPr>
        <w:pStyle w:val="Heading1"/>
      </w:pPr>
      <w:r>
        <w:t>1. Purpose of This Continuation</w:t>
      </w:r>
    </w:p>
    <w:p>
      <w:r>
        <w:t>This document extends the BTG SponsorX Master Development Blueprint after completion of the Phase 1 MVP. It is intended to be handed directly to the product manager, technical architect, UX team, engineering team, QA team, integration developers, and DevOps resources responsible for taking SponsorX from an internal BTG sponsorship operating system into a scalable multi-tenant sports sponsorship marketplace, intelligence platform, and INFINEX-connected activation engine.</w:t>
      </w:r>
    </w:p>
    <w:p>
      <w:r>
        <w:t>The specifications below are intentionally implementation-oriented. Each phase defines functional scope, user-facing screens, business workflows, API contracts, data-model additions, external integrations, sprint sequencing, acceptance criteria, staffing assumptions, estimated timeline, and planning budget.</w:t>
      </w:r>
    </w:p>
    <w:p>
      <w:pPr>
        <w:pStyle w:val="Heading1"/>
      </w:pPr>
      <w:r>
        <w:t>2. Phase Dependency Summary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728"/>
            <w:shd w:fill="1F4E79"/>
            <w:vAlign w:val="center"/>
          </w:tcPr>
          <w:p>
            <w:pPr>
              <w:spacing w:after="0"/>
            </w:pPr>
            <w:r/>
            <w:r>
              <w:rPr>
                <w:b/>
                <w:color w:val="FFFFFF"/>
                <w:sz w:val="16"/>
              </w:rPr>
              <w:t>Phase</w:t>
            </w:r>
          </w:p>
        </w:tc>
        <w:tc>
          <w:tcPr>
            <w:tcW w:type="dxa" w:w="3888"/>
            <w:shd w:fill="1F4E79"/>
            <w:vAlign w:val="center"/>
          </w:tcPr>
          <w:p>
            <w:pPr>
              <w:spacing w:after="0"/>
            </w:pPr>
            <w:r/>
            <w:r>
              <w:rPr>
                <w:b/>
                <w:color w:val="FFFFFF"/>
                <w:sz w:val="16"/>
              </w:rPr>
              <w:t>Depends On</w:t>
            </w:r>
          </w:p>
        </w:tc>
        <w:tc>
          <w:tcPr>
            <w:tcW w:type="dxa" w:w="4464"/>
            <w:shd w:fill="1F4E79"/>
            <w:vAlign w:val="center"/>
          </w:tcPr>
          <w:p>
            <w:pPr>
              <w:spacing w:after="0"/>
            </w:pPr>
            <w:r/>
            <w:r>
              <w:rPr>
                <w:b/>
                <w:color w:val="FFFFFF"/>
                <w:sz w:val="16"/>
              </w:rPr>
              <w:t>Primary Outcome</w:t>
            </w:r>
          </w:p>
        </w:tc>
      </w:tr>
      <w:tr>
        <w:trPr>
          <w:cantSplit/>
        </w:trPr>
        <w:tc>
          <w:tcPr>
            <w:tcW w:type="dxa" w:w="1728"/>
            <w:vAlign w:val="top"/>
          </w:tcPr>
          <w:p>
            <w:pPr>
              <w:spacing w:after="0"/>
            </w:pPr>
            <w:r/>
            <w:r>
              <w:rPr>
                <w:b w:val="0"/>
                <w:sz w:val="16"/>
              </w:rPr>
              <w:t>Phase 2</w:t>
            </w:r>
          </w:p>
        </w:tc>
        <w:tc>
          <w:tcPr>
            <w:tcW w:type="dxa" w:w="3888"/>
            <w:vAlign w:val="top"/>
          </w:tcPr>
          <w:p>
            <w:pPr>
              <w:spacing w:after="0"/>
            </w:pPr>
            <w:r/>
            <w:r>
              <w:rPr>
                <w:b w:val="0"/>
                <w:sz w:val="16"/>
              </w:rPr>
              <w:t>Phase 1 auth/RBAC, sponsor/property/inventory/campaign/reward models, Zoho integration, core analytics</w:t>
            </w:r>
          </w:p>
        </w:tc>
        <w:tc>
          <w:tcPr>
            <w:tcW w:type="dxa" w:w="4464"/>
            <w:vAlign w:val="top"/>
          </w:tcPr>
          <w:p>
            <w:pPr>
              <w:spacing w:after="0"/>
            </w:pPr>
            <w:r/>
            <w:r>
              <w:rPr>
                <w:b w:val="0"/>
                <w:sz w:val="16"/>
              </w:rPr>
              <w:t>Open SponsorX to outside properties and athletes; enable marketplace transactions, commissions, payouts, wallet rewards, and richer self-service portals.</w:t>
            </w:r>
          </w:p>
        </w:tc>
      </w:tr>
      <w:tr>
        <w:trPr>
          <w:cantSplit/>
        </w:trPr>
        <w:tc>
          <w:tcPr>
            <w:tcW w:type="dxa" w:w="1728"/>
            <w:vAlign w:val="top"/>
          </w:tcPr>
          <w:p>
            <w:pPr>
              <w:spacing w:after="0"/>
            </w:pPr>
            <w:r/>
            <w:r>
              <w:rPr>
                <w:b w:val="0"/>
                <w:sz w:val="16"/>
              </w:rPr>
              <w:t>Phase 3</w:t>
            </w:r>
          </w:p>
        </w:tc>
        <w:tc>
          <w:tcPr>
            <w:tcW w:type="dxa" w:w="3888"/>
            <w:vAlign w:val="top"/>
          </w:tcPr>
          <w:p>
            <w:pPr>
              <w:spacing w:after="0"/>
            </w:pPr>
            <w:r/>
            <w:r>
              <w:rPr>
                <w:b w:val="0"/>
                <w:sz w:val="16"/>
              </w:rPr>
              <w:t>Phase 2 transaction history, campaign performance data, marketplace activity, reliable event ingestion</w:t>
            </w:r>
          </w:p>
        </w:tc>
        <w:tc>
          <w:tcPr>
            <w:tcW w:type="dxa" w:w="4464"/>
            <w:vAlign w:val="top"/>
          </w:tcPr>
          <w:p>
            <w:pPr>
              <w:spacing w:after="0"/>
            </w:pPr>
            <w:r/>
            <w:r>
              <w:rPr>
                <w:b w:val="0"/>
                <w:sz w:val="16"/>
              </w:rPr>
              <w:t>Add dynamic pricing, sponsor-property matching, forecasting, attribution adapters, automated optimization, anomaly detection, and executive intelligence.</w:t>
            </w:r>
          </w:p>
        </w:tc>
      </w:tr>
      <w:tr>
        <w:trPr>
          <w:cantSplit/>
        </w:trPr>
        <w:tc>
          <w:tcPr>
            <w:tcW w:type="dxa" w:w="1728"/>
            <w:vAlign w:val="top"/>
          </w:tcPr>
          <w:p>
            <w:pPr>
              <w:spacing w:after="0"/>
            </w:pPr>
            <w:r/>
            <w:r>
              <w:rPr>
                <w:b w:val="0"/>
                <w:sz w:val="16"/>
              </w:rPr>
              <w:t>Phase 4</w:t>
            </w:r>
          </w:p>
        </w:tc>
        <w:tc>
          <w:tcPr>
            <w:tcW w:type="dxa" w:w="3888"/>
            <w:vAlign w:val="top"/>
          </w:tcPr>
          <w:p>
            <w:pPr>
              <w:spacing w:after="0"/>
            </w:pPr>
            <w:r/>
            <w:r>
              <w:rPr>
                <w:b w:val="0"/>
                <w:sz w:val="16"/>
              </w:rPr>
              <w:t>Stable SponsorX APIs, campaign/reward engine, identity/session model, metrics pipeline</w:t>
            </w:r>
          </w:p>
        </w:tc>
        <w:tc>
          <w:tcPr>
            <w:tcW w:type="dxa" w:w="4464"/>
            <w:vAlign w:val="top"/>
          </w:tcPr>
          <w:p>
            <w:pPr>
              <w:spacing w:after="0"/>
            </w:pPr>
            <w:r/>
            <w:r>
              <w:rPr>
                <w:b w:val="0"/>
                <w:sz w:val="16"/>
              </w:rPr>
              <w:t>Turn INFINEX World into a measurable sponsorship channel with virtual placements, branded environments, interactive activations, rewards, and cross-channel reporting.</w:t>
            </w:r>
          </w:p>
        </w:tc>
      </w:tr>
    </w:tbl>
    <w:p/>
    <w:p>
      <w:pPr>
        <w:pStyle w:val="Heading1"/>
      </w:pPr>
      <w:r>
        <w:t>3. Cross-Phase Engineering Standards</w:t>
      </w:r>
    </w:p>
    <w:p>
      <w:pPr>
        <w:pStyle w:val="ListBullet"/>
        <w:spacing w:after="20"/>
      </w:pPr>
      <w:r>
        <w:t>API-first architecture: every major user-facing capability must be available through authenticated services.</w:t>
      </w:r>
    </w:p>
    <w:p>
      <w:pPr>
        <w:pStyle w:val="ListBullet"/>
        <w:spacing w:after="20"/>
      </w:pPr>
      <w:r>
        <w:t>Multi-tenant isolation: all records, API calls, analytics queries, uploads, payouts, and integrations must be tenant-scoped.</w:t>
      </w:r>
    </w:p>
    <w:p>
      <w:pPr>
        <w:pStyle w:val="ListBullet"/>
        <w:spacing w:after="20"/>
      </w:pPr>
      <w:r>
        <w:t>Event-driven integrations: use queues/webhooks/background workers for external systems instead of blocking primary user workflows.</w:t>
      </w:r>
    </w:p>
    <w:p>
      <w:pPr>
        <w:pStyle w:val="ListBullet"/>
        <w:spacing w:after="20"/>
      </w:pPr>
      <w:r>
        <w:t>Idempotency: all payment, webhook, reward, attribution, and event-ingestion endpoints must prevent duplicate side effects.</w:t>
      </w:r>
    </w:p>
    <w:p>
      <w:pPr>
        <w:pStyle w:val="ListBullet"/>
        <w:spacing w:after="20"/>
      </w:pPr>
      <w:r>
        <w:t>Auditability: pricing overrides, campaign edits, payouts, attribution changes, approval decisions, and role changes must be logged.</w:t>
      </w:r>
    </w:p>
    <w:p>
      <w:pPr>
        <w:pStyle w:val="ListBullet"/>
        <w:spacing w:after="20"/>
      </w:pPr>
      <w:r>
        <w:t>Explainability: recommended prices, match scores, forecasts, and attributed revenue must expose source/logic metadata to authorized users.</w:t>
      </w:r>
    </w:p>
    <w:p>
      <w:pPr>
        <w:pStyle w:val="ListBullet"/>
        <w:spacing w:after="20"/>
      </w:pPr>
      <w:r>
        <w:t>Feature flags: all major Phase 2-4 capabilities should be launchable per tenant or environment.</w:t>
      </w:r>
    </w:p>
    <w:p>
      <w:pPr>
        <w:pStyle w:val="ListBullet"/>
        <w:spacing w:after="20"/>
      </w:pPr>
      <w:r>
        <w:t>Observability: structured logs, tracing, job monitoring, retry dashboards, alerting, and error tracking are required before production release.</w:t>
      </w:r>
    </w:p>
    <w:p>
      <w:pPr>
        <w:pStyle w:val="ListBullet"/>
        <w:spacing w:after="20"/>
      </w:pPr>
      <w:r>
        <w:t>Privacy by design: minimize fan identity, separate consent from campaign behavior, and avoid exposing raw PII in analytics interfaces.</w:t>
      </w:r>
    </w:p>
    <w:p>
      <w:pPr>
        <w:pStyle w:val="ListBullet"/>
        <w:spacing w:after="20"/>
      </w:pPr>
      <w:r>
        <w:t>Provider abstraction: payment, wallet, social-data, commerce-attribution, messaging, and INFINEX integrations should use adapter interfaces.</w:t>
      </w:r>
    </w:p>
    <w:p>
      <w:r>
        <w:br w:type="page"/>
      </w:r>
    </w:p>
    <w:tbl>
      <w:tblPr>
        <w:tblStyle w:val="TableGrid"/>
        <w:tblW w:type="auto" w:w="0"/>
        <w:tblLook w:firstColumn="1" w:firstRow="1" w:lastColumn="0" w:lastRow="0" w:noHBand="0" w:noVBand="1" w:val="04A0"/>
      </w:tblPr>
      <w:tblGrid>
        <w:gridCol w:w="10368"/>
      </w:tblGrid>
      <w:tr>
        <w:trPr>
          <w:cantSplit/>
        </w:trPr>
        <w:tc>
          <w:tcPr>
            <w:tcW w:type="dxa" w:w="10368"/>
            <w:shd w:fill="17365D"/>
          </w:tcPr>
          <w:p>
            <w:pPr>
              <w:jc w:val="center"/>
            </w:pPr>
            <w:r/>
            <w:r>
              <w:rPr>
                <w:b/>
                <w:color w:val="FFFFFF"/>
                <w:sz w:val="40"/>
              </w:rPr>
              <w:t>PHASE 2 - MARKETPLACE &amp; ATHLETE COMMERCE</w:t>
            </w:r>
          </w:p>
          <w:p>
            <w:pPr>
              <w:jc w:val="center"/>
            </w:pPr>
            <w:r>
              <w:rPr>
                <w:color w:val="FFFFFF"/>
                <w:sz w:val="21"/>
              </w:rPr>
              <w:t>Target: convert SponsorX from BTG-only operations into a multi-tenant sponsorship marketplace.</w:t>
            </w:r>
          </w:p>
        </w:tc>
      </w:tr>
    </w:tbl>
    <w:p/>
    <w:p>
      <w:pPr>
        <w:pStyle w:val="Heading1"/>
      </w:pPr>
      <w:r>
        <w:t>4. Phase 2 Business Goal</w:t>
      </w:r>
    </w:p>
    <w:p>
      <w:r>
        <w:t>Phase 2 turns SponsorX into a true marketplace. External athletes, teams, programs, events, media properties, and approved partners can onboard, publish inventory, receive campaign offers, complete sponsor deliverables, track earnings, and receive payouts. Sponsors gain self-service purchasing/reservation capabilities, while BTG retains marketplace governance, approval control, quality assurance, and revenue-share management.</w:t>
      </w:r>
    </w:p>
    <w:p>
      <w:pPr>
        <w:pStyle w:val="Heading1"/>
      </w:pPr>
      <w:r>
        <w:t>5. Phase 2 Feature Modules</w:t>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shd w:fill="1F4E79"/>
            <w:vAlign w:val="center"/>
          </w:tcPr>
          <w:p>
            <w:pPr>
              <w:spacing w:after="0"/>
            </w:pPr>
            <w:r/>
            <w:r>
              <w:rPr>
                <w:b/>
                <w:color w:val="FFFFFF"/>
                <w:sz w:val="16"/>
              </w:rPr>
              <w:t>Module</w:t>
            </w:r>
          </w:p>
        </w:tc>
        <w:tc>
          <w:tcPr>
            <w:tcW w:type="dxa" w:w="7200"/>
            <w:shd w:fill="1F4E79"/>
            <w:vAlign w:val="center"/>
          </w:tcPr>
          <w:p>
            <w:pPr>
              <w:spacing w:after="0"/>
            </w:pPr>
            <w:r/>
            <w:r>
              <w:rPr>
                <w:b/>
                <w:color w:val="FFFFFF"/>
                <w:sz w:val="16"/>
              </w:rPr>
              <w:t>Required Capability</w:t>
            </w:r>
          </w:p>
        </w:tc>
      </w:tr>
      <w:tr>
        <w:trPr>
          <w:cantSplit/>
        </w:trPr>
        <w:tc>
          <w:tcPr>
            <w:tcW w:type="dxa" w:w="2880"/>
            <w:vAlign w:val="top"/>
          </w:tcPr>
          <w:p>
            <w:pPr>
              <w:spacing w:after="0"/>
            </w:pPr>
            <w:r/>
            <w:r>
              <w:rPr>
                <w:b w:val="0"/>
                <w:sz w:val="16"/>
              </w:rPr>
              <w:t>Multi-Tenant Property Onboarding</w:t>
            </w:r>
          </w:p>
        </w:tc>
        <w:tc>
          <w:tcPr>
            <w:tcW w:type="dxa" w:w="7200"/>
            <w:vAlign w:val="top"/>
          </w:tcPr>
          <w:p>
            <w:pPr>
              <w:spacing w:after="0"/>
            </w:pPr>
            <w:r/>
            <w:r>
              <w:rPr>
                <w:b w:val="0"/>
                <w:sz w:val="16"/>
              </w:rPr>
              <w:t>Organization signup, identity verification, property type selection, business profile, banking/payout onboarding, contracts/terms acceptance, approval workflow.</w:t>
            </w:r>
          </w:p>
        </w:tc>
      </w:tr>
      <w:tr>
        <w:trPr>
          <w:cantSplit/>
        </w:trPr>
        <w:tc>
          <w:tcPr>
            <w:tcW w:type="dxa" w:w="2880"/>
            <w:vAlign w:val="top"/>
          </w:tcPr>
          <w:p>
            <w:pPr>
              <w:spacing w:after="0"/>
            </w:pPr>
            <w:r/>
            <w:r>
              <w:rPr>
                <w:b w:val="0"/>
                <w:sz w:val="16"/>
              </w:rPr>
              <w:t>Athlete Commerce Portal</w:t>
            </w:r>
          </w:p>
        </w:tc>
        <w:tc>
          <w:tcPr>
            <w:tcW w:type="dxa" w:w="7200"/>
            <w:vAlign w:val="top"/>
          </w:tcPr>
          <w:p>
            <w:pPr>
              <w:spacing w:after="0"/>
            </w:pPr>
            <w:r/>
            <w:r>
              <w:rPr>
                <w:b w:val="0"/>
                <w:sz w:val="16"/>
              </w:rPr>
              <w:t>Athlete profile, rates, brand restrictions, NIL inventory, campaign invites, content approvals, deliverables, earnings, payout history.</w:t>
            </w:r>
          </w:p>
        </w:tc>
      </w:tr>
      <w:tr>
        <w:trPr>
          <w:cantSplit/>
        </w:trPr>
        <w:tc>
          <w:tcPr>
            <w:tcW w:type="dxa" w:w="2880"/>
            <w:vAlign w:val="top"/>
          </w:tcPr>
          <w:p>
            <w:pPr>
              <w:spacing w:after="0"/>
            </w:pPr>
            <w:r/>
            <w:r>
              <w:rPr>
                <w:b w:val="0"/>
                <w:sz w:val="16"/>
              </w:rPr>
              <w:t>Team / Program Portal</w:t>
            </w:r>
          </w:p>
        </w:tc>
        <w:tc>
          <w:tcPr>
            <w:tcW w:type="dxa" w:w="7200"/>
            <w:vAlign w:val="top"/>
          </w:tcPr>
          <w:p>
            <w:pPr>
              <w:spacing w:after="0"/>
            </w:pPr>
            <w:r/>
            <w:r>
              <w:rPr>
                <w:b w:val="0"/>
                <w:sz w:val="16"/>
              </w:rPr>
              <w:t>Roster, properties, inventory, campaigns, users, revenue shares, team-level reporting.</w:t>
            </w:r>
          </w:p>
        </w:tc>
      </w:tr>
      <w:tr>
        <w:trPr>
          <w:cantSplit/>
        </w:trPr>
        <w:tc>
          <w:tcPr>
            <w:tcW w:type="dxa" w:w="2880"/>
            <w:vAlign w:val="top"/>
          </w:tcPr>
          <w:p>
            <w:pPr>
              <w:spacing w:after="0"/>
            </w:pPr>
            <w:r/>
            <w:r>
              <w:rPr>
                <w:b w:val="0"/>
                <w:sz w:val="16"/>
              </w:rPr>
              <w:t>Marketplace Listing Engine</w:t>
            </w:r>
          </w:p>
        </w:tc>
        <w:tc>
          <w:tcPr>
            <w:tcW w:type="dxa" w:w="7200"/>
            <w:vAlign w:val="top"/>
          </w:tcPr>
          <w:p>
            <w:pPr>
              <w:spacing w:after="0"/>
            </w:pPr>
            <w:r/>
            <w:r>
              <w:rPr>
                <w:b w:val="0"/>
                <w:sz w:val="16"/>
              </w:rPr>
              <w:t>Public/private listings, availability, packages, limited quantity, reservations, waitlists, exclusivity/conflict rules.</w:t>
            </w:r>
          </w:p>
        </w:tc>
      </w:tr>
      <w:tr>
        <w:trPr>
          <w:cantSplit/>
        </w:trPr>
        <w:tc>
          <w:tcPr>
            <w:tcW w:type="dxa" w:w="2880"/>
            <w:vAlign w:val="top"/>
          </w:tcPr>
          <w:p>
            <w:pPr>
              <w:spacing w:after="0"/>
            </w:pPr>
            <w:r/>
            <w:r>
              <w:rPr>
                <w:b w:val="0"/>
                <w:sz w:val="16"/>
              </w:rPr>
              <w:t>Cart / Reservation / Checkout</w:t>
            </w:r>
          </w:p>
        </w:tc>
        <w:tc>
          <w:tcPr>
            <w:tcW w:type="dxa" w:w="7200"/>
            <w:vAlign w:val="top"/>
          </w:tcPr>
          <w:p>
            <w:pPr>
              <w:spacing w:after="0"/>
            </w:pPr>
            <w:r/>
            <w:r>
              <w:rPr>
                <w:b w:val="0"/>
                <w:sz w:val="16"/>
              </w:rPr>
              <w:t>Inventory selection, quote, deposits/full payment, taxes/fees metadata, contract approval gates, payment-status tracking.</w:t>
            </w:r>
          </w:p>
        </w:tc>
      </w:tr>
      <w:tr>
        <w:trPr>
          <w:cantSplit/>
        </w:trPr>
        <w:tc>
          <w:tcPr>
            <w:tcW w:type="dxa" w:w="2880"/>
            <w:vAlign w:val="top"/>
          </w:tcPr>
          <w:p>
            <w:pPr>
              <w:spacing w:after="0"/>
            </w:pPr>
            <w:r/>
            <w:r>
              <w:rPr>
                <w:b w:val="0"/>
                <w:sz w:val="16"/>
              </w:rPr>
              <w:t>Commission Engine</w:t>
            </w:r>
          </w:p>
        </w:tc>
        <w:tc>
          <w:tcPr>
            <w:tcW w:type="dxa" w:w="7200"/>
            <w:vAlign w:val="top"/>
          </w:tcPr>
          <w:p>
            <w:pPr>
              <w:spacing w:after="0"/>
            </w:pPr>
            <w:r/>
            <w:r>
              <w:rPr>
                <w:b w:val="0"/>
                <w:sz w:val="16"/>
              </w:rPr>
              <w:t>Platform fee, BTG management fee, athlete/property share, referral fee, tax/withholding metadata, payout eligibility.</w:t>
            </w:r>
          </w:p>
        </w:tc>
      </w:tr>
      <w:tr>
        <w:trPr>
          <w:cantSplit/>
        </w:trPr>
        <w:tc>
          <w:tcPr>
            <w:tcW w:type="dxa" w:w="2880"/>
            <w:vAlign w:val="top"/>
          </w:tcPr>
          <w:p>
            <w:pPr>
              <w:spacing w:after="0"/>
            </w:pPr>
            <w:r/>
            <w:r>
              <w:rPr>
                <w:b w:val="0"/>
                <w:sz w:val="16"/>
              </w:rPr>
              <w:t>Payout Orchestration</w:t>
            </w:r>
          </w:p>
        </w:tc>
        <w:tc>
          <w:tcPr>
            <w:tcW w:type="dxa" w:w="7200"/>
            <w:vAlign w:val="top"/>
          </w:tcPr>
          <w:p>
            <w:pPr>
              <w:spacing w:after="0"/>
            </w:pPr>
            <w:r/>
            <w:r>
              <w:rPr>
                <w:b w:val="0"/>
                <w:sz w:val="16"/>
              </w:rPr>
              <w:t>Connected account status, balance ledger, payout requests/approvals, payout status, exceptions.</w:t>
            </w:r>
          </w:p>
        </w:tc>
      </w:tr>
      <w:tr>
        <w:trPr>
          <w:cantSplit/>
        </w:trPr>
        <w:tc>
          <w:tcPr>
            <w:tcW w:type="dxa" w:w="2880"/>
            <w:vAlign w:val="top"/>
          </w:tcPr>
          <w:p>
            <w:pPr>
              <w:spacing w:after="0"/>
            </w:pPr>
            <w:r/>
            <w:r>
              <w:rPr>
                <w:b w:val="0"/>
                <w:sz w:val="16"/>
              </w:rPr>
              <w:t>Digital Wallet Rewards</w:t>
            </w:r>
          </w:p>
        </w:tc>
        <w:tc>
          <w:tcPr>
            <w:tcW w:type="dxa" w:w="7200"/>
            <w:vAlign w:val="top"/>
          </w:tcPr>
          <w:p>
            <w:pPr>
              <w:spacing w:after="0"/>
            </w:pPr>
            <w:r/>
            <w:r>
              <w:rPr>
                <w:b w:val="0"/>
                <w:sz w:val="16"/>
              </w:rPr>
              <w:t>Apple/Google Wallet issuance adapter, pass updates, expiration, redemption-state changes.</w:t>
            </w:r>
          </w:p>
        </w:tc>
      </w:tr>
      <w:tr>
        <w:trPr>
          <w:cantSplit/>
        </w:trPr>
        <w:tc>
          <w:tcPr>
            <w:tcW w:type="dxa" w:w="2880"/>
            <w:vAlign w:val="top"/>
          </w:tcPr>
          <w:p>
            <w:pPr>
              <w:spacing w:after="0"/>
            </w:pPr>
            <w:r/>
            <w:r>
              <w:rPr>
                <w:b w:val="0"/>
                <w:sz w:val="16"/>
              </w:rPr>
              <w:t>Enhanced Messaging</w:t>
            </w:r>
          </w:p>
        </w:tc>
        <w:tc>
          <w:tcPr>
            <w:tcW w:type="dxa" w:w="7200"/>
            <w:vAlign w:val="top"/>
          </w:tcPr>
          <w:p>
            <w:pPr>
              <w:spacing w:after="0"/>
            </w:pPr>
            <w:r/>
            <w:r>
              <w:rPr>
                <w:b w:val="0"/>
                <w:sz w:val="16"/>
              </w:rPr>
              <w:t>Transactional email/SMS/push-ready notifications for offers, deadlines, approval requests, reward delivery, payout status.</w:t>
            </w:r>
          </w:p>
        </w:tc>
      </w:tr>
      <w:tr>
        <w:trPr>
          <w:cantSplit/>
        </w:trPr>
        <w:tc>
          <w:tcPr>
            <w:tcW w:type="dxa" w:w="2880"/>
            <w:vAlign w:val="top"/>
          </w:tcPr>
          <w:p>
            <w:pPr>
              <w:spacing w:after="0"/>
            </w:pPr>
            <w:r/>
            <w:r>
              <w:rPr>
                <w:b w:val="0"/>
                <w:sz w:val="16"/>
              </w:rPr>
              <w:t>External Property Analytics</w:t>
            </w:r>
          </w:p>
        </w:tc>
        <w:tc>
          <w:tcPr>
            <w:tcW w:type="dxa" w:w="7200"/>
            <w:vAlign w:val="top"/>
          </w:tcPr>
          <w:p>
            <w:pPr>
              <w:spacing w:after="0"/>
            </w:pPr>
            <w:r/>
            <w:r>
              <w:rPr>
                <w:b w:val="0"/>
                <w:sz w:val="16"/>
              </w:rPr>
              <w:t>Per-property sales, inventory utilization, campaign performance, sponsor renewal and earnings dashboard.</w:t>
            </w:r>
          </w:p>
        </w:tc>
      </w:tr>
      <w:tr>
        <w:trPr>
          <w:cantSplit/>
        </w:trPr>
        <w:tc>
          <w:tcPr>
            <w:tcW w:type="dxa" w:w="2880"/>
            <w:vAlign w:val="top"/>
          </w:tcPr>
          <w:p>
            <w:pPr>
              <w:spacing w:after="0"/>
            </w:pPr>
            <w:r/>
            <w:r>
              <w:rPr>
                <w:b w:val="0"/>
                <w:sz w:val="16"/>
              </w:rPr>
              <w:t>Marketplace Governance</w:t>
            </w:r>
          </w:p>
        </w:tc>
        <w:tc>
          <w:tcPr>
            <w:tcW w:type="dxa" w:w="7200"/>
            <w:vAlign w:val="top"/>
          </w:tcPr>
          <w:p>
            <w:pPr>
              <w:spacing w:after="0"/>
            </w:pPr>
            <w:r/>
            <w:r>
              <w:rPr>
                <w:b w:val="0"/>
                <w:sz w:val="16"/>
              </w:rPr>
              <w:t>Property verification, listing moderation, pricing floors, category conflicts, brand safety, dispute/exception handling.</w:t>
            </w:r>
          </w:p>
        </w:tc>
      </w:tr>
      <w:tr>
        <w:trPr>
          <w:cantSplit/>
        </w:trPr>
        <w:tc>
          <w:tcPr>
            <w:tcW w:type="dxa" w:w="2880"/>
            <w:vAlign w:val="top"/>
          </w:tcPr>
          <w:p>
            <w:pPr>
              <w:spacing w:after="0"/>
            </w:pPr>
            <w:r/>
            <w:r>
              <w:rPr>
                <w:b w:val="0"/>
                <w:sz w:val="16"/>
              </w:rPr>
              <w:t>White-Label Readiness</w:t>
            </w:r>
          </w:p>
        </w:tc>
        <w:tc>
          <w:tcPr>
            <w:tcW w:type="dxa" w:w="7200"/>
            <w:vAlign w:val="top"/>
          </w:tcPr>
          <w:p>
            <w:pPr>
              <w:spacing w:after="0"/>
            </w:pPr>
            <w:r/>
            <w:r>
              <w:rPr>
                <w:b w:val="0"/>
                <w:sz w:val="16"/>
              </w:rPr>
              <w:t>Tenant logo/colors, custom subdomain mapping readiness, branded reports and sponsor-facing portal options.</w:t>
            </w:r>
          </w:p>
        </w:tc>
      </w:tr>
    </w:tbl>
    <w:p/>
    <w:p>
      <w:pPr>
        <w:pStyle w:val="Heading1"/>
      </w:pPr>
      <w:r>
        <w:t>6. Phase 2 New Screens</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shd w:fill="1F4E79"/>
            <w:vAlign w:val="center"/>
          </w:tcPr>
          <w:p>
            <w:pPr>
              <w:spacing w:after="0"/>
            </w:pPr>
            <w:r/>
            <w:r>
              <w:rPr>
                <w:b/>
                <w:color w:val="FFFFFF"/>
                <w:sz w:val="16"/>
              </w:rPr>
              <w:t>Screen ID</w:t>
            </w:r>
          </w:p>
        </w:tc>
        <w:tc>
          <w:tcPr>
            <w:tcW w:type="dxa" w:w="7056"/>
            <w:shd w:fill="1F4E79"/>
            <w:vAlign w:val="center"/>
          </w:tcPr>
          <w:p>
            <w:pPr>
              <w:spacing w:after="0"/>
            </w:pPr>
            <w:r/>
            <w:r>
              <w:rPr>
                <w:b/>
                <w:color w:val="FFFFFF"/>
                <w:sz w:val="16"/>
              </w:rPr>
              <w:t>Purpose</w:t>
            </w:r>
          </w:p>
        </w:tc>
      </w:tr>
      <w:tr>
        <w:trPr>
          <w:cantSplit/>
        </w:trPr>
        <w:tc>
          <w:tcPr>
            <w:tcW w:type="dxa" w:w="3024"/>
            <w:vAlign w:val="top"/>
          </w:tcPr>
          <w:p>
            <w:pPr>
              <w:spacing w:after="0"/>
            </w:pPr>
            <w:r/>
            <w:r>
              <w:rPr>
                <w:b w:val="0"/>
                <w:sz w:val="16"/>
              </w:rPr>
              <w:t>P2-01 Property Onboarding Wizard</w:t>
            </w:r>
          </w:p>
        </w:tc>
        <w:tc>
          <w:tcPr>
            <w:tcW w:type="dxa" w:w="7056"/>
            <w:vAlign w:val="top"/>
          </w:tcPr>
          <w:p>
            <w:pPr>
              <w:spacing w:after="0"/>
            </w:pPr>
            <w:r/>
            <w:r>
              <w:rPr>
                <w:b w:val="0"/>
                <w:sz w:val="16"/>
              </w:rPr>
              <w:t>5-7 step wizard: organization, type, contacts, business details, tax/payout details, agreements, review/submit.</w:t>
            </w:r>
          </w:p>
        </w:tc>
      </w:tr>
      <w:tr>
        <w:trPr>
          <w:cantSplit/>
        </w:trPr>
        <w:tc>
          <w:tcPr>
            <w:tcW w:type="dxa" w:w="3024"/>
            <w:vAlign w:val="top"/>
          </w:tcPr>
          <w:p>
            <w:pPr>
              <w:spacing w:after="0"/>
            </w:pPr>
            <w:r/>
            <w:r>
              <w:rPr>
                <w:b w:val="0"/>
                <w:sz w:val="16"/>
              </w:rPr>
              <w:t>P2-02 Property Verification Queue</w:t>
            </w:r>
          </w:p>
        </w:tc>
        <w:tc>
          <w:tcPr>
            <w:tcW w:type="dxa" w:w="7056"/>
            <w:vAlign w:val="top"/>
          </w:tcPr>
          <w:p>
            <w:pPr>
              <w:spacing w:after="0"/>
            </w:pPr>
            <w:r/>
            <w:r>
              <w:rPr>
                <w:b w:val="0"/>
                <w:sz w:val="16"/>
              </w:rPr>
              <w:t>BTG admin review of submitted properties; approve, request changes, reject, suspend.</w:t>
            </w:r>
          </w:p>
        </w:tc>
      </w:tr>
      <w:tr>
        <w:trPr>
          <w:cantSplit/>
        </w:trPr>
        <w:tc>
          <w:tcPr>
            <w:tcW w:type="dxa" w:w="3024"/>
            <w:vAlign w:val="top"/>
          </w:tcPr>
          <w:p>
            <w:pPr>
              <w:spacing w:after="0"/>
            </w:pPr>
            <w:r/>
            <w:r>
              <w:rPr>
                <w:b w:val="0"/>
                <w:sz w:val="16"/>
              </w:rPr>
              <w:t>P2-03 Athlete Portal Home</w:t>
            </w:r>
          </w:p>
        </w:tc>
        <w:tc>
          <w:tcPr>
            <w:tcW w:type="dxa" w:w="7056"/>
            <w:vAlign w:val="top"/>
          </w:tcPr>
          <w:p>
            <w:pPr>
              <w:spacing w:after="0"/>
            </w:pPr>
            <w:r/>
            <w:r>
              <w:rPr>
                <w:b w:val="0"/>
                <w:sz w:val="16"/>
              </w:rPr>
              <w:t>Upcoming campaigns, approval requests, overdue deliverables, earnings YTD, payout status, inventory performance.</w:t>
            </w:r>
          </w:p>
        </w:tc>
      </w:tr>
      <w:tr>
        <w:trPr>
          <w:cantSplit/>
        </w:trPr>
        <w:tc>
          <w:tcPr>
            <w:tcW w:type="dxa" w:w="3024"/>
            <w:vAlign w:val="top"/>
          </w:tcPr>
          <w:p>
            <w:pPr>
              <w:spacing w:after="0"/>
            </w:pPr>
            <w:r/>
            <w:r>
              <w:rPr>
                <w:b w:val="0"/>
                <w:sz w:val="16"/>
              </w:rPr>
              <w:t>P2-04 Athlete Inventory Manager</w:t>
            </w:r>
          </w:p>
        </w:tc>
        <w:tc>
          <w:tcPr>
            <w:tcW w:type="dxa" w:w="7056"/>
            <w:vAlign w:val="top"/>
          </w:tcPr>
          <w:p>
            <w:pPr>
              <w:spacing w:after="0"/>
            </w:pPr>
            <w:r/>
            <w:r>
              <w:rPr>
                <w:b w:val="0"/>
                <w:sz w:val="16"/>
              </w:rPr>
              <w:t>Create/edit NIL items, rates, availability, categories, restrictions, package rules.</w:t>
            </w:r>
          </w:p>
        </w:tc>
      </w:tr>
      <w:tr>
        <w:trPr>
          <w:cantSplit/>
        </w:trPr>
        <w:tc>
          <w:tcPr>
            <w:tcW w:type="dxa" w:w="3024"/>
            <w:vAlign w:val="top"/>
          </w:tcPr>
          <w:p>
            <w:pPr>
              <w:spacing w:after="0"/>
            </w:pPr>
            <w:r/>
            <w:r>
              <w:rPr>
                <w:b w:val="0"/>
                <w:sz w:val="16"/>
              </w:rPr>
              <w:t>P2-05 Athlete Campaign Offer</w:t>
            </w:r>
          </w:p>
        </w:tc>
        <w:tc>
          <w:tcPr>
            <w:tcW w:type="dxa" w:w="7056"/>
            <w:vAlign w:val="top"/>
          </w:tcPr>
          <w:p>
            <w:pPr>
              <w:spacing w:after="0"/>
            </w:pPr>
            <w:r/>
            <w:r>
              <w:rPr>
                <w:b w:val="0"/>
                <w:sz w:val="16"/>
              </w:rPr>
              <w:t>Sponsor brief, compensation, deliverables, usage rights, deadlines, approve/decline/request change.</w:t>
            </w:r>
          </w:p>
        </w:tc>
      </w:tr>
      <w:tr>
        <w:trPr>
          <w:cantSplit/>
        </w:trPr>
        <w:tc>
          <w:tcPr>
            <w:tcW w:type="dxa" w:w="3024"/>
            <w:vAlign w:val="top"/>
          </w:tcPr>
          <w:p>
            <w:pPr>
              <w:spacing w:after="0"/>
            </w:pPr>
            <w:r/>
            <w:r>
              <w:rPr>
                <w:b w:val="0"/>
                <w:sz w:val="16"/>
              </w:rPr>
              <w:t>P2-06 Team/Program Dashboard</w:t>
            </w:r>
          </w:p>
        </w:tc>
        <w:tc>
          <w:tcPr>
            <w:tcW w:type="dxa" w:w="7056"/>
            <w:vAlign w:val="top"/>
          </w:tcPr>
          <w:p>
            <w:pPr>
              <w:spacing w:after="0"/>
            </w:pPr>
            <w:r/>
            <w:r>
              <w:rPr>
                <w:b w:val="0"/>
                <w:sz w:val="16"/>
              </w:rPr>
              <w:t>Roster, property inventory, campaigns, revenue, tasks, performance.</w:t>
            </w:r>
          </w:p>
        </w:tc>
      </w:tr>
      <w:tr>
        <w:trPr>
          <w:cantSplit/>
        </w:trPr>
        <w:tc>
          <w:tcPr>
            <w:tcW w:type="dxa" w:w="3024"/>
            <w:vAlign w:val="top"/>
          </w:tcPr>
          <w:p>
            <w:pPr>
              <w:spacing w:after="0"/>
            </w:pPr>
            <w:r/>
            <w:r>
              <w:rPr>
                <w:b w:val="0"/>
                <w:sz w:val="16"/>
              </w:rPr>
              <w:t>P2-07 Marketplace Listing Editor</w:t>
            </w:r>
          </w:p>
        </w:tc>
        <w:tc>
          <w:tcPr>
            <w:tcW w:type="dxa" w:w="7056"/>
            <w:vAlign w:val="top"/>
          </w:tcPr>
          <w:p>
            <w:pPr>
              <w:spacing w:after="0"/>
            </w:pPr>
            <w:r/>
            <w:r>
              <w:rPr>
                <w:b w:val="0"/>
                <w:sz w:val="16"/>
              </w:rPr>
              <w:t>Listing data, pricing, package builder, preview, approval status, visibility settings.</w:t>
            </w:r>
          </w:p>
        </w:tc>
      </w:tr>
      <w:tr>
        <w:trPr>
          <w:cantSplit/>
        </w:trPr>
        <w:tc>
          <w:tcPr>
            <w:tcW w:type="dxa" w:w="3024"/>
            <w:vAlign w:val="top"/>
          </w:tcPr>
          <w:p>
            <w:pPr>
              <w:spacing w:after="0"/>
            </w:pPr>
            <w:r/>
            <w:r>
              <w:rPr>
                <w:b w:val="0"/>
                <w:sz w:val="16"/>
              </w:rPr>
              <w:t>P2-08 Marketplace Cart / Reservation</w:t>
            </w:r>
          </w:p>
        </w:tc>
        <w:tc>
          <w:tcPr>
            <w:tcW w:type="dxa" w:w="7056"/>
            <w:vAlign w:val="top"/>
          </w:tcPr>
          <w:p>
            <w:pPr>
              <w:spacing w:after="0"/>
            </w:pPr>
            <w:r/>
            <w:r>
              <w:rPr>
                <w:b w:val="0"/>
                <w:sz w:val="16"/>
              </w:rPr>
              <w:t>Selected inventory, quantities, sponsorship package summary, price/fees, reservation timer if enabled.</w:t>
            </w:r>
          </w:p>
        </w:tc>
      </w:tr>
      <w:tr>
        <w:trPr>
          <w:cantSplit/>
        </w:trPr>
        <w:tc>
          <w:tcPr>
            <w:tcW w:type="dxa" w:w="3024"/>
            <w:vAlign w:val="top"/>
          </w:tcPr>
          <w:p>
            <w:pPr>
              <w:spacing w:after="0"/>
            </w:pPr>
            <w:r/>
            <w:r>
              <w:rPr>
                <w:b w:val="0"/>
                <w:sz w:val="16"/>
              </w:rPr>
              <w:t>P2-09 Checkout / Contract Gate</w:t>
            </w:r>
          </w:p>
        </w:tc>
        <w:tc>
          <w:tcPr>
            <w:tcW w:type="dxa" w:w="7056"/>
            <w:vAlign w:val="top"/>
          </w:tcPr>
          <w:p>
            <w:pPr>
              <w:spacing w:after="0"/>
            </w:pPr>
            <w:r/>
            <w:r>
              <w:rPr>
                <w:b w:val="0"/>
                <w:sz w:val="16"/>
              </w:rPr>
              <w:t>Billing/contact info, agreement acceptance, deposit/full payment options, approval conditions.</w:t>
            </w:r>
          </w:p>
        </w:tc>
      </w:tr>
      <w:tr>
        <w:trPr>
          <w:cantSplit/>
        </w:trPr>
        <w:tc>
          <w:tcPr>
            <w:tcW w:type="dxa" w:w="3024"/>
            <w:vAlign w:val="top"/>
          </w:tcPr>
          <w:p>
            <w:pPr>
              <w:spacing w:after="0"/>
            </w:pPr>
            <w:r/>
            <w:r>
              <w:rPr>
                <w:b w:val="0"/>
                <w:sz w:val="16"/>
              </w:rPr>
              <w:t>P2-10 Commission &amp; Revenue Share Editor</w:t>
            </w:r>
          </w:p>
        </w:tc>
        <w:tc>
          <w:tcPr>
            <w:tcW w:type="dxa" w:w="7056"/>
            <w:vAlign w:val="top"/>
          </w:tcPr>
          <w:p>
            <w:pPr>
              <w:spacing w:after="0"/>
            </w:pPr>
            <w:r/>
            <w:r>
              <w:rPr>
                <w:b w:val="0"/>
                <w:sz w:val="16"/>
              </w:rPr>
              <w:t>Configure split rules by property, athlete, campaign, inventory type, or partner.</w:t>
            </w:r>
          </w:p>
        </w:tc>
      </w:tr>
      <w:tr>
        <w:trPr>
          <w:cantSplit/>
        </w:trPr>
        <w:tc>
          <w:tcPr>
            <w:tcW w:type="dxa" w:w="3024"/>
            <w:vAlign w:val="top"/>
          </w:tcPr>
          <w:p>
            <w:pPr>
              <w:spacing w:after="0"/>
            </w:pPr>
            <w:r/>
            <w:r>
              <w:rPr>
                <w:b w:val="0"/>
                <w:sz w:val="16"/>
              </w:rPr>
              <w:t>P2-11 Earnings &amp; Payout Dashboard</w:t>
            </w:r>
          </w:p>
        </w:tc>
        <w:tc>
          <w:tcPr>
            <w:tcW w:type="dxa" w:w="7056"/>
            <w:vAlign w:val="top"/>
          </w:tcPr>
          <w:p>
            <w:pPr>
              <w:spacing w:after="0"/>
            </w:pPr>
            <w:r/>
            <w:r>
              <w:rPr>
                <w:b w:val="0"/>
                <w:sz w:val="16"/>
              </w:rPr>
              <w:t>Gross campaign revenue, fees, available balance, pending balance, payout history, exceptions.</w:t>
            </w:r>
          </w:p>
        </w:tc>
      </w:tr>
      <w:tr>
        <w:trPr>
          <w:cantSplit/>
        </w:trPr>
        <w:tc>
          <w:tcPr>
            <w:tcW w:type="dxa" w:w="3024"/>
            <w:vAlign w:val="top"/>
          </w:tcPr>
          <w:p>
            <w:pPr>
              <w:spacing w:after="0"/>
            </w:pPr>
            <w:r/>
            <w:r>
              <w:rPr>
                <w:b w:val="0"/>
                <w:sz w:val="16"/>
              </w:rPr>
              <w:t>P2-12 Wallet Reward Manager</w:t>
            </w:r>
          </w:p>
        </w:tc>
        <w:tc>
          <w:tcPr>
            <w:tcW w:type="dxa" w:w="7056"/>
            <w:vAlign w:val="top"/>
          </w:tcPr>
          <w:p>
            <w:pPr>
              <w:spacing w:after="0"/>
            </w:pPr>
            <w:r/>
            <w:r>
              <w:rPr>
                <w:b w:val="0"/>
                <w:sz w:val="16"/>
              </w:rPr>
              <w:t>Issue/update/deactivate wallet reward passes; claim links; provider status.</w:t>
            </w:r>
          </w:p>
        </w:tc>
      </w:tr>
      <w:tr>
        <w:trPr>
          <w:cantSplit/>
        </w:trPr>
        <w:tc>
          <w:tcPr>
            <w:tcW w:type="dxa" w:w="3024"/>
            <w:vAlign w:val="top"/>
          </w:tcPr>
          <w:p>
            <w:pPr>
              <w:spacing w:after="0"/>
            </w:pPr>
            <w:r/>
            <w:r>
              <w:rPr>
                <w:b w:val="0"/>
                <w:sz w:val="16"/>
              </w:rPr>
              <w:t>P2-13 Property Analytics Dashboard</w:t>
            </w:r>
          </w:p>
        </w:tc>
        <w:tc>
          <w:tcPr>
            <w:tcW w:type="dxa" w:w="7056"/>
            <w:vAlign w:val="top"/>
          </w:tcPr>
          <w:p>
            <w:pPr>
              <w:spacing w:after="0"/>
            </w:pPr>
            <w:r/>
            <w:r>
              <w:rPr>
                <w:b w:val="0"/>
                <w:sz w:val="16"/>
              </w:rPr>
              <w:t>Revenue, sell-through, average CPM, campaign completion, sponsor mix, payout trends.</w:t>
            </w:r>
          </w:p>
        </w:tc>
      </w:tr>
      <w:tr>
        <w:trPr>
          <w:cantSplit/>
        </w:trPr>
        <w:tc>
          <w:tcPr>
            <w:tcW w:type="dxa" w:w="3024"/>
            <w:vAlign w:val="top"/>
          </w:tcPr>
          <w:p>
            <w:pPr>
              <w:spacing w:after="0"/>
            </w:pPr>
            <w:r/>
            <w:r>
              <w:rPr>
                <w:b w:val="0"/>
                <w:sz w:val="16"/>
              </w:rPr>
              <w:t>P2-14 Marketplace Operations Console</w:t>
            </w:r>
          </w:p>
        </w:tc>
        <w:tc>
          <w:tcPr>
            <w:tcW w:type="dxa" w:w="7056"/>
            <w:vAlign w:val="top"/>
          </w:tcPr>
          <w:p>
            <w:pPr>
              <w:spacing w:after="0"/>
            </w:pPr>
            <w:r/>
            <w:r>
              <w:rPr>
                <w:b w:val="0"/>
                <w:sz w:val="16"/>
              </w:rPr>
              <w:t>Moderation queue, disputes, failed payments, payout exceptions, listings requiring review.</w:t>
            </w:r>
          </w:p>
        </w:tc>
      </w:tr>
    </w:tbl>
    <w:p/>
    <w:p>
      <w:pPr>
        <w:pStyle w:val="Heading1"/>
      </w:pPr>
      <w:r>
        <w:t>7. Phase 2 Primary Workflows</w:t>
      </w:r>
    </w:p>
    <w:p>
      <w:pPr>
        <w:pStyle w:val="Heading2"/>
      </w:pPr>
      <w:r>
        <w:t>7.1 External Property Onboarding</w:t>
      </w:r>
    </w:p>
    <w:p>
      <w:pPr>
        <w:pStyle w:val="ListNumber"/>
        <w:spacing w:after="20"/>
      </w:pPr>
      <w:r>
        <w:t>User creates an organization account and chooses Athlete, Team, Program, Event, Media Property, Agency, or Other approved property type.</w:t>
      </w:r>
    </w:p>
    <w:p>
      <w:pPr>
        <w:pStyle w:val="ListNumber"/>
        <w:spacing w:after="20"/>
      </w:pPr>
      <w:r>
        <w:t>System captures required identity/business fields based on organization type and jurisdiction.</w:t>
      </w:r>
    </w:p>
    <w:p>
      <w:pPr>
        <w:pStyle w:val="ListNumber"/>
        <w:spacing w:after="20"/>
      </w:pPr>
      <w:r>
        <w:t>User accepts platform terms, marketplace terms, payout terms, privacy terms, and any BTG representation/management documents applicable to the relationship.</w:t>
      </w:r>
    </w:p>
    <w:p>
      <w:pPr>
        <w:pStyle w:val="ListNumber"/>
        <w:spacing w:after="20"/>
      </w:pPr>
      <w:r>
        <w:t>If the property will receive funds, payout-provider onboarding is initiated through the provider's hosted or embedded flow.</w:t>
      </w:r>
    </w:p>
    <w:p>
      <w:pPr>
        <w:pStyle w:val="ListNumber"/>
        <w:spacing w:after="20"/>
      </w:pPr>
      <w:r>
        <w:t>Property is placed in PENDING_REVIEW status.</w:t>
      </w:r>
    </w:p>
    <w:p>
      <w:pPr>
        <w:pStyle w:val="ListNumber"/>
        <w:spacing w:after="20"/>
      </w:pPr>
      <w:r>
        <w:t>BTG reviewer validates profile, supporting information, rights to sell inventory, brand-safety status, and payout readiness.</w:t>
      </w:r>
    </w:p>
    <w:p>
      <w:pPr>
        <w:pStyle w:val="ListNumber"/>
        <w:spacing w:after="20"/>
      </w:pPr>
      <w:r>
        <w:t>Reviewer approves, requests changes, rejects, or suspends.</w:t>
      </w:r>
    </w:p>
    <w:p>
      <w:pPr>
        <w:pStyle w:val="ListNumber"/>
        <w:spacing w:after="20"/>
      </w:pPr>
      <w:r>
        <w:t>Upon approval, property gains access to listing creation and campaign-offer workflows.</w:t>
      </w:r>
    </w:p>
    <w:p>
      <w:pPr>
        <w:pStyle w:val="Heading2"/>
      </w:pPr>
      <w:r>
        <w:t>7.2 Marketplace Purchase / Reservation</w:t>
      </w:r>
    </w:p>
    <w:p>
      <w:pPr>
        <w:pStyle w:val="ListNumber"/>
        <w:spacing w:after="20"/>
      </w:pPr>
      <w:r>
        <w:t>Sponsor filters and selects one or more available inventory items.</w:t>
      </w:r>
    </w:p>
    <w:p>
      <w:pPr>
        <w:pStyle w:val="ListNumber"/>
        <w:spacing w:after="20"/>
      </w:pPr>
      <w:r>
        <w:t>System runs availability, exclusivity, category-conflict, date-overlap, quantity, and floor-price validation.</w:t>
      </w:r>
    </w:p>
    <w:p>
      <w:pPr>
        <w:pStyle w:val="ListNumber"/>
        <w:spacing w:after="20"/>
      </w:pPr>
      <w:r>
        <w:t>Sponsor adds inventory to cart or requests a custom proposal.</w:t>
      </w:r>
    </w:p>
    <w:p>
      <w:pPr>
        <w:pStyle w:val="ListNumber"/>
        <w:spacing w:after="20"/>
      </w:pPr>
      <w:r>
        <w:t>For reservable inventory, system creates a time-limited reservation record and temporarily reduces available quantity.</w:t>
      </w:r>
    </w:p>
    <w:p>
      <w:pPr>
        <w:pStyle w:val="ListNumber"/>
        <w:spacing w:after="20"/>
      </w:pPr>
      <w:r>
        <w:t>Pricing engine calculates list price, negotiated discount, platform fees, taxes/fees metadata, and deposit requirement.</w:t>
      </w:r>
    </w:p>
    <w:p>
      <w:pPr>
        <w:pStyle w:val="ListNumber"/>
        <w:spacing w:after="20"/>
      </w:pPr>
      <w:r>
        <w:t>Sponsor accepts marketplace/order terms and submits payment or purchase request.</w:t>
      </w:r>
    </w:p>
    <w:p>
      <w:pPr>
        <w:pStyle w:val="ListNumber"/>
        <w:spacing w:after="20"/>
      </w:pPr>
      <w:r>
        <w:t>If BTG approval is required, order remains PENDING_APPROVAL; payment may be authorization/deposit only based on configured policy.</w:t>
      </w:r>
    </w:p>
    <w:p>
      <w:pPr>
        <w:pStyle w:val="ListNumber"/>
        <w:spacing w:after="20"/>
      </w:pPr>
      <w:r>
        <w:t>When approved, inventory becomes CONTRACTED/SOLD, campaign is created, commission rules are snapshotted, and Zoho Deal/Campaign records are updated.</w:t>
      </w:r>
    </w:p>
    <w:p>
      <w:pPr>
        <w:pStyle w:val="ListNumber"/>
        <w:spacing w:after="20"/>
      </w:pPr>
      <w:r>
        <w:t>If rejected or reservation expires, inventory quantity is released and payment authorization/deposit is handled according to policy.</w:t>
      </w:r>
    </w:p>
    <w:p>
      <w:pPr>
        <w:pStyle w:val="Heading2"/>
      </w:pPr>
      <w:r>
        <w:t>7.3 Athlete Campaign Offer and Fulfillment</w:t>
      </w:r>
    </w:p>
    <w:p>
      <w:pPr>
        <w:pStyle w:val="ListNumber"/>
        <w:spacing w:after="20"/>
      </w:pPr>
      <w:r>
        <w:t>Campaign manager selects athlete inventory and sends formal offer.</w:t>
      </w:r>
    </w:p>
    <w:p>
      <w:pPr>
        <w:pStyle w:val="ListNumber"/>
        <w:spacing w:after="20"/>
      </w:pPr>
      <w:r>
        <w:t>Athlete receives brief, sponsor, compensation, deadlines, usage rights, exclusivity period, required disclosures, and deliverable specifications.</w:t>
      </w:r>
    </w:p>
    <w:p>
      <w:pPr>
        <w:pStyle w:val="ListNumber"/>
        <w:spacing w:after="20"/>
      </w:pPr>
      <w:r>
        <w:t>Athlete accepts, declines, or requests changes.</w:t>
      </w:r>
    </w:p>
    <w:p>
      <w:pPr>
        <w:pStyle w:val="ListNumber"/>
        <w:spacing w:after="20"/>
      </w:pPr>
      <w:r>
        <w:t>Accepted offer creates immutable commercial terms snapshot and scheduled deliverables.</w:t>
      </w:r>
    </w:p>
    <w:p>
      <w:pPr>
        <w:pStyle w:val="ListNumber"/>
        <w:spacing w:after="20"/>
      </w:pPr>
      <w:r>
        <w:t>Athlete receives reminders and can upload draft content/proofs.</w:t>
      </w:r>
    </w:p>
    <w:p>
      <w:pPr>
        <w:pStyle w:val="ListNumber"/>
        <w:spacing w:after="20"/>
      </w:pPr>
      <w:r>
        <w:t>Campaign manager approves/rejects/revises content.</w:t>
      </w:r>
    </w:p>
    <w:p>
      <w:pPr>
        <w:pStyle w:val="ListNumber"/>
        <w:spacing w:after="20"/>
      </w:pPr>
      <w:r>
        <w:t>Final published asset URL and timestamp are stored.</w:t>
      </w:r>
    </w:p>
    <w:p>
      <w:pPr>
        <w:pStyle w:val="ListNumber"/>
        <w:spacing w:after="20"/>
      </w:pPr>
      <w:r>
        <w:t>Performance is ingested from available platform integrations or verified manually.</w:t>
      </w:r>
    </w:p>
    <w:p>
      <w:pPr>
        <w:pStyle w:val="ListNumber"/>
        <w:spacing w:after="20"/>
      </w:pPr>
      <w:r>
        <w:t>Once required deliverables are accepted and sponsor payment is cleared, earnings move from PENDING to AVAILABLE according to configured hold rules.</w:t>
      </w:r>
    </w:p>
    <w:p>
      <w:pPr>
        <w:pStyle w:val="ListNumber"/>
        <w:spacing w:after="20"/>
      </w:pPr>
      <w:r>
        <w:t>Payout job sends funds or marks payout ready via provider adapter.</w:t>
      </w:r>
    </w:p>
    <w:p>
      <w:pPr>
        <w:pStyle w:val="Heading2"/>
      </w:pPr>
      <w:r>
        <w:t>7.4 Commission &amp; Payout Calculation</w:t>
      </w:r>
    </w:p>
    <w:p>
      <w:r>
        <w:t>Order gross revenue must be converted into a ledger rather than calculating payout values ad hoc at payout time.</w:t>
      </w:r>
    </w:p>
    <w:p>
      <w:pPr>
        <w:pStyle w:val="ListBullet"/>
        <w:spacing w:after="20"/>
      </w:pPr>
      <w:r>
        <w:t>Create order_financial_snapshot at contract time.</w:t>
      </w:r>
    </w:p>
    <w:p>
      <w:pPr>
        <w:pStyle w:val="ListBullet"/>
        <w:spacing w:after="20"/>
      </w:pPr>
      <w:r>
        <w:t>Apply sequential rules: gross amount → discounts/credits → platform fee → management fee → payment processing allocation → property/athlete share → partner/referral share → reserve/hold → available payout.</w:t>
      </w:r>
    </w:p>
    <w:p>
      <w:pPr>
        <w:pStyle w:val="ListBullet"/>
        <w:spacing w:after="20"/>
      </w:pPr>
      <w:r>
        <w:t>Store percentage and fixed-fee rules as versioned commission_rule records.</w:t>
      </w:r>
    </w:p>
    <w:p>
      <w:pPr>
        <w:pStyle w:val="ListBullet"/>
        <w:spacing w:after="20"/>
      </w:pPr>
      <w:r>
        <w:t>Never recalculate historical closed payouts when a future commission rule changes.</w:t>
      </w:r>
    </w:p>
    <w:p>
      <w:pPr>
        <w:pStyle w:val="ListBullet"/>
        <w:spacing w:after="20"/>
      </w:pPr>
      <w:r>
        <w:t>Payout eligibility must depend on payment clearance, completion/approval status, refund/dispute status, KYC/provider readiness, and configurable holding period.</w:t>
      </w:r>
    </w:p>
    <w:p>
      <w:pPr>
        <w:pStyle w:val="Heading1"/>
      </w:pPr>
      <w:r>
        <w:t>8. Phase 2 API Additions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872"/>
            <w:shd w:fill="1F4E79"/>
            <w:vAlign w:val="center"/>
          </w:tcPr>
          <w:p>
            <w:pPr>
              <w:spacing w:after="0"/>
            </w:pPr>
            <w:r/>
            <w:r>
              <w:rPr>
                <w:b/>
                <w:color w:val="FFFFFF"/>
                <w:sz w:val="16"/>
              </w:rPr>
              <w:t>Domain</w:t>
            </w:r>
          </w:p>
        </w:tc>
        <w:tc>
          <w:tcPr>
            <w:tcW w:type="dxa" w:w="5184"/>
            <w:shd w:fill="1F4E79"/>
            <w:vAlign w:val="center"/>
          </w:tcPr>
          <w:p>
            <w:pPr>
              <w:spacing w:after="0"/>
            </w:pPr>
            <w:r/>
            <w:r>
              <w:rPr>
                <w:b/>
                <w:color w:val="FFFFFF"/>
                <w:sz w:val="16"/>
              </w:rPr>
              <w:t>Example Endpoints</w:t>
            </w:r>
          </w:p>
        </w:tc>
        <w:tc>
          <w:tcPr>
            <w:tcW w:type="dxa" w:w="3312"/>
            <w:shd w:fill="1F4E79"/>
            <w:vAlign w:val="center"/>
          </w:tcPr>
          <w:p>
            <w:pPr>
              <w:spacing w:after="0"/>
            </w:pPr>
            <w:r/>
            <w:r>
              <w:rPr>
                <w:b/>
                <w:color w:val="FFFFFF"/>
                <w:sz w:val="16"/>
              </w:rPr>
              <w:t>Purpose</w:t>
            </w:r>
          </w:p>
        </w:tc>
      </w:tr>
      <w:tr>
        <w:trPr>
          <w:cantSplit/>
        </w:trPr>
        <w:tc>
          <w:tcPr>
            <w:tcW w:type="dxa" w:w="1872"/>
            <w:vAlign w:val="top"/>
          </w:tcPr>
          <w:p>
            <w:pPr>
              <w:spacing w:after="0"/>
            </w:pPr>
            <w:r/>
            <w:r>
              <w:rPr>
                <w:b w:val="0"/>
                <w:sz w:val="16"/>
              </w:rPr>
              <w:t>Onboarding</w:t>
            </w:r>
          </w:p>
        </w:tc>
        <w:tc>
          <w:tcPr>
            <w:tcW w:type="dxa" w:w="5184"/>
            <w:vAlign w:val="top"/>
          </w:tcPr>
          <w:p>
            <w:pPr>
              <w:spacing w:after="0"/>
            </w:pPr>
            <w:r/>
            <w:r>
              <w:rPr>
                <w:b w:val="0"/>
                <w:sz w:val="16"/>
              </w:rPr>
              <w:t>POST /v1/onboarding/properties; GET /v1/onboarding/{id}; POST /v1/onboarding/{id}/submit</w:t>
            </w:r>
          </w:p>
        </w:tc>
        <w:tc>
          <w:tcPr>
            <w:tcW w:type="dxa" w:w="3312"/>
            <w:vAlign w:val="top"/>
          </w:tcPr>
          <w:p>
            <w:pPr>
              <w:spacing w:after="0"/>
            </w:pPr>
            <w:r/>
            <w:r>
              <w:rPr>
                <w:b w:val="0"/>
                <w:sz w:val="16"/>
              </w:rPr>
              <w:t>Create and submit external property onboarding.</w:t>
            </w:r>
          </w:p>
        </w:tc>
      </w:tr>
      <w:tr>
        <w:trPr>
          <w:cantSplit/>
        </w:trPr>
        <w:tc>
          <w:tcPr>
            <w:tcW w:type="dxa" w:w="1872"/>
            <w:vAlign w:val="top"/>
          </w:tcPr>
          <w:p>
            <w:pPr>
              <w:spacing w:after="0"/>
            </w:pPr>
            <w:r/>
            <w:r>
              <w:rPr>
                <w:b w:val="0"/>
                <w:sz w:val="16"/>
              </w:rPr>
              <w:t>Verification</w:t>
            </w:r>
          </w:p>
        </w:tc>
        <w:tc>
          <w:tcPr>
            <w:tcW w:type="dxa" w:w="5184"/>
            <w:vAlign w:val="top"/>
          </w:tcPr>
          <w:p>
            <w:pPr>
              <w:spacing w:after="0"/>
            </w:pPr>
            <w:r/>
            <w:r>
              <w:rPr>
                <w:b w:val="0"/>
                <w:sz w:val="16"/>
              </w:rPr>
              <w:t>GET /v1/admin/verifications; POST /v1/admin/verifications/{id}/decision</w:t>
            </w:r>
          </w:p>
        </w:tc>
        <w:tc>
          <w:tcPr>
            <w:tcW w:type="dxa" w:w="3312"/>
            <w:vAlign w:val="top"/>
          </w:tcPr>
          <w:p>
            <w:pPr>
              <w:spacing w:after="0"/>
            </w:pPr>
            <w:r/>
            <w:r>
              <w:rPr>
                <w:b w:val="0"/>
                <w:sz w:val="16"/>
              </w:rPr>
              <w:t>BTG approval queue.</w:t>
            </w:r>
          </w:p>
        </w:tc>
      </w:tr>
      <w:tr>
        <w:trPr>
          <w:cantSplit/>
        </w:trPr>
        <w:tc>
          <w:tcPr>
            <w:tcW w:type="dxa" w:w="1872"/>
            <w:vAlign w:val="top"/>
          </w:tcPr>
          <w:p>
            <w:pPr>
              <w:spacing w:after="0"/>
            </w:pPr>
            <w:r/>
            <w:r>
              <w:rPr>
                <w:b w:val="0"/>
                <w:sz w:val="16"/>
              </w:rPr>
              <w:t>Listings</w:t>
            </w:r>
          </w:p>
        </w:tc>
        <w:tc>
          <w:tcPr>
            <w:tcW w:type="dxa" w:w="5184"/>
            <w:vAlign w:val="top"/>
          </w:tcPr>
          <w:p>
            <w:pPr>
              <w:spacing w:after="0"/>
            </w:pPr>
            <w:r/>
            <w:r>
              <w:rPr>
                <w:b w:val="0"/>
                <w:sz w:val="16"/>
              </w:rPr>
              <w:t>POST /v1/listings; PATCH /v1/listings/{id}; POST /v1/listings/{id}/publish</w:t>
            </w:r>
          </w:p>
        </w:tc>
        <w:tc>
          <w:tcPr>
            <w:tcW w:type="dxa" w:w="3312"/>
            <w:vAlign w:val="top"/>
          </w:tcPr>
          <w:p>
            <w:pPr>
              <w:spacing w:after="0"/>
            </w:pPr>
            <w:r/>
            <w:r>
              <w:rPr>
                <w:b w:val="0"/>
                <w:sz w:val="16"/>
              </w:rPr>
              <w:t>Marketplace listing lifecycle.</w:t>
            </w:r>
          </w:p>
        </w:tc>
      </w:tr>
      <w:tr>
        <w:trPr>
          <w:cantSplit/>
        </w:trPr>
        <w:tc>
          <w:tcPr>
            <w:tcW w:type="dxa" w:w="1872"/>
            <w:vAlign w:val="top"/>
          </w:tcPr>
          <w:p>
            <w:pPr>
              <w:spacing w:after="0"/>
            </w:pPr>
            <w:r/>
            <w:r>
              <w:rPr>
                <w:b w:val="0"/>
                <w:sz w:val="16"/>
              </w:rPr>
              <w:t>Availability</w:t>
            </w:r>
          </w:p>
        </w:tc>
        <w:tc>
          <w:tcPr>
            <w:tcW w:type="dxa" w:w="5184"/>
            <w:vAlign w:val="top"/>
          </w:tcPr>
          <w:p>
            <w:pPr>
              <w:spacing w:after="0"/>
            </w:pPr>
            <w:r/>
            <w:r>
              <w:rPr>
                <w:b w:val="0"/>
                <w:sz w:val="16"/>
              </w:rPr>
              <w:t>POST /v1/availability/check</w:t>
            </w:r>
          </w:p>
        </w:tc>
        <w:tc>
          <w:tcPr>
            <w:tcW w:type="dxa" w:w="3312"/>
            <w:vAlign w:val="top"/>
          </w:tcPr>
          <w:p>
            <w:pPr>
              <w:spacing w:after="0"/>
            </w:pPr>
            <w:r/>
            <w:r>
              <w:rPr>
                <w:b w:val="0"/>
                <w:sz w:val="16"/>
              </w:rPr>
              <w:t>Validate dates, exclusivity, inventory quantity and conflicts.</w:t>
            </w:r>
          </w:p>
        </w:tc>
      </w:tr>
      <w:tr>
        <w:trPr>
          <w:cantSplit/>
        </w:trPr>
        <w:tc>
          <w:tcPr>
            <w:tcW w:type="dxa" w:w="1872"/>
            <w:vAlign w:val="top"/>
          </w:tcPr>
          <w:p>
            <w:pPr>
              <w:spacing w:after="0"/>
            </w:pPr>
            <w:r/>
            <w:r>
              <w:rPr>
                <w:b w:val="0"/>
                <w:sz w:val="16"/>
              </w:rPr>
              <w:t>Cart</w:t>
            </w:r>
          </w:p>
        </w:tc>
        <w:tc>
          <w:tcPr>
            <w:tcW w:type="dxa" w:w="5184"/>
            <w:vAlign w:val="top"/>
          </w:tcPr>
          <w:p>
            <w:pPr>
              <w:spacing w:after="0"/>
            </w:pPr>
            <w:r/>
            <w:r>
              <w:rPr>
                <w:b w:val="0"/>
                <w:sz w:val="16"/>
              </w:rPr>
              <w:t>POST /v1/carts; POST /v1/carts/{id}/items; DELETE /v1/carts/{id}/items/{itemId}</w:t>
            </w:r>
          </w:p>
        </w:tc>
        <w:tc>
          <w:tcPr>
            <w:tcW w:type="dxa" w:w="3312"/>
            <w:vAlign w:val="top"/>
          </w:tcPr>
          <w:p>
            <w:pPr>
              <w:spacing w:after="0"/>
            </w:pPr>
            <w:r/>
            <w:r>
              <w:rPr>
                <w:b w:val="0"/>
                <w:sz w:val="16"/>
              </w:rPr>
              <w:t>Sponsor cart.</w:t>
            </w:r>
          </w:p>
        </w:tc>
      </w:tr>
      <w:tr>
        <w:trPr>
          <w:cantSplit/>
        </w:trPr>
        <w:tc>
          <w:tcPr>
            <w:tcW w:type="dxa" w:w="1872"/>
            <w:vAlign w:val="top"/>
          </w:tcPr>
          <w:p>
            <w:pPr>
              <w:spacing w:after="0"/>
            </w:pPr>
            <w:r/>
            <w:r>
              <w:rPr>
                <w:b w:val="0"/>
                <w:sz w:val="16"/>
              </w:rPr>
              <w:t>Reservations</w:t>
            </w:r>
          </w:p>
        </w:tc>
        <w:tc>
          <w:tcPr>
            <w:tcW w:type="dxa" w:w="5184"/>
            <w:vAlign w:val="top"/>
          </w:tcPr>
          <w:p>
            <w:pPr>
              <w:spacing w:after="0"/>
            </w:pPr>
            <w:r/>
            <w:r>
              <w:rPr>
                <w:b w:val="0"/>
                <w:sz w:val="16"/>
              </w:rPr>
              <w:t>POST /v1/reservations; POST /v1/reservations/{id}/release</w:t>
            </w:r>
          </w:p>
        </w:tc>
        <w:tc>
          <w:tcPr>
            <w:tcW w:type="dxa" w:w="3312"/>
            <w:vAlign w:val="top"/>
          </w:tcPr>
          <w:p>
            <w:pPr>
              <w:spacing w:after="0"/>
            </w:pPr>
            <w:r/>
            <w:r>
              <w:rPr>
                <w:b w:val="0"/>
                <w:sz w:val="16"/>
              </w:rPr>
              <w:t>Time-limited inventory holds.</w:t>
            </w:r>
          </w:p>
        </w:tc>
      </w:tr>
      <w:tr>
        <w:trPr>
          <w:cantSplit/>
        </w:trPr>
        <w:tc>
          <w:tcPr>
            <w:tcW w:type="dxa" w:w="1872"/>
            <w:vAlign w:val="top"/>
          </w:tcPr>
          <w:p>
            <w:pPr>
              <w:spacing w:after="0"/>
            </w:pPr>
            <w:r/>
            <w:r>
              <w:rPr>
                <w:b w:val="0"/>
                <w:sz w:val="16"/>
              </w:rPr>
              <w:t>Orders</w:t>
            </w:r>
          </w:p>
        </w:tc>
        <w:tc>
          <w:tcPr>
            <w:tcW w:type="dxa" w:w="5184"/>
            <w:vAlign w:val="top"/>
          </w:tcPr>
          <w:p>
            <w:pPr>
              <w:spacing w:after="0"/>
            </w:pPr>
            <w:r/>
            <w:r>
              <w:rPr>
                <w:b w:val="0"/>
                <w:sz w:val="16"/>
              </w:rPr>
              <w:t>POST /v1/orders; GET /v1/orders/{id}; POST /v1/orders/{id}/approve</w:t>
            </w:r>
          </w:p>
        </w:tc>
        <w:tc>
          <w:tcPr>
            <w:tcW w:type="dxa" w:w="3312"/>
            <w:vAlign w:val="top"/>
          </w:tcPr>
          <w:p>
            <w:pPr>
              <w:spacing w:after="0"/>
            </w:pPr>
            <w:r/>
            <w:r>
              <w:rPr>
                <w:b w:val="0"/>
                <w:sz w:val="16"/>
              </w:rPr>
              <w:t>Commercial order.</w:t>
            </w:r>
          </w:p>
        </w:tc>
      </w:tr>
      <w:tr>
        <w:trPr>
          <w:cantSplit/>
        </w:trPr>
        <w:tc>
          <w:tcPr>
            <w:tcW w:type="dxa" w:w="1872"/>
            <w:vAlign w:val="top"/>
          </w:tcPr>
          <w:p>
            <w:pPr>
              <w:spacing w:after="0"/>
            </w:pPr>
            <w:r/>
            <w:r>
              <w:rPr>
                <w:b w:val="0"/>
                <w:sz w:val="16"/>
              </w:rPr>
              <w:t>Payments</w:t>
            </w:r>
          </w:p>
        </w:tc>
        <w:tc>
          <w:tcPr>
            <w:tcW w:type="dxa" w:w="5184"/>
            <w:vAlign w:val="top"/>
          </w:tcPr>
          <w:p>
            <w:pPr>
              <w:spacing w:after="0"/>
            </w:pPr>
            <w:r/>
            <w:r>
              <w:rPr>
                <w:b w:val="0"/>
                <w:sz w:val="16"/>
              </w:rPr>
              <w:t>POST /v1/payments/checkout-session; POST /v1/webhooks/payment-provider</w:t>
            </w:r>
          </w:p>
        </w:tc>
        <w:tc>
          <w:tcPr>
            <w:tcW w:type="dxa" w:w="3312"/>
            <w:vAlign w:val="top"/>
          </w:tcPr>
          <w:p>
            <w:pPr>
              <w:spacing w:after="0"/>
            </w:pPr>
            <w:r/>
            <w:r>
              <w:rPr>
                <w:b w:val="0"/>
                <w:sz w:val="16"/>
              </w:rPr>
              <w:t>Provider checkout and webhooks.</w:t>
            </w:r>
          </w:p>
        </w:tc>
      </w:tr>
      <w:tr>
        <w:trPr>
          <w:cantSplit/>
        </w:trPr>
        <w:tc>
          <w:tcPr>
            <w:tcW w:type="dxa" w:w="1872"/>
            <w:vAlign w:val="top"/>
          </w:tcPr>
          <w:p>
            <w:pPr>
              <w:spacing w:after="0"/>
            </w:pPr>
            <w:r/>
            <w:r>
              <w:rPr>
                <w:b w:val="0"/>
                <w:sz w:val="16"/>
              </w:rPr>
              <w:t>Connected Accounts</w:t>
            </w:r>
          </w:p>
        </w:tc>
        <w:tc>
          <w:tcPr>
            <w:tcW w:type="dxa" w:w="5184"/>
            <w:vAlign w:val="top"/>
          </w:tcPr>
          <w:p>
            <w:pPr>
              <w:spacing w:after="0"/>
            </w:pPr>
            <w:r/>
            <w:r>
              <w:rPr>
                <w:b w:val="0"/>
                <w:sz w:val="16"/>
              </w:rPr>
              <w:t>POST /v1/payout-accounts/onboarding-link; GET /v1/payout-accounts/status</w:t>
            </w:r>
          </w:p>
        </w:tc>
        <w:tc>
          <w:tcPr>
            <w:tcW w:type="dxa" w:w="3312"/>
            <w:vAlign w:val="top"/>
          </w:tcPr>
          <w:p>
            <w:pPr>
              <w:spacing w:after="0"/>
            </w:pPr>
            <w:r/>
            <w:r>
              <w:rPr>
                <w:b w:val="0"/>
                <w:sz w:val="16"/>
              </w:rPr>
              <w:t>Property/athlete payout onboarding.</w:t>
            </w:r>
          </w:p>
        </w:tc>
      </w:tr>
      <w:tr>
        <w:trPr>
          <w:cantSplit/>
        </w:trPr>
        <w:tc>
          <w:tcPr>
            <w:tcW w:type="dxa" w:w="1872"/>
            <w:vAlign w:val="top"/>
          </w:tcPr>
          <w:p>
            <w:pPr>
              <w:spacing w:after="0"/>
            </w:pPr>
            <w:r/>
            <w:r>
              <w:rPr>
                <w:b w:val="0"/>
                <w:sz w:val="16"/>
              </w:rPr>
              <w:t>Ledger</w:t>
            </w:r>
          </w:p>
        </w:tc>
        <w:tc>
          <w:tcPr>
            <w:tcW w:type="dxa" w:w="5184"/>
            <w:vAlign w:val="top"/>
          </w:tcPr>
          <w:p>
            <w:pPr>
              <w:spacing w:after="0"/>
            </w:pPr>
            <w:r/>
            <w:r>
              <w:rPr>
                <w:b w:val="0"/>
                <w:sz w:val="16"/>
              </w:rPr>
              <w:t>GET /v1/earnings; GET /v1/ledger; GET /v1/payouts</w:t>
            </w:r>
          </w:p>
        </w:tc>
        <w:tc>
          <w:tcPr>
            <w:tcW w:type="dxa" w:w="3312"/>
            <w:vAlign w:val="top"/>
          </w:tcPr>
          <w:p>
            <w:pPr>
              <w:spacing w:after="0"/>
            </w:pPr>
            <w:r/>
            <w:r>
              <w:rPr>
                <w:b w:val="0"/>
                <w:sz w:val="16"/>
              </w:rPr>
              <w:t>Financial visibility.</w:t>
            </w:r>
          </w:p>
        </w:tc>
      </w:tr>
      <w:tr>
        <w:trPr>
          <w:cantSplit/>
        </w:trPr>
        <w:tc>
          <w:tcPr>
            <w:tcW w:type="dxa" w:w="1872"/>
            <w:vAlign w:val="top"/>
          </w:tcPr>
          <w:p>
            <w:pPr>
              <w:spacing w:after="0"/>
            </w:pPr>
            <w:r/>
            <w:r>
              <w:rPr>
                <w:b w:val="0"/>
                <w:sz w:val="16"/>
              </w:rPr>
              <w:t>Payouts</w:t>
            </w:r>
          </w:p>
        </w:tc>
        <w:tc>
          <w:tcPr>
            <w:tcW w:type="dxa" w:w="5184"/>
            <w:vAlign w:val="top"/>
          </w:tcPr>
          <w:p>
            <w:pPr>
              <w:spacing w:after="0"/>
            </w:pPr>
            <w:r/>
            <w:r>
              <w:rPr>
                <w:b w:val="0"/>
                <w:sz w:val="16"/>
              </w:rPr>
              <w:t>POST /v1/payouts/request; POST /v1/admin/payouts/{id}/approve</w:t>
            </w:r>
          </w:p>
        </w:tc>
        <w:tc>
          <w:tcPr>
            <w:tcW w:type="dxa" w:w="3312"/>
            <w:vAlign w:val="top"/>
          </w:tcPr>
          <w:p>
            <w:pPr>
              <w:spacing w:after="0"/>
            </w:pPr>
            <w:r/>
            <w:r>
              <w:rPr>
                <w:b w:val="0"/>
                <w:sz w:val="16"/>
              </w:rPr>
              <w:t>Payout flow.</w:t>
            </w:r>
          </w:p>
        </w:tc>
      </w:tr>
      <w:tr>
        <w:trPr>
          <w:cantSplit/>
        </w:trPr>
        <w:tc>
          <w:tcPr>
            <w:tcW w:type="dxa" w:w="1872"/>
            <w:vAlign w:val="top"/>
          </w:tcPr>
          <w:p>
            <w:pPr>
              <w:spacing w:after="0"/>
            </w:pPr>
            <w:r/>
            <w:r>
              <w:rPr>
                <w:b w:val="0"/>
                <w:sz w:val="16"/>
              </w:rPr>
              <w:t>Athlete Offers</w:t>
            </w:r>
          </w:p>
        </w:tc>
        <w:tc>
          <w:tcPr>
            <w:tcW w:type="dxa" w:w="5184"/>
            <w:vAlign w:val="top"/>
          </w:tcPr>
          <w:p>
            <w:pPr>
              <w:spacing w:after="0"/>
            </w:pPr>
            <w:r/>
            <w:r>
              <w:rPr>
                <w:b w:val="0"/>
                <w:sz w:val="16"/>
              </w:rPr>
              <w:t>POST /v1/athlete-offers; POST /v1/athlete-offers/{id}/decision</w:t>
            </w:r>
          </w:p>
        </w:tc>
        <w:tc>
          <w:tcPr>
            <w:tcW w:type="dxa" w:w="3312"/>
            <w:vAlign w:val="top"/>
          </w:tcPr>
          <w:p>
            <w:pPr>
              <w:spacing w:after="0"/>
            </w:pPr>
            <w:r/>
            <w:r>
              <w:rPr>
                <w:b w:val="0"/>
                <w:sz w:val="16"/>
              </w:rPr>
              <w:t>Campaign invitations.</w:t>
            </w:r>
          </w:p>
        </w:tc>
      </w:tr>
      <w:tr>
        <w:trPr>
          <w:cantSplit/>
        </w:trPr>
        <w:tc>
          <w:tcPr>
            <w:tcW w:type="dxa" w:w="1872"/>
            <w:vAlign w:val="top"/>
          </w:tcPr>
          <w:p>
            <w:pPr>
              <w:spacing w:after="0"/>
            </w:pPr>
            <w:r/>
            <w:r>
              <w:rPr>
                <w:b w:val="0"/>
                <w:sz w:val="16"/>
              </w:rPr>
              <w:t>Wallet</w:t>
            </w:r>
          </w:p>
        </w:tc>
        <w:tc>
          <w:tcPr>
            <w:tcW w:type="dxa" w:w="5184"/>
            <w:vAlign w:val="top"/>
          </w:tcPr>
          <w:p>
            <w:pPr>
              <w:spacing w:after="0"/>
            </w:pPr>
            <w:r/>
            <w:r>
              <w:rPr>
                <w:b w:val="0"/>
                <w:sz w:val="16"/>
              </w:rPr>
              <w:t>POST /v1/wallet/passes; PATCH /v1/wallet/passes/{id}; POST /v1/wallet/webhooks</w:t>
            </w:r>
          </w:p>
        </w:tc>
        <w:tc>
          <w:tcPr>
            <w:tcW w:type="dxa" w:w="3312"/>
            <w:vAlign w:val="top"/>
          </w:tcPr>
          <w:p>
            <w:pPr>
              <w:spacing w:after="0"/>
            </w:pPr>
            <w:r/>
            <w:r>
              <w:rPr>
                <w:b w:val="0"/>
                <w:sz w:val="16"/>
              </w:rPr>
              <w:t>Apple/Google pass abstraction.</w:t>
            </w:r>
          </w:p>
        </w:tc>
      </w:tr>
      <w:tr>
        <w:trPr>
          <w:cantSplit/>
        </w:trPr>
        <w:tc>
          <w:tcPr>
            <w:tcW w:type="dxa" w:w="1872"/>
            <w:vAlign w:val="top"/>
          </w:tcPr>
          <w:p>
            <w:pPr>
              <w:spacing w:after="0"/>
            </w:pPr>
            <w:r/>
            <w:r>
              <w:rPr>
                <w:b w:val="0"/>
                <w:sz w:val="16"/>
              </w:rPr>
              <w:t>Notifications</w:t>
            </w:r>
          </w:p>
        </w:tc>
        <w:tc>
          <w:tcPr>
            <w:tcW w:type="dxa" w:w="5184"/>
            <w:vAlign w:val="top"/>
          </w:tcPr>
          <w:p>
            <w:pPr>
              <w:spacing w:after="0"/>
            </w:pPr>
            <w:r/>
            <w:r>
              <w:rPr>
                <w:b w:val="0"/>
                <w:sz w:val="16"/>
              </w:rPr>
              <w:t>POST /v1/notifications/test; GET /v1/notification-preferences</w:t>
            </w:r>
          </w:p>
        </w:tc>
        <w:tc>
          <w:tcPr>
            <w:tcW w:type="dxa" w:w="3312"/>
            <w:vAlign w:val="top"/>
          </w:tcPr>
          <w:p>
            <w:pPr>
              <w:spacing w:after="0"/>
            </w:pPr>
            <w:r/>
            <w:r>
              <w:rPr>
                <w:b w:val="0"/>
                <w:sz w:val="16"/>
              </w:rPr>
              <w:t>Transactional communications.</w:t>
            </w:r>
          </w:p>
        </w:tc>
      </w:tr>
    </w:tbl>
    <w:p/>
    <w:p>
      <w:pPr>
        <w:pStyle w:val="Heading1"/>
      </w:pPr>
      <w:r>
        <w:t>9. Phase 2 Database Additions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592"/>
            <w:shd w:fill="1F4E79"/>
            <w:vAlign w:val="center"/>
          </w:tcPr>
          <w:p>
            <w:pPr>
              <w:spacing w:after="0"/>
            </w:pPr>
            <w:r/>
            <w:r>
              <w:rPr>
                <w:b/>
                <w:color w:val="FFFFFF"/>
                <w:sz w:val="16"/>
              </w:rPr>
              <w:t>Table</w:t>
            </w:r>
          </w:p>
        </w:tc>
        <w:tc>
          <w:tcPr>
            <w:tcW w:type="dxa" w:w="4896"/>
            <w:shd w:fill="1F4E79"/>
            <w:vAlign w:val="center"/>
          </w:tcPr>
          <w:p>
            <w:pPr>
              <w:spacing w:after="0"/>
            </w:pPr>
            <w:r/>
            <w:r>
              <w:rPr>
                <w:b/>
                <w:color w:val="FFFFFF"/>
                <w:sz w:val="16"/>
              </w:rPr>
              <w:t>Key Fields</w:t>
            </w:r>
          </w:p>
        </w:tc>
        <w:tc>
          <w:tcPr>
            <w:tcW w:type="dxa" w:w="2736"/>
            <w:shd w:fill="1F4E79"/>
            <w:vAlign w:val="center"/>
          </w:tcPr>
          <w:p>
            <w:pPr>
              <w:spacing w:after="0"/>
            </w:pPr>
            <w:r/>
            <w:r>
              <w:rPr>
                <w:b/>
                <w:color w:val="FFFFFF"/>
                <w:sz w:val="16"/>
              </w:rPr>
              <w:t>Purpose</w:t>
            </w:r>
          </w:p>
        </w:tc>
      </w:tr>
      <w:tr>
        <w:trPr>
          <w:cantSplit/>
        </w:trPr>
        <w:tc>
          <w:tcPr>
            <w:tcW w:type="dxa" w:w="2592"/>
            <w:vAlign w:val="top"/>
          </w:tcPr>
          <w:p>
            <w:pPr>
              <w:spacing w:after="0"/>
            </w:pPr>
            <w:r/>
            <w:r>
              <w:rPr>
                <w:b w:val="0"/>
                <w:sz w:val="16"/>
              </w:rPr>
              <w:t>property_onboarding</w:t>
            </w:r>
          </w:p>
        </w:tc>
        <w:tc>
          <w:tcPr>
            <w:tcW w:type="dxa" w:w="4896"/>
            <w:vAlign w:val="top"/>
          </w:tcPr>
          <w:p>
            <w:pPr>
              <w:spacing w:after="0"/>
            </w:pPr>
            <w:r/>
            <w:r>
              <w:rPr>
                <w:b w:val="0"/>
                <w:sz w:val="16"/>
              </w:rPr>
              <w:t>id, tenant_id, property_type, status, submitted_at, reviewer_id</w:t>
            </w:r>
          </w:p>
        </w:tc>
        <w:tc>
          <w:tcPr>
            <w:tcW w:type="dxa" w:w="2736"/>
            <w:vAlign w:val="top"/>
          </w:tcPr>
          <w:p>
            <w:pPr>
              <w:spacing w:after="0"/>
            </w:pPr>
            <w:r/>
            <w:r>
              <w:rPr>
                <w:b w:val="0"/>
                <w:sz w:val="16"/>
              </w:rPr>
              <w:t>Onboarding workflow.</w:t>
            </w:r>
          </w:p>
        </w:tc>
      </w:tr>
      <w:tr>
        <w:trPr>
          <w:cantSplit/>
        </w:trPr>
        <w:tc>
          <w:tcPr>
            <w:tcW w:type="dxa" w:w="2592"/>
            <w:vAlign w:val="top"/>
          </w:tcPr>
          <w:p>
            <w:pPr>
              <w:spacing w:after="0"/>
            </w:pPr>
            <w:r/>
            <w:r>
              <w:rPr>
                <w:b w:val="0"/>
                <w:sz w:val="16"/>
              </w:rPr>
              <w:t>property_verification_documents</w:t>
            </w:r>
          </w:p>
        </w:tc>
        <w:tc>
          <w:tcPr>
            <w:tcW w:type="dxa" w:w="4896"/>
            <w:vAlign w:val="top"/>
          </w:tcPr>
          <w:p>
            <w:pPr>
              <w:spacing w:after="0"/>
            </w:pPr>
            <w:r/>
            <w:r>
              <w:rPr>
                <w:b w:val="0"/>
                <w:sz w:val="16"/>
              </w:rPr>
              <w:t>id, onboarding_id, type, file_ref, status</w:t>
            </w:r>
          </w:p>
        </w:tc>
        <w:tc>
          <w:tcPr>
            <w:tcW w:type="dxa" w:w="2736"/>
            <w:vAlign w:val="top"/>
          </w:tcPr>
          <w:p>
            <w:pPr>
              <w:spacing w:after="0"/>
            </w:pPr>
            <w:r/>
            <w:r>
              <w:rPr>
                <w:b w:val="0"/>
                <w:sz w:val="16"/>
              </w:rPr>
              <w:t>Supporting verification artifacts.</w:t>
            </w:r>
          </w:p>
        </w:tc>
      </w:tr>
      <w:tr>
        <w:trPr>
          <w:cantSplit/>
        </w:trPr>
        <w:tc>
          <w:tcPr>
            <w:tcW w:type="dxa" w:w="2592"/>
            <w:vAlign w:val="top"/>
          </w:tcPr>
          <w:p>
            <w:pPr>
              <w:spacing w:after="0"/>
            </w:pPr>
            <w:r/>
            <w:r>
              <w:rPr>
                <w:b w:val="0"/>
                <w:sz w:val="16"/>
              </w:rPr>
              <w:t>marketplace_listings</w:t>
            </w:r>
          </w:p>
        </w:tc>
        <w:tc>
          <w:tcPr>
            <w:tcW w:type="dxa" w:w="4896"/>
            <w:vAlign w:val="top"/>
          </w:tcPr>
          <w:p>
            <w:pPr>
              <w:spacing w:after="0"/>
            </w:pPr>
            <w:r/>
            <w:r>
              <w:rPr>
                <w:b w:val="0"/>
                <w:sz w:val="16"/>
              </w:rPr>
              <w:t>id, inventory_id, seller_tenant_id, visibility, status, published_at</w:t>
            </w:r>
          </w:p>
        </w:tc>
        <w:tc>
          <w:tcPr>
            <w:tcW w:type="dxa" w:w="2736"/>
            <w:vAlign w:val="top"/>
          </w:tcPr>
          <w:p>
            <w:pPr>
              <w:spacing w:after="0"/>
            </w:pPr>
            <w:r/>
            <w:r>
              <w:rPr>
                <w:b w:val="0"/>
                <w:sz w:val="16"/>
              </w:rPr>
              <w:t>Marketplace representation.</w:t>
            </w:r>
          </w:p>
        </w:tc>
      </w:tr>
      <w:tr>
        <w:trPr>
          <w:cantSplit/>
        </w:trPr>
        <w:tc>
          <w:tcPr>
            <w:tcW w:type="dxa" w:w="2592"/>
            <w:vAlign w:val="top"/>
          </w:tcPr>
          <w:p>
            <w:pPr>
              <w:spacing w:after="0"/>
            </w:pPr>
            <w:r/>
            <w:r>
              <w:rPr>
                <w:b w:val="0"/>
                <w:sz w:val="16"/>
              </w:rPr>
              <w:t>listing_packages</w:t>
            </w:r>
          </w:p>
        </w:tc>
        <w:tc>
          <w:tcPr>
            <w:tcW w:type="dxa" w:w="4896"/>
            <w:vAlign w:val="top"/>
          </w:tcPr>
          <w:p>
            <w:pPr>
              <w:spacing w:after="0"/>
            </w:pPr>
            <w:r/>
            <w:r>
              <w:rPr>
                <w:b w:val="0"/>
                <w:sz w:val="16"/>
              </w:rPr>
              <w:t>id, listing_id, title, quantity, bundle_json, price</w:t>
            </w:r>
          </w:p>
        </w:tc>
        <w:tc>
          <w:tcPr>
            <w:tcW w:type="dxa" w:w="2736"/>
            <w:vAlign w:val="top"/>
          </w:tcPr>
          <w:p>
            <w:pPr>
              <w:spacing w:after="0"/>
            </w:pPr>
            <w:r/>
            <w:r>
              <w:rPr>
                <w:b w:val="0"/>
                <w:sz w:val="16"/>
              </w:rPr>
              <w:t>Bundled inventory.</w:t>
            </w:r>
          </w:p>
        </w:tc>
      </w:tr>
      <w:tr>
        <w:trPr>
          <w:cantSplit/>
        </w:trPr>
        <w:tc>
          <w:tcPr>
            <w:tcW w:type="dxa" w:w="2592"/>
            <w:vAlign w:val="top"/>
          </w:tcPr>
          <w:p>
            <w:pPr>
              <w:spacing w:after="0"/>
            </w:pPr>
            <w:r/>
            <w:r>
              <w:rPr>
                <w:b w:val="0"/>
                <w:sz w:val="16"/>
              </w:rPr>
              <w:t>carts</w:t>
            </w:r>
          </w:p>
        </w:tc>
        <w:tc>
          <w:tcPr>
            <w:tcW w:type="dxa" w:w="4896"/>
            <w:vAlign w:val="top"/>
          </w:tcPr>
          <w:p>
            <w:pPr>
              <w:spacing w:after="0"/>
            </w:pPr>
            <w:r/>
            <w:r>
              <w:rPr>
                <w:b w:val="0"/>
                <w:sz w:val="16"/>
              </w:rPr>
              <w:t>id, sponsor_id, status, currency, expires_at</w:t>
            </w:r>
          </w:p>
        </w:tc>
        <w:tc>
          <w:tcPr>
            <w:tcW w:type="dxa" w:w="2736"/>
            <w:vAlign w:val="top"/>
          </w:tcPr>
          <w:p>
            <w:pPr>
              <w:spacing w:after="0"/>
            </w:pPr>
            <w:r/>
            <w:r>
              <w:rPr>
                <w:b w:val="0"/>
                <w:sz w:val="16"/>
              </w:rPr>
              <w:t>Sponsor shopping session.</w:t>
            </w:r>
          </w:p>
        </w:tc>
      </w:tr>
      <w:tr>
        <w:trPr>
          <w:cantSplit/>
        </w:trPr>
        <w:tc>
          <w:tcPr>
            <w:tcW w:type="dxa" w:w="2592"/>
            <w:vAlign w:val="top"/>
          </w:tcPr>
          <w:p>
            <w:pPr>
              <w:spacing w:after="0"/>
            </w:pPr>
            <w:r/>
            <w:r>
              <w:rPr>
                <w:b w:val="0"/>
                <w:sz w:val="16"/>
              </w:rPr>
              <w:t>cart_items</w:t>
            </w:r>
          </w:p>
        </w:tc>
        <w:tc>
          <w:tcPr>
            <w:tcW w:type="dxa" w:w="4896"/>
            <w:vAlign w:val="top"/>
          </w:tcPr>
          <w:p>
            <w:pPr>
              <w:spacing w:after="0"/>
            </w:pPr>
            <w:r/>
            <w:r>
              <w:rPr>
                <w:b w:val="0"/>
                <w:sz w:val="16"/>
              </w:rPr>
              <w:t>id, cart_id, listing_id, quantity, unit_price</w:t>
            </w:r>
          </w:p>
        </w:tc>
        <w:tc>
          <w:tcPr>
            <w:tcW w:type="dxa" w:w="2736"/>
            <w:vAlign w:val="top"/>
          </w:tcPr>
          <w:p>
            <w:pPr>
              <w:spacing w:after="0"/>
            </w:pPr>
            <w:r/>
            <w:r>
              <w:rPr>
                <w:b w:val="0"/>
                <w:sz w:val="16"/>
              </w:rPr>
              <w:t>Cart lines.</w:t>
            </w:r>
          </w:p>
        </w:tc>
      </w:tr>
      <w:tr>
        <w:trPr>
          <w:cantSplit/>
        </w:trPr>
        <w:tc>
          <w:tcPr>
            <w:tcW w:type="dxa" w:w="2592"/>
            <w:vAlign w:val="top"/>
          </w:tcPr>
          <w:p>
            <w:pPr>
              <w:spacing w:after="0"/>
            </w:pPr>
            <w:r/>
            <w:r>
              <w:rPr>
                <w:b w:val="0"/>
                <w:sz w:val="16"/>
              </w:rPr>
              <w:t>reservations</w:t>
            </w:r>
          </w:p>
        </w:tc>
        <w:tc>
          <w:tcPr>
            <w:tcW w:type="dxa" w:w="4896"/>
            <w:vAlign w:val="top"/>
          </w:tcPr>
          <w:p>
            <w:pPr>
              <w:spacing w:after="0"/>
            </w:pPr>
            <w:r/>
            <w:r>
              <w:rPr>
                <w:b w:val="0"/>
                <w:sz w:val="16"/>
              </w:rPr>
              <w:t>id, listing_id, sponsor_id, quantity, expires_at, status</w:t>
            </w:r>
          </w:p>
        </w:tc>
        <w:tc>
          <w:tcPr>
            <w:tcW w:type="dxa" w:w="2736"/>
            <w:vAlign w:val="top"/>
          </w:tcPr>
          <w:p>
            <w:pPr>
              <w:spacing w:after="0"/>
            </w:pPr>
            <w:r/>
            <w:r>
              <w:rPr>
                <w:b w:val="0"/>
                <w:sz w:val="16"/>
              </w:rPr>
              <w:t>Inventory holds.</w:t>
            </w:r>
          </w:p>
        </w:tc>
      </w:tr>
      <w:tr>
        <w:trPr>
          <w:cantSplit/>
        </w:trPr>
        <w:tc>
          <w:tcPr>
            <w:tcW w:type="dxa" w:w="2592"/>
            <w:vAlign w:val="top"/>
          </w:tcPr>
          <w:p>
            <w:pPr>
              <w:spacing w:after="0"/>
            </w:pPr>
            <w:r/>
            <w:r>
              <w:rPr>
                <w:b w:val="0"/>
                <w:sz w:val="16"/>
              </w:rPr>
              <w:t>orders</w:t>
            </w:r>
          </w:p>
        </w:tc>
        <w:tc>
          <w:tcPr>
            <w:tcW w:type="dxa" w:w="4896"/>
            <w:vAlign w:val="top"/>
          </w:tcPr>
          <w:p>
            <w:pPr>
              <w:spacing w:after="0"/>
            </w:pPr>
            <w:r/>
            <w:r>
              <w:rPr>
                <w:b w:val="0"/>
                <w:sz w:val="16"/>
              </w:rPr>
              <w:t>id, sponsor_id, campaign_id, status, subtotal, fees, total, currency</w:t>
            </w:r>
          </w:p>
        </w:tc>
        <w:tc>
          <w:tcPr>
            <w:tcW w:type="dxa" w:w="2736"/>
            <w:vAlign w:val="top"/>
          </w:tcPr>
          <w:p>
            <w:pPr>
              <w:spacing w:after="0"/>
            </w:pPr>
            <w:r/>
            <w:r>
              <w:rPr>
                <w:b w:val="0"/>
                <w:sz w:val="16"/>
              </w:rPr>
              <w:t>Commercial order.</w:t>
            </w:r>
          </w:p>
        </w:tc>
      </w:tr>
      <w:tr>
        <w:trPr>
          <w:cantSplit/>
        </w:trPr>
        <w:tc>
          <w:tcPr>
            <w:tcW w:type="dxa" w:w="2592"/>
            <w:vAlign w:val="top"/>
          </w:tcPr>
          <w:p>
            <w:pPr>
              <w:spacing w:after="0"/>
            </w:pPr>
            <w:r/>
            <w:r>
              <w:rPr>
                <w:b w:val="0"/>
                <w:sz w:val="16"/>
              </w:rPr>
              <w:t>order_items</w:t>
            </w:r>
          </w:p>
        </w:tc>
        <w:tc>
          <w:tcPr>
            <w:tcW w:type="dxa" w:w="4896"/>
            <w:vAlign w:val="top"/>
          </w:tcPr>
          <w:p>
            <w:pPr>
              <w:spacing w:after="0"/>
            </w:pPr>
            <w:r/>
            <w:r>
              <w:rPr>
                <w:b w:val="0"/>
                <w:sz w:val="16"/>
              </w:rPr>
              <w:t>id, order_id, listing_id, inventory_id, financial_snapshot_json</w:t>
            </w:r>
          </w:p>
        </w:tc>
        <w:tc>
          <w:tcPr>
            <w:tcW w:type="dxa" w:w="2736"/>
            <w:vAlign w:val="top"/>
          </w:tcPr>
          <w:p>
            <w:pPr>
              <w:spacing w:after="0"/>
            </w:pPr>
            <w:r/>
            <w:r>
              <w:rPr>
                <w:b w:val="0"/>
                <w:sz w:val="16"/>
              </w:rPr>
              <w:t>Immutable purchase lines.</w:t>
            </w:r>
          </w:p>
        </w:tc>
      </w:tr>
      <w:tr>
        <w:trPr>
          <w:cantSplit/>
        </w:trPr>
        <w:tc>
          <w:tcPr>
            <w:tcW w:type="dxa" w:w="2592"/>
            <w:vAlign w:val="top"/>
          </w:tcPr>
          <w:p>
            <w:pPr>
              <w:spacing w:after="0"/>
            </w:pPr>
            <w:r/>
            <w:r>
              <w:rPr>
                <w:b w:val="0"/>
                <w:sz w:val="16"/>
              </w:rPr>
              <w:t>payment_transactions</w:t>
            </w:r>
          </w:p>
        </w:tc>
        <w:tc>
          <w:tcPr>
            <w:tcW w:type="dxa" w:w="4896"/>
            <w:vAlign w:val="top"/>
          </w:tcPr>
          <w:p>
            <w:pPr>
              <w:spacing w:after="0"/>
            </w:pPr>
            <w:r/>
            <w:r>
              <w:rPr>
                <w:b w:val="0"/>
                <w:sz w:val="16"/>
              </w:rPr>
              <w:t>id, order_id, provider, provider_ref, amount, status, type</w:t>
            </w:r>
          </w:p>
        </w:tc>
        <w:tc>
          <w:tcPr>
            <w:tcW w:type="dxa" w:w="2736"/>
            <w:vAlign w:val="top"/>
          </w:tcPr>
          <w:p>
            <w:pPr>
              <w:spacing w:after="0"/>
            </w:pPr>
            <w:r/>
            <w:r>
              <w:rPr>
                <w:b w:val="0"/>
                <w:sz w:val="16"/>
              </w:rPr>
              <w:t>Payment lifecycle.</w:t>
            </w:r>
          </w:p>
        </w:tc>
      </w:tr>
      <w:tr>
        <w:trPr>
          <w:cantSplit/>
        </w:trPr>
        <w:tc>
          <w:tcPr>
            <w:tcW w:type="dxa" w:w="2592"/>
            <w:vAlign w:val="top"/>
          </w:tcPr>
          <w:p>
            <w:pPr>
              <w:spacing w:after="0"/>
            </w:pPr>
            <w:r/>
            <w:r>
              <w:rPr>
                <w:b w:val="0"/>
                <w:sz w:val="16"/>
              </w:rPr>
              <w:t>refunds_disputes</w:t>
            </w:r>
          </w:p>
        </w:tc>
        <w:tc>
          <w:tcPr>
            <w:tcW w:type="dxa" w:w="4896"/>
            <w:vAlign w:val="top"/>
          </w:tcPr>
          <w:p>
            <w:pPr>
              <w:spacing w:after="0"/>
            </w:pPr>
            <w:r/>
            <w:r>
              <w:rPr>
                <w:b w:val="0"/>
                <w:sz w:val="16"/>
              </w:rPr>
              <w:t>id, payment_id, type, amount, reason, status</w:t>
            </w:r>
          </w:p>
        </w:tc>
        <w:tc>
          <w:tcPr>
            <w:tcW w:type="dxa" w:w="2736"/>
            <w:vAlign w:val="top"/>
          </w:tcPr>
          <w:p>
            <w:pPr>
              <w:spacing w:after="0"/>
            </w:pPr>
            <w:r/>
            <w:r>
              <w:rPr>
                <w:b w:val="0"/>
                <w:sz w:val="16"/>
              </w:rPr>
              <w:t>Exceptions.</w:t>
            </w:r>
          </w:p>
        </w:tc>
      </w:tr>
      <w:tr>
        <w:trPr>
          <w:cantSplit/>
        </w:trPr>
        <w:tc>
          <w:tcPr>
            <w:tcW w:type="dxa" w:w="2592"/>
            <w:vAlign w:val="top"/>
          </w:tcPr>
          <w:p>
            <w:pPr>
              <w:spacing w:after="0"/>
            </w:pPr>
            <w:r/>
            <w:r>
              <w:rPr>
                <w:b w:val="0"/>
                <w:sz w:val="16"/>
              </w:rPr>
              <w:t>commission_rules</w:t>
            </w:r>
          </w:p>
        </w:tc>
        <w:tc>
          <w:tcPr>
            <w:tcW w:type="dxa" w:w="4896"/>
            <w:vAlign w:val="top"/>
          </w:tcPr>
          <w:p>
            <w:pPr>
              <w:spacing w:after="0"/>
            </w:pPr>
            <w:r/>
            <w:r>
              <w:rPr>
                <w:b w:val="0"/>
                <w:sz w:val="16"/>
              </w:rPr>
              <w:t>id, scope_type/id, rule_type, rate/fixed_amount, priority, version</w:t>
            </w:r>
          </w:p>
        </w:tc>
        <w:tc>
          <w:tcPr>
            <w:tcW w:type="dxa" w:w="2736"/>
            <w:vAlign w:val="top"/>
          </w:tcPr>
          <w:p>
            <w:pPr>
              <w:spacing w:after="0"/>
            </w:pPr>
            <w:r/>
            <w:r>
              <w:rPr>
                <w:b w:val="0"/>
                <w:sz w:val="16"/>
              </w:rPr>
              <w:t>Revenue-sharing rules.</w:t>
            </w:r>
          </w:p>
        </w:tc>
      </w:tr>
      <w:tr>
        <w:trPr>
          <w:cantSplit/>
        </w:trPr>
        <w:tc>
          <w:tcPr>
            <w:tcW w:type="dxa" w:w="2592"/>
            <w:vAlign w:val="top"/>
          </w:tcPr>
          <w:p>
            <w:pPr>
              <w:spacing w:after="0"/>
            </w:pPr>
            <w:r/>
            <w:r>
              <w:rPr>
                <w:b w:val="0"/>
                <w:sz w:val="16"/>
              </w:rPr>
              <w:t>ledger_entries</w:t>
            </w:r>
          </w:p>
        </w:tc>
        <w:tc>
          <w:tcPr>
            <w:tcW w:type="dxa" w:w="4896"/>
            <w:vAlign w:val="top"/>
          </w:tcPr>
          <w:p>
            <w:pPr>
              <w:spacing w:after="0"/>
            </w:pPr>
            <w:r/>
            <w:r>
              <w:rPr>
                <w:b w:val="0"/>
                <w:sz w:val="16"/>
              </w:rPr>
              <w:t>id, tenant/payee, order_id, type, debit, credit, status</w:t>
            </w:r>
          </w:p>
        </w:tc>
        <w:tc>
          <w:tcPr>
            <w:tcW w:type="dxa" w:w="2736"/>
            <w:vAlign w:val="top"/>
          </w:tcPr>
          <w:p>
            <w:pPr>
              <w:spacing w:after="0"/>
            </w:pPr>
            <w:r/>
            <w:r>
              <w:rPr>
                <w:b w:val="0"/>
                <w:sz w:val="16"/>
              </w:rPr>
              <w:t>Financial subledger.</w:t>
            </w:r>
          </w:p>
        </w:tc>
      </w:tr>
      <w:tr>
        <w:trPr>
          <w:cantSplit/>
        </w:trPr>
        <w:tc>
          <w:tcPr>
            <w:tcW w:type="dxa" w:w="2592"/>
            <w:vAlign w:val="top"/>
          </w:tcPr>
          <w:p>
            <w:pPr>
              <w:spacing w:after="0"/>
            </w:pPr>
            <w:r/>
            <w:r>
              <w:rPr>
                <w:b w:val="0"/>
                <w:sz w:val="16"/>
              </w:rPr>
              <w:t>payout_accounts</w:t>
            </w:r>
          </w:p>
        </w:tc>
        <w:tc>
          <w:tcPr>
            <w:tcW w:type="dxa" w:w="4896"/>
            <w:vAlign w:val="top"/>
          </w:tcPr>
          <w:p>
            <w:pPr>
              <w:spacing w:after="0"/>
            </w:pPr>
            <w:r/>
            <w:r>
              <w:rPr>
                <w:b w:val="0"/>
                <w:sz w:val="16"/>
              </w:rPr>
              <w:t>id, payee_id, provider, provider_account_id, status</w:t>
            </w:r>
          </w:p>
        </w:tc>
        <w:tc>
          <w:tcPr>
            <w:tcW w:type="dxa" w:w="2736"/>
            <w:vAlign w:val="top"/>
          </w:tcPr>
          <w:p>
            <w:pPr>
              <w:spacing w:after="0"/>
            </w:pPr>
            <w:r/>
            <w:r>
              <w:rPr>
                <w:b w:val="0"/>
                <w:sz w:val="16"/>
              </w:rPr>
              <w:t>Connected payout account.</w:t>
            </w:r>
          </w:p>
        </w:tc>
      </w:tr>
      <w:tr>
        <w:trPr>
          <w:cantSplit/>
        </w:trPr>
        <w:tc>
          <w:tcPr>
            <w:tcW w:type="dxa" w:w="2592"/>
            <w:vAlign w:val="top"/>
          </w:tcPr>
          <w:p>
            <w:pPr>
              <w:spacing w:after="0"/>
            </w:pPr>
            <w:r/>
            <w:r>
              <w:rPr>
                <w:b w:val="0"/>
                <w:sz w:val="16"/>
              </w:rPr>
              <w:t>payout_requests</w:t>
            </w:r>
          </w:p>
        </w:tc>
        <w:tc>
          <w:tcPr>
            <w:tcW w:type="dxa" w:w="4896"/>
            <w:vAlign w:val="top"/>
          </w:tcPr>
          <w:p>
            <w:pPr>
              <w:spacing w:after="0"/>
            </w:pPr>
            <w:r/>
            <w:r>
              <w:rPr>
                <w:b w:val="0"/>
                <w:sz w:val="16"/>
              </w:rPr>
              <w:t>id, payee_id, amount, status, requested_at</w:t>
            </w:r>
          </w:p>
        </w:tc>
        <w:tc>
          <w:tcPr>
            <w:tcW w:type="dxa" w:w="2736"/>
            <w:vAlign w:val="top"/>
          </w:tcPr>
          <w:p>
            <w:pPr>
              <w:spacing w:after="0"/>
            </w:pPr>
            <w:r/>
            <w:r>
              <w:rPr>
                <w:b w:val="0"/>
                <w:sz w:val="16"/>
              </w:rPr>
              <w:t>Payout workflow.</w:t>
            </w:r>
          </w:p>
        </w:tc>
      </w:tr>
      <w:tr>
        <w:trPr>
          <w:cantSplit/>
        </w:trPr>
        <w:tc>
          <w:tcPr>
            <w:tcW w:type="dxa" w:w="2592"/>
            <w:vAlign w:val="top"/>
          </w:tcPr>
          <w:p>
            <w:pPr>
              <w:spacing w:after="0"/>
            </w:pPr>
            <w:r/>
            <w:r>
              <w:rPr>
                <w:b w:val="0"/>
                <w:sz w:val="16"/>
              </w:rPr>
              <w:t>athlete_offers</w:t>
            </w:r>
          </w:p>
        </w:tc>
        <w:tc>
          <w:tcPr>
            <w:tcW w:type="dxa" w:w="4896"/>
            <w:vAlign w:val="top"/>
          </w:tcPr>
          <w:p>
            <w:pPr>
              <w:spacing w:after="0"/>
            </w:pPr>
            <w:r/>
            <w:r>
              <w:rPr>
                <w:b w:val="0"/>
                <w:sz w:val="16"/>
              </w:rPr>
              <w:t>id, campaign_id, athlete_id, terms_json, status, expires_at</w:t>
            </w:r>
          </w:p>
        </w:tc>
        <w:tc>
          <w:tcPr>
            <w:tcW w:type="dxa" w:w="2736"/>
            <w:vAlign w:val="top"/>
          </w:tcPr>
          <w:p>
            <w:pPr>
              <w:spacing w:after="0"/>
            </w:pPr>
            <w:r/>
            <w:r>
              <w:rPr>
                <w:b w:val="0"/>
                <w:sz w:val="16"/>
              </w:rPr>
              <w:t>Formal offers.</w:t>
            </w:r>
          </w:p>
        </w:tc>
      </w:tr>
      <w:tr>
        <w:trPr>
          <w:cantSplit/>
        </w:trPr>
        <w:tc>
          <w:tcPr>
            <w:tcW w:type="dxa" w:w="2592"/>
            <w:vAlign w:val="top"/>
          </w:tcPr>
          <w:p>
            <w:pPr>
              <w:spacing w:after="0"/>
            </w:pPr>
            <w:r/>
            <w:r>
              <w:rPr>
                <w:b w:val="0"/>
                <w:sz w:val="16"/>
              </w:rPr>
              <w:t>brand_restrictions</w:t>
            </w:r>
          </w:p>
        </w:tc>
        <w:tc>
          <w:tcPr>
            <w:tcW w:type="dxa" w:w="4896"/>
            <w:vAlign w:val="top"/>
          </w:tcPr>
          <w:p>
            <w:pPr>
              <w:spacing w:after="0"/>
            </w:pPr>
            <w:r/>
            <w:r>
              <w:rPr>
                <w:b w:val="0"/>
                <w:sz w:val="16"/>
              </w:rPr>
              <w:t>id, property_id, category, restriction_type, start/end</w:t>
            </w:r>
          </w:p>
        </w:tc>
        <w:tc>
          <w:tcPr>
            <w:tcW w:type="dxa" w:w="2736"/>
            <w:vAlign w:val="top"/>
          </w:tcPr>
          <w:p>
            <w:pPr>
              <w:spacing w:after="0"/>
            </w:pPr>
            <w:r/>
            <w:r>
              <w:rPr>
                <w:b w:val="0"/>
                <w:sz w:val="16"/>
              </w:rPr>
              <w:t>Conflicts and eligibility.</w:t>
            </w:r>
          </w:p>
        </w:tc>
      </w:tr>
      <w:tr>
        <w:trPr>
          <w:cantSplit/>
        </w:trPr>
        <w:tc>
          <w:tcPr>
            <w:tcW w:type="dxa" w:w="2592"/>
            <w:vAlign w:val="top"/>
          </w:tcPr>
          <w:p>
            <w:pPr>
              <w:spacing w:after="0"/>
            </w:pPr>
            <w:r/>
            <w:r>
              <w:rPr>
                <w:b w:val="0"/>
                <w:sz w:val="16"/>
              </w:rPr>
              <w:t>wallet_passes</w:t>
            </w:r>
          </w:p>
        </w:tc>
        <w:tc>
          <w:tcPr>
            <w:tcW w:type="dxa" w:w="4896"/>
            <w:vAlign w:val="top"/>
          </w:tcPr>
          <w:p>
            <w:pPr>
              <w:spacing w:after="0"/>
            </w:pPr>
            <w:r/>
            <w:r>
              <w:rPr>
                <w:b w:val="0"/>
                <w:sz w:val="16"/>
              </w:rPr>
              <w:t>expand existing: provider_template_id, device_registrations, last_update</w:t>
            </w:r>
          </w:p>
        </w:tc>
        <w:tc>
          <w:tcPr>
            <w:tcW w:type="dxa" w:w="2736"/>
            <w:vAlign w:val="top"/>
          </w:tcPr>
          <w:p>
            <w:pPr>
              <w:spacing w:after="0"/>
            </w:pPr>
            <w:r/>
            <w:r>
              <w:rPr>
                <w:b w:val="0"/>
                <w:sz w:val="16"/>
              </w:rPr>
              <w:t>Wallet lifecycle.</w:t>
            </w:r>
          </w:p>
        </w:tc>
      </w:tr>
      <w:tr>
        <w:trPr>
          <w:cantSplit/>
        </w:trPr>
        <w:tc>
          <w:tcPr>
            <w:tcW w:type="dxa" w:w="2592"/>
            <w:vAlign w:val="top"/>
          </w:tcPr>
          <w:p>
            <w:pPr>
              <w:spacing w:after="0"/>
            </w:pPr>
            <w:r/>
            <w:r>
              <w:rPr>
                <w:b w:val="0"/>
                <w:sz w:val="16"/>
              </w:rPr>
              <w:t>notification_preferences</w:t>
            </w:r>
          </w:p>
        </w:tc>
        <w:tc>
          <w:tcPr>
            <w:tcW w:type="dxa" w:w="4896"/>
            <w:vAlign w:val="top"/>
          </w:tcPr>
          <w:p>
            <w:pPr>
              <w:spacing w:after="0"/>
            </w:pPr>
            <w:r/>
            <w:r>
              <w:rPr>
                <w:b w:val="0"/>
                <w:sz w:val="16"/>
              </w:rPr>
              <w:t>user_id, channel, event_type, enabled</w:t>
            </w:r>
          </w:p>
        </w:tc>
        <w:tc>
          <w:tcPr>
            <w:tcW w:type="dxa" w:w="2736"/>
            <w:vAlign w:val="top"/>
          </w:tcPr>
          <w:p>
            <w:pPr>
              <w:spacing w:after="0"/>
            </w:pPr>
            <w:r/>
            <w:r>
              <w:rPr>
                <w:b w:val="0"/>
                <w:sz w:val="16"/>
              </w:rPr>
              <w:t>Communication settings.</w:t>
            </w:r>
          </w:p>
        </w:tc>
      </w:tr>
      <w:tr>
        <w:trPr>
          <w:cantSplit/>
        </w:trPr>
        <w:tc>
          <w:tcPr>
            <w:tcW w:type="dxa" w:w="2592"/>
            <w:vAlign w:val="top"/>
          </w:tcPr>
          <w:p>
            <w:pPr>
              <w:spacing w:after="0"/>
            </w:pPr>
            <w:r/>
            <w:r>
              <w:rPr>
                <w:b w:val="0"/>
                <w:sz w:val="16"/>
              </w:rPr>
              <w:t>tenant_branding</w:t>
            </w:r>
          </w:p>
        </w:tc>
        <w:tc>
          <w:tcPr>
            <w:tcW w:type="dxa" w:w="4896"/>
            <w:vAlign w:val="top"/>
          </w:tcPr>
          <w:p>
            <w:pPr>
              <w:spacing w:after="0"/>
            </w:pPr>
            <w:r/>
            <w:r>
              <w:rPr>
                <w:b w:val="0"/>
                <w:sz w:val="16"/>
              </w:rPr>
              <w:t>tenant_id, logo_url, primary_color, report_branding_json</w:t>
            </w:r>
          </w:p>
        </w:tc>
        <w:tc>
          <w:tcPr>
            <w:tcW w:type="dxa" w:w="2736"/>
            <w:vAlign w:val="top"/>
          </w:tcPr>
          <w:p>
            <w:pPr>
              <w:spacing w:after="0"/>
            </w:pPr>
            <w:r/>
            <w:r>
              <w:rPr>
                <w:b w:val="0"/>
                <w:sz w:val="16"/>
              </w:rPr>
              <w:t>White-label readiness.</w:t>
            </w:r>
          </w:p>
        </w:tc>
      </w:tr>
    </w:tbl>
    <w:p/>
    <w:p>
      <w:pPr>
        <w:pStyle w:val="Heading1"/>
      </w:pPr>
      <w:r>
        <w:t>10. Phase 2 Integrations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880"/>
            <w:shd w:fill="1F4E79"/>
            <w:vAlign w:val="center"/>
          </w:tcPr>
          <w:p>
            <w:pPr>
              <w:spacing w:after="0"/>
            </w:pPr>
            <w:r/>
            <w:r>
              <w:rPr>
                <w:b/>
                <w:color w:val="FFFFFF"/>
                <w:sz w:val="16"/>
              </w:rPr>
              <w:t>Integration</w:t>
            </w:r>
          </w:p>
        </w:tc>
        <w:tc>
          <w:tcPr>
            <w:tcW w:type="dxa" w:w="1872"/>
            <w:shd w:fill="1F4E79"/>
            <w:vAlign w:val="center"/>
          </w:tcPr>
          <w:p>
            <w:pPr>
              <w:spacing w:after="0"/>
            </w:pPr>
            <w:r/>
            <w:r>
              <w:rPr>
                <w:b/>
                <w:color w:val="FFFFFF"/>
                <w:sz w:val="16"/>
              </w:rPr>
              <w:t>Priority</w:t>
            </w:r>
          </w:p>
        </w:tc>
        <w:tc>
          <w:tcPr>
            <w:tcW w:type="dxa" w:w="5760"/>
            <w:shd w:fill="1F4E79"/>
            <w:vAlign w:val="center"/>
          </w:tcPr>
          <w:p>
            <w:pPr>
              <w:spacing w:after="0"/>
            </w:pPr>
            <w:r/>
            <w:r>
              <w:rPr>
                <w:b/>
                <w:color w:val="FFFFFF"/>
                <w:sz w:val="16"/>
              </w:rPr>
              <w:t>Purpose</w:t>
            </w:r>
          </w:p>
        </w:tc>
      </w:tr>
      <w:tr>
        <w:trPr>
          <w:cantSplit/>
        </w:trPr>
        <w:tc>
          <w:tcPr>
            <w:tcW w:type="dxa" w:w="2880"/>
            <w:vAlign w:val="top"/>
          </w:tcPr>
          <w:p>
            <w:pPr>
              <w:spacing w:after="0"/>
            </w:pPr>
            <w:r/>
            <w:r>
              <w:rPr>
                <w:b w:val="0"/>
                <w:sz w:val="16"/>
              </w:rPr>
              <w:t>Marketplace Payment Provider</w:t>
            </w:r>
          </w:p>
        </w:tc>
        <w:tc>
          <w:tcPr>
            <w:tcW w:type="dxa" w:w="1872"/>
            <w:vAlign w:val="top"/>
          </w:tcPr>
          <w:p>
            <w:pPr>
              <w:spacing w:after="0"/>
            </w:pPr>
            <w:r/>
            <w:r>
              <w:rPr>
                <w:b w:val="0"/>
                <w:sz w:val="16"/>
              </w:rPr>
              <w:t>Required</w:t>
            </w:r>
          </w:p>
        </w:tc>
        <w:tc>
          <w:tcPr>
            <w:tcW w:type="dxa" w:w="5760"/>
            <w:vAlign w:val="top"/>
          </w:tcPr>
          <w:p>
            <w:pPr>
              <w:spacing w:after="0"/>
            </w:pPr>
            <w:r/>
            <w:r>
              <w:rPr>
                <w:b w:val="0"/>
                <w:sz w:val="16"/>
              </w:rPr>
              <w:t>Checkout, connected-account onboarding, platform fees, transfers/payouts, refunds, disputes, webhooks.</w:t>
            </w:r>
          </w:p>
        </w:tc>
      </w:tr>
      <w:tr>
        <w:trPr>
          <w:cantSplit/>
        </w:trPr>
        <w:tc>
          <w:tcPr>
            <w:tcW w:type="dxa" w:w="2880"/>
            <w:vAlign w:val="top"/>
          </w:tcPr>
          <w:p>
            <w:pPr>
              <w:spacing w:after="0"/>
            </w:pPr>
            <w:r/>
            <w:r>
              <w:rPr>
                <w:b w:val="0"/>
                <w:sz w:val="16"/>
              </w:rPr>
              <w:t>Zoho CRM</w:t>
            </w:r>
          </w:p>
        </w:tc>
        <w:tc>
          <w:tcPr>
            <w:tcW w:type="dxa" w:w="1872"/>
            <w:vAlign w:val="top"/>
          </w:tcPr>
          <w:p>
            <w:pPr>
              <w:spacing w:after="0"/>
            </w:pPr>
            <w:r/>
            <w:r>
              <w:rPr>
                <w:b w:val="0"/>
                <w:sz w:val="16"/>
              </w:rPr>
              <w:t>Expand</w:t>
            </w:r>
          </w:p>
        </w:tc>
        <w:tc>
          <w:tcPr>
            <w:tcW w:type="dxa" w:w="5760"/>
            <w:vAlign w:val="top"/>
          </w:tcPr>
          <w:p>
            <w:pPr>
              <w:spacing w:after="0"/>
            </w:pPr>
            <w:r/>
            <w:r>
              <w:rPr>
                <w:b w:val="0"/>
                <w:sz w:val="16"/>
              </w:rPr>
              <w:t>Sync marketplace orders, external property accounts, deal stage, invoice/payment references, renewals.</w:t>
            </w:r>
          </w:p>
        </w:tc>
      </w:tr>
      <w:tr>
        <w:trPr>
          <w:cantSplit/>
        </w:trPr>
        <w:tc>
          <w:tcPr>
            <w:tcW w:type="dxa" w:w="2880"/>
            <w:vAlign w:val="top"/>
          </w:tcPr>
          <w:p>
            <w:pPr>
              <w:spacing w:after="0"/>
            </w:pPr>
            <w:r/>
            <w:r>
              <w:rPr>
                <w:b w:val="0"/>
                <w:sz w:val="16"/>
              </w:rPr>
              <w:t>Apple Wallet</w:t>
            </w:r>
          </w:p>
        </w:tc>
        <w:tc>
          <w:tcPr>
            <w:tcW w:type="dxa" w:w="1872"/>
            <w:vAlign w:val="top"/>
          </w:tcPr>
          <w:p>
            <w:pPr>
              <w:spacing w:after="0"/>
            </w:pPr>
            <w:r/>
            <w:r>
              <w:rPr>
                <w:b w:val="0"/>
                <w:sz w:val="16"/>
              </w:rPr>
              <w:t>Recommended</w:t>
            </w:r>
          </w:p>
        </w:tc>
        <w:tc>
          <w:tcPr>
            <w:tcW w:type="dxa" w:w="5760"/>
            <w:vAlign w:val="top"/>
          </w:tcPr>
          <w:p>
            <w:pPr>
              <w:spacing w:after="0"/>
            </w:pPr>
            <w:r/>
            <w:r>
              <w:rPr>
                <w:b w:val="0"/>
                <w:sz w:val="16"/>
              </w:rPr>
              <w:t>Issue/update passes for sponsor-funded offers and event rewards.</w:t>
            </w:r>
          </w:p>
        </w:tc>
      </w:tr>
      <w:tr>
        <w:trPr>
          <w:cantSplit/>
        </w:trPr>
        <w:tc>
          <w:tcPr>
            <w:tcW w:type="dxa" w:w="2880"/>
            <w:vAlign w:val="top"/>
          </w:tcPr>
          <w:p>
            <w:pPr>
              <w:spacing w:after="0"/>
            </w:pPr>
            <w:r/>
            <w:r>
              <w:rPr>
                <w:b w:val="0"/>
                <w:sz w:val="16"/>
              </w:rPr>
              <w:t>Google Wallet</w:t>
            </w:r>
          </w:p>
        </w:tc>
        <w:tc>
          <w:tcPr>
            <w:tcW w:type="dxa" w:w="1872"/>
            <w:vAlign w:val="top"/>
          </w:tcPr>
          <w:p>
            <w:pPr>
              <w:spacing w:after="0"/>
            </w:pPr>
            <w:r/>
            <w:r>
              <w:rPr>
                <w:b w:val="0"/>
                <w:sz w:val="16"/>
              </w:rPr>
              <w:t>Recommended</w:t>
            </w:r>
          </w:p>
        </w:tc>
        <w:tc>
          <w:tcPr>
            <w:tcW w:type="dxa" w:w="5760"/>
            <w:vAlign w:val="top"/>
          </w:tcPr>
          <w:p>
            <w:pPr>
              <w:spacing w:after="0"/>
            </w:pPr>
            <w:r/>
            <w:r>
              <w:rPr>
                <w:b w:val="0"/>
                <w:sz w:val="16"/>
              </w:rPr>
              <w:t>Issue/update offer passes and reward objects.</w:t>
            </w:r>
          </w:p>
        </w:tc>
      </w:tr>
      <w:tr>
        <w:trPr>
          <w:cantSplit/>
        </w:trPr>
        <w:tc>
          <w:tcPr>
            <w:tcW w:type="dxa" w:w="2880"/>
            <w:vAlign w:val="top"/>
          </w:tcPr>
          <w:p>
            <w:pPr>
              <w:spacing w:after="0"/>
            </w:pPr>
            <w:r/>
            <w:r>
              <w:rPr>
                <w:b w:val="0"/>
                <w:sz w:val="16"/>
              </w:rPr>
              <w:t>Email Provider</w:t>
            </w:r>
          </w:p>
        </w:tc>
        <w:tc>
          <w:tcPr>
            <w:tcW w:type="dxa" w:w="1872"/>
            <w:vAlign w:val="top"/>
          </w:tcPr>
          <w:p>
            <w:pPr>
              <w:spacing w:after="0"/>
            </w:pPr>
            <w:r/>
            <w:r>
              <w:rPr>
                <w:b w:val="0"/>
                <w:sz w:val="16"/>
              </w:rPr>
              <w:t>Required</w:t>
            </w:r>
          </w:p>
        </w:tc>
        <w:tc>
          <w:tcPr>
            <w:tcW w:type="dxa" w:w="5760"/>
            <w:vAlign w:val="top"/>
          </w:tcPr>
          <w:p>
            <w:pPr>
              <w:spacing w:after="0"/>
            </w:pPr>
            <w:r/>
            <w:r>
              <w:rPr>
                <w:b w:val="0"/>
                <w:sz w:val="16"/>
              </w:rPr>
              <w:t>Transactional campaign/order/onboarding/reward messages.</w:t>
            </w:r>
          </w:p>
        </w:tc>
      </w:tr>
      <w:tr>
        <w:trPr>
          <w:cantSplit/>
        </w:trPr>
        <w:tc>
          <w:tcPr>
            <w:tcW w:type="dxa" w:w="2880"/>
            <w:vAlign w:val="top"/>
          </w:tcPr>
          <w:p>
            <w:pPr>
              <w:spacing w:after="0"/>
            </w:pPr>
            <w:r/>
            <w:r>
              <w:rPr>
                <w:b w:val="0"/>
                <w:sz w:val="16"/>
              </w:rPr>
              <w:t>SMS Provider</w:t>
            </w:r>
          </w:p>
        </w:tc>
        <w:tc>
          <w:tcPr>
            <w:tcW w:type="dxa" w:w="1872"/>
            <w:vAlign w:val="top"/>
          </w:tcPr>
          <w:p>
            <w:pPr>
              <w:spacing w:after="0"/>
            </w:pPr>
            <w:r/>
            <w:r>
              <w:rPr>
                <w:b w:val="0"/>
                <w:sz w:val="16"/>
              </w:rPr>
              <w:t>Optional but recommended</w:t>
            </w:r>
          </w:p>
        </w:tc>
        <w:tc>
          <w:tcPr>
            <w:tcW w:type="dxa" w:w="5760"/>
            <w:vAlign w:val="top"/>
          </w:tcPr>
          <w:p>
            <w:pPr>
              <w:spacing w:after="0"/>
            </w:pPr>
            <w:r/>
            <w:r>
              <w:rPr>
                <w:b w:val="0"/>
                <w:sz w:val="16"/>
              </w:rPr>
              <w:t>Time-sensitive reminders, OTP/claim delivery, payout alerts.</w:t>
            </w:r>
          </w:p>
        </w:tc>
      </w:tr>
      <w:tr>
        <w:trPr>
          <w:cantSplit/>
        </w:trPr>
        <w:tc>
          <w:tcPr>
            <w:tcW w:type="dxa" w:w="2880"/>
            <w:vAlign w:val="top"/>
          </w:tcPr>
          <w:p>
            <w:pPr>
              <w:spacing w:after="0"/>
            </w:pPr>
            <w:r/>
            <w:r>
              <w:rPr>
                <w:b w:val="0"/>
                <w:sz w:val="16"/>
              </w:rPr>
              <w:t>Social Platform APIs</w:t>
            </w:r>
          </w:p>
        </w:tc>
        <w:tc>
          <w:tcPr>
            <w:tcW w:type="dxa" w:w="1872"/>
            <w:vAlign w:val="top"/>
          </w:tcPr>
          <w:p>
            <w:pPr>
              <w:spacing w:after="0"/>
            </w:pPr>
            <w:r/>
            <w:r>
              <w:rPr>
                <w:b w:val="0"/>
                <w:sz w:val="16"/>
              </w:rPr>
              <w:t>Selective</w:t>
            </w:r>
          </w:p>
        </w:tc>
        <w:tc>
          <w:tcPr>
            <w:tcW w:type="dxa" w:w="5760"/>
            <w:vAlign w:val="top"/>
          </w:tcPr>
          <w:p>
            <w:pPr>
              <w:spacing w:after="0"/>
            </w:pPr>
            <w:r/>
            <w:r>
              <w:rPr>
                <w:b w:val="0"/>
                <w:sz w:val="16"/>
              </w:rPr>
              <w:t>Audience snapshots and campaign performance where approved/available.</w:t>
            </w:r>
          </w:p>
        </w:tc>
      </w:tr>
      <w:tr>
        <w:trPr>
          <w:cantSplit/>
        </w:trPr>
        <w:tc>
          <w:tcPr>
            <w:tcW w:type="dxa" w:w="2880"/>
            <w:vAlign w:val="top"/>
          </w:tcPr>
          <w:p>
            <w:pPr>
              <w:spacing w:after="0"/>
            </w:pPr>
            <w:r/>
            <w:r>
              <w:rPr>
                <w:b w:val="0"/>
                <w:sz w:val="16"/>
              </w:rPr>
              <w:t>Cloud File Storage/CDN</w:t>
            </w:r>
          </w:p>
        </w:tc>
        <w:tc>
          <w:tcPr>
            <w:tcW w:type="dxa" w:w="1872"/>
            <w:vAlign w:val="top"/>
          </w:tcPr>
          <w:p>
            <w:pPr>
              <w:spacing w:after="0"/>
            </w:pPr>
            <w:r/>
            <w:r>
              <w:rPr>
                <w:b w:val="0"/>
                <w:sz w:val="16"/>
              </w:rPr>
              <w:t>Required</w:t>
            </w:r>
          </w:p>
        </w:tc>
        <w:tc>
          <w:tcPr>
            <w:tcW w:type="dxa" w:w="5760"/>
            <w:vAlign w:val="top"/>
          </w:tcPr>
          <w:p>
            <w:pPr>
              <w:spacing w:after="0"/>
            </w:pPr>
            <w:r/>
            <w:r>
              <w:rPr>
                <w:b w:val="0"/>
                <w:sz w:val="16"/>
              </w:rPr>
              <w:t>Contracts, verification documents, creative assets, proofs, report files.</w:t>
            </w:r>
          </w:p>
        </w:tc>
      </w:tr>
      <w:tr>
        <w:trPr>
          <w:cantSplit/>
        </w:trPr>
        <w:tc>
          <w:tcPr>
            <w:tcW w:type="dxa" w:w="2880"/>
            <w:vAlign w:val="top"/>
          </w:tcPr>
          <w:p>
            <w:pPr>
              <w:spacing w:after="0"/>
            </w:pPr>
            <w:r/>
            <w:r>
              <w:rPr>
                <w:b w:val="0"/>
                <w:sz w:val="16"/>
              </w:rPr>
              <w:t>Tax/Identity Service</w:t>
            </w:r>
          </w:p>
        </w:tc>
        <w:tc>
          <w:tcPr>
            <w:tcW w:type="dxa" w:w="1872"/>
            <w:vAlign w:val="top"/>
          </w:tcPr>
          <w:p>
            <w:pPr>
              <w:spacing w:after="0"/>
            </w:pPr>
            <w:r/>
            <w:r>
              <w:rPr>
                <w:b w:val="0"/>
                <w:sz w:val="16"/>
              </w:rPr>
              <w:t>Optional</w:t>
            </w:r>
          </w:p>
        </w:tc>
        <w:tc>
          <w:tcPr>
            <w:tcW w:type="dxa" w:w="5760"/>
            <w:vAlign w:val="top"/>
          </w:tcPr>
          <w:p>
            <w:pPr>
              <w:spacing w:after="0"/>
            </w:pPr>
            <w:r/>
            <w:r>
              <w:rPr>
                <w:b w:val="0"/>
                <w:sz w:val="16"/>
              </w:rPr>
              <w:t>Add if marketplace volume/jurisdiction needs exceed payment-provider capabilities.</w:t>
            </w:r>
          </w:p>
        </w:tc>
      </w:tr>
    </w:tbl>
    <w:p/>
    <w:p>
      <w:pPr>
        <w:pStyle w:val="Heading1"/>
      </w:pPr>
      <w:r>
        <w:t>11. Phase 2 Sprint Plan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728"/>
            <w:shd w:fill="1F4E79"/>
            <w:vAlign w:val="center"/>
          </w:tcPr>
          <w:p>
            <w:pPr>
              <w:spacing w:after="0"/>
            </w:pPr>
            <w:r/>
            <w:r>
              <w:rPr>
                <w:b/>
                <w:color w:val="FFFFFF"/>
                <w:sz w:val="16"/>
              </w:rPr>
              <w:t>Sprint</w:t>
            </w:r>
          </w:p>
        </w:tc>
        <w:tc>
          <w:tcPr>
            <w:tcW w:type="dxa" w:w="1440"/>
            <w:shd w:fill="1F4E79"/>
            <w:vAlign w:val="center"/>
          </w:tcPr>
          <w:p>
            <w:pPr>
              <w:spacing w:after="0"/>
            </w:pPr>
            <w:r/>
            <w:r>
              <w:rPr>
                <w:b/>
                <w:color w:val="FFFFFF"/>
                <w:sz w:val="16"/>
              </w:rPr>
              <w:t>Duration</w:t>
            </w:r>
          </w:p>
        </w:tc>
        <w:tc>
          <w:tcPr>
            <w:tcW w:type="dxa" w:w="7344"/>
            <w:shd w:fill="1F4E79"/>
            <w:vAlign w:val="center"/>
          </w:tcPr>
          <w:p>
            <w:pPr>
              <w:spacing w:after="0"/>
            </w:pPr>
            <w:r/>
            <w:r>
              <w:rPr>
                <w:b/>
                <w:color w:val="FFFFFF"/>
                <w:sz w:val="16"/>
              </w:rPr>
              <w:t>Scope</w:t>
            </w:r>
          </w:p>
        </w:tc>
      </w:tr>
      <w:tr>
        <w:trPr>
          <w:cantSplit/>
        </w:trPr>
        <w:tc>
          <w:tcPr>
            <w:tcW w:type="dxa" w:w="1728"/>
            <w:vAlign w:val="top"/>
          </w:tcPr>
          <w:p>
            <w:pPr>
              <w:spacing w:after="0"/>
            </w:pPr>
            <w:r/>
            <w:r>
              <w:rPr>
                <w:b w:val="0"/>
                <w:sz w:val="16"/>
              </w:rPr>
              <w:t>Sprint 0</w:t>
            </w:r>
          </w:p>
        </w:tc>
        <w:tc>
          <w:tcPr>
            <w:tcW w:type="dxa" w:w="1440"/>
            <w:vAlign w:val="top"/>
          </w:tcPr>
          <w:p>
            <w:pPr>
              <w:spacing w:after="0"/>
            </w:pPr>
            <w:r/>
            <w:r>
              <w:rPr>
                <w:b w:val="0"/>
                <w:sz w:val="16"/>
              </w:rPr>
              <w:t>2 weeks</w:t>
            </w:r>
          </w:p>
        </w:tc>
        <w:tc>
          <w:tcPr>
            <w:tcW w:type="dxa" w:w="7344"/>
            <w:vAlign w:val="top"/>
          </w:tcPr>
          <w:p>
            <w:pPr>
              <w:spacing w:after="0"/>
            </w:pPr>
            <w:r/>
            <w:r>
              <w:rPr>
                <w:b w:val="0"/>
                <w:sz w:val="16"/>
              </w:rPr>
              <w:t>Architecture update, UX flows, marketplace state machines, financial ledger design, provider selections, security review.</w:t>
            </w:r>
          </w:p>
        </w:tc>
      </w:tr>
      <w:tr>
        <w:trPr>
          <w:cantSplit/>
        </w:trPr>
        <w:tc>
          <w:tcPr>
            <w:tcW w:type="dxa" w:w="1728"/>
            <w:vAlign w:val="top"/>
          </w:tcPr>
          <w:p>
            <w:pPr>
              <w:spacing w:after="0"/>
            </w:pPr>
            <w:r/>
            <w:r>
              <w:rPr>
                <w:b w:val="0"/>
                <w:sz w:val="16"/>
              </w:rPr>
              <w:t>Sprint 1</w:t>
            </w:r>
          </w:p>
        </w:tc>
        <w:tc>
          <w:tcPr>
            <w:tcW w:type="dxa" w:w="1440"/>
            <w:vAlign w:val="top"/>
          </w:tcPr>
          <w:p>
            <w:pPr>
              <w:spacing w:after="0"/>
            </w:pPr>
            <w:r/>
            <w:r>
              <w:rPr>
                <w:b w:val="0"/>
                <w:sz w:val="16"/>
              </w:rPr>
              <w:t>2 weeks</w:t>
            </w:r>
          </w:p>
        </w:tc>
        <w:tc>
          <w:tcPr>
            <w:tcW w:type="dxa" w:w="7344"/>
            <w:vAlign w:val="top"/>
          </w:tcPr>
          <w:p>
            <w:pPr>
              <w:spacing w:after="0"/>
            </w:pPr>
            <w:r/>
            <w:r>
              <w:rPr>
                <w:b w:val="0"/>
                <w:sz w:val="16"/>
              </w:rPr>
              <w:t>External tenant/property onboarding, verification queue, document handling, permissions.</w:t>
            </w:r>
          </w:p>
        </w:tc>
      </w:tr>
      <w:tr>
        <w:trPr>
          <w:cantSplit/>
        </w:trPr>
        <w:tc>
          <w:tcPr>
            <w:tcW w:type="dxa" w:w="1728"/>
            <w:vAlign w:val="top"/>
          </w:tcPr>
          <w:p>
            <w:pPr>
              <w:spacing w:after="0"/>
            </w:pPr>
            <w:r/>
            <w:r>
              <w:rPr>
                <w:b w:val="0"/>
                <w:sz w:val="16"/>
              </w:rPr>
              <w:t>Sprint 2</w:t>
            </w:r>
          </w:p>
        </w:tc>
        <w:tc>
          <w:tcPr>
            <w:tcW w:type="dxa" w:w="1440"/>
            <w:vAlign w:val="top"/>
          </w:tcPr>
          <w:p>
            <w:pPr>
              <w:spacing w:after="0"/>
            </w:pPr>
            <w:r/>
            <w:r>
              <w:rPr>
                <w:b w:val="0"/>
                <w:sz w:val="16"/>
              </w:rPr>
              <w:t>2 weeks</w:t>
            </w:r>
          </w:p>
        </w:tc>
        <w:tc>
          <w:tcPr>
            <w:tcW w:type="dxa" w:w="7344"/>
            <w:vAlign w:val="top"/>
          </w:tcPr>
          <w:p>
            <w:pPr>
              <w:spacing w:after="0"/>
            </w:pPr>
            <w:r/>
            <w:r>
              <w:rPr>
                <w:b w:val="0"/>
                <w:sz w:val="16"/>
              </w:rPr>
              <w:t>Athlete/team portal foundation, inventory/rates/restrictions, campaign-offer flow.</w:t>
            </w:r>
          </w:p>
        </w:tc>
      </w:tr>
      <w:tr>
        <w:trPr>
          <w:cantSplit/>
        </w:trPr>
        <w:tc>
          <w:tcPr>
            <w:tcW w:type="dxa" w:w="1728"/>
            <w:vAlign w:val="top"/>
          </w:tcPr>
          <w:p>
            <w:pPr>
              <w:spacing w:after="0"/>
            </w:pPr>
            <w:r/>
            <w:r>
              <w:rPr>
                <w:b w:val="0"/>
                <w:sz w:val="16"/>
              </w:rPr>
              <w:t>Sprint 3</w:t>
            </w:r>
          </w:p>
        </w:tc>
        <w:tc>
          <w:tcPr>
            <w:tcW w:type="dxa" w:w="1440"/>
            <w:vAlign w:val="top"/>
          </w:tcPr>
          <w:p>
            <w:pPr>
              <w:spacing w:after="0"/>
            </w:pPr>
            <w:r/>
            <w:r>
              <w:rPr>
                <w:b w:val="0"/>
                <w:sz w:val="16"/>
              </w:rPr>
              <w:t>2 weeks</w:t>
            </w:r>
          </w:p>
        </w:tc>
        <w:tc>
          <w:tcPr>
            <w:tcW w:type="dxa" w:w="7344"/>
            <w:vAlign w:val="top"/>
          </w:tcPr>
          <w:p>
            <w:pPr>
              <w:spacing w:after="0"/>
            </w:pPr>
            <w:r/>
            <w:r>
              <w:rPr>
                <w:b w:val="0"/>
                <w:sz w:val="16"/>
              </w:rPr>
              <w:t>Marketplace listing engine, packages, search/filter, availability/conflict checks.</w:t>
            </w:r>
          </w:p>
        </w:tc>
      </w:tr>
      <w:tr>
        <w:trPr>
          <w:cantSplit/>
        </w:trPr>
        <w:tc>
          <w:tcPr>
            <w:tcW w:type="dxa" w:w="1728"/>
            <w:vAlign w:val="top"/>
          </w:tcPr>
          <w:p>
            <w:pPr>
              <w:spacing w:after="0"/>
            </w:pPr>
            <w:r/>
            <w:r>
              <w:rPr>
                <w:b w:val="0"/>
                <w:sz w:val="16"/>
              </w:rPr>
              <w:t>Sprint 4</w:t>
            </w:r>
          </w:p>
        </w:tc>
        <w:tc>
          <w:tcPr>
            <w:tcW w:type="dxa" w:w="1440"/>
            <w:vAlign w:val="top"/>
          </w:tcPr>
          <w:p>
            <w:pPr>
              <w:spacing w:after="0"/>
            </w:pPr>
            <w:r/>
            <w:r>
              <w:rPr>
                <w:b w:val="0"/>
                <w:sz w:val="16"/>
              </w:rPr>
              <w:t>2 weeks</w:t>
            </w:r>
          </w:p>
        </w:tc>
        <w:tc>
          <w:tcPr>
            <w:tcW w:type="dxa" w:w="7344"/>
            <w:vAlign w:val="top"/>
          </w:tcPr>
          <w:p>
            <w:pPr>
              <w:spacing w:after="0"/>
            </w:pPr>
            <w:r/>
            <w:r>
              <w:rPr>
                <w:b w:val="0"/>
                <w:sz w:val="16"/>
              </w:rPr>
              <w:t>Cart, reservations, orders, contract gates, order state machine.</w:t>
            </w:r>
          </w:p>
        </w:tc>
      </w:tr>
      <w:tr>
        <w:trPr>
          <w:cantSplit/>
        </w:trPr>
        <w:tc>
          <w:tcPr>
            <w:tcW w:type="dxa" w:w="1728"/>
            <w:vAlign w:val="top"/>
          </w:tcPr>
          <w:p>
            <w:pPr>
              <w:spacing w:after="0"/>
            </w:pPr>
            <w:r/>
            <w:r>
              <w:rPr>
                <w:b w:val="0"/>
                <w:sz w:val="16"/>
              </w:rPr>
              <w:t>Sprint 5</w:t>
            </w:r>
          </w:p>
        </w:tc>
        <w:tc>
          <w:tcPr>
            <w:tcW w:type="dxa" w:w="1440"/>
            <w:vAlign w:val="top"/>
          </w:tcPr>
          <w:p>
            <w:pPr>
              <w:spacing w:after="0"/>
            </w:pPr>
            <w:r/>
            <w:r>
              <w:rPr>
                <w:b w:val="0"/>
                <w:sz w:val="16"/>
              </w:rPr>
              <w:t>2 weeks</w:t>
            </w:r>
          </w:p>
        </w:tc>
        <w:tc>
          <w:tcPr>
            <w:tcW w:type="dxa" w:w="7344"/>
            <w:vAlign w:val="top"/>
          </w:tcPr>
          <w:p>
            <w:pPr>
              <w:spacing w:after="0"/>
            </w:pPr>
            <w:r/>
            <w:r>
              <w:rPr>
                <w:b w:val="0"/>
                <w:sz w:val="16"/>
              </w:rPr>
              <w:t>Payment provider, connected accounts, ledger, commission rules, payout statuses.</w:t>
            </w:r>
          </w:p>
        </w:tc>
      </w:tr>
      <w:tr>
        <w:trPr>
          <w:cantSplit/>
        </w:trPr>
        <w:tc>
          <w:tcPr>
            <w:tcW w:type="dxa" w:w="1728"/>
            <w:vAlign w:val="top"/>
          </w:tcPr>
          <w:p>
            <w:pPr>
              <w:spacing w:after="0"/>
            </w:pPr>
            <w:r/>
            <w:r>
              <w:rPr>
                <w:b w:val="0"/>
                <w:sz w:val="16"/>
              </w:rPr>
              <w:t>Sprint 6</w:t>
            </w:r>
          </w:p>
        </w:tc>
        <w:tc>
          <w:tcPr>
            <w:tcW w:type="dxa" w:w="1440"/>
            <w:vAlign w:val="top"/>
          </w:tcPr>
          <w:p>
            <w:pPr>
              <w:spacing w:after="0"/>
            </w:pPr>
            <w:r/>
            <w:r>
              <w:rPr>
                <w:b w:val="0"/>
                <w:sz w:val="16"/>
              </w:rPr>
              <w:t>2 weeks</w:t>
            </w:r>
          </w:p>
        </w:tc>
        <w:tc>
          <w:tcPr>
            <w:tcW w:type="dxa" w:w="7344"/>
            <w:vAlign w:val="top"/>
          </w:tcPr>
          <w:p>
            <w:pPr>
              <w:spacing w:after="0"/>
            </w:pPr>
            <w:r/>
            <w:r>
              <w:rPr>
                <w:b w:val="0"/>
                <w:sz w:val="16"/>
              </w:rPr>
              <w:t>Wallet reward adapters, transactional notifications, claim/pass updates.</w:t>
            </w:r>
          </w:p>
        </w:tc>
      </w:tr>
      <w:tr>
        <w:trPr>
          <w:cantSplit/>
        </w:trPr>
        <w:tc>
          <w:tcPr>
            <w:tcW w:type="dxa" w:w="1728"/>
            <w:vAlign w:val="top"/>
          </w:tcPr>
          <w:p>
            <w:pPr>
              <w:spacing w:after="0"/>
            </w:pPr>
            <w:r/>
            <w:r>
              <w:rPr>
                <w:b w:val="0"/>
                <w:sz w:val="16"/>
              </w:rPr>
              <w:t>Sprint 7</w:t>
            </w:r>
          </w:p>
        </w:tc>
        <w:tc>
          <w:tcPr>
            <w:tcW w:type="dxa" w:w="1440"/>
            <w:vAlign w:val="top"/>
          </w:tcPr>
          <w:p>
            <w:pPr>
              <w:spacing w:after="0"/>
            </w:pPr>
            <w:r/>
            <w:r>
              <w:rPr>
                <w:b w:val="0"/>
                <w:sz w:val="16"/>
              </w:rPr>
              <w:t>2 weeks</w:t>
            </w:r>
          </w:p>
        </w:tc>
        <w:tc>
          <w:tcPr>
            <w:tcW w:type="dxa" w:w="7344"/>
            <w:vAlign w:val="top"/>
          </w:tcPr>
          <w:p>
            <w:pPr>
              <w:spacing w:after="0"/>
            </w:pPr>
            <w:r/>
            <w:r>
              <w:rPr>
                <w:b w:val="0"/>
                <w:sz w:val="16"/>
              </w:rPr>
              <w:t>Property analytics, marketplace operations console, Zoho expansion.</w:t>
            </w:r>
          </w:p>
        </w:tc>
      </w:tr>
      <w:tr>
        <w:trPr>
          <w:cantSplit/>
        </w:trPr>
        <w:tc>
          <w:tcPr>
            <w:tcW w:type="dxa" w:w="1728"/>
            <w:vAlign w:val="top"/>
          </w:tcPr>
          <w:p>
            <w:pPr>
              <w:spacing w:after="0"/>
            </w:pPr>
            <w:r/>
            <w:r>
              <w:rPr>
                <w:b w:val="0"/>
                <w:sz w:val="16"/>
              </w:rPr>
              <w:t>Sprint 8</w:t>
            </w:r>
          </w:p>
        </w:tc>
        <w:tc>
          <w:tcPr>
            <w:tcW w:type="dxa" w:w="1440"/>
            <w:vAlign w:val="top"/>
          </w:tcPr>
          <w:p>
            <w:pPr>
              <w:spacing w:after="0"/>
            </w:pPr>
            <w:r/>
            <w:r>
              <w:rPr>
                <w:b w:val="0"/>
                <w:sz w:val="16"/>
              </w:rPr>
              <w:t>2 weeks</w:t>
            </w:r>
          </w:p>
        </w:tc>
        <w:tc>
          <w:tcPr>
            <w:tcW w:type="dxa" w:w="7344"/>
            <w:vAlign w:val="top"/>
          </w:tcPr>
          <w:p>
            <w:pPr>
              <w:spacing w:after="0"/>
            </w:pPr>
            <w:r/>
            <w:r>
              <w:rPr>
                <w:b w:val="0"/>
                <w:sz w:val="16"/>
              </w:rPr>
              <w:t>End-to-end QA, payment/reward failure testing, security review, UAT, production rollout.</w:t>
            </w:r>
          </w:p>
        </w:tc>
      </w:tr>
    </w:tbl>
    <w:p/>
    <w:p>
      <w:pPr>
        <w:pStyle w:val="Heading1"/>
      </w:pPr>
      <w:r>
        <w:t>12. Phase 2 Acceptance Criteria</w:t>
      </w:r>
    </w:p>
    <w:p>
      <w:pPr>
        <w:pStyle w:val="ListBullet"/>
        <w:spacing w:after="20"/>
      </w:pPr>
      <w:r>
        <w:t>An external property can onboard, submit required information, be reviewed, and be approved without direct database intervention.</w:t>
      </w:r>
    </w:p>
    <w:p>
      <w:pPr>
        <w:pStyle w:val="ListBullet"/>
        <w:spacing w:after="20"/>
      </w:pPr>
      <w:r>
        <w:t>A verified athlete or property can create inventory but cannot publish it unless marketplace-governance rules are satisfied.</w:t>
      </w:r>
    </w:p>
    <w:p>
      <w:pPr>
        <w:pStyle w:val="ListBullet"/>
        <w:spacing w:after="20"/>
      </w:pPr>
      <w:r>
        <w:t>Marketplace search returns only inventory available to the requesting sponsor/tenant and respects visibility restrictions.</w:t>
      </w:r>
    </w:p>
    <w:p>
      <w:pPr>
        <w:pStyle w:val="ListBullet"/>
        <w:spacing w:after="20"/>
      </w:pPr>
      <w:r>
        <w:t>Reservations prevent overselling and automatically release expired inventory.</w:t>
      </w:r>
    </w:p>
    <w:p>
      <w:pPr>
        <w:pStyle w:val="ListBullet"/>
        <w:spacing w:after="20"/>
      </w:pPr>
      <w:r>
        <w:t>Category-exclusivity and date conflicts block invalid purchases.</w:t>
      </w:r>
    </w:p>
    <w:p>
      <w:pPr>
        <w:pStyle w:val="ListBullet"/>
        <w:spacing w:after="20"/>
      </w:pPr>
      <w:r>
        <w:t>Sponsor can complete a purchase or reservation through the configured payment/order flow.</w:t>
      </w:r>
    </w:p>
    <w:p>
      <w:pPr>
        <w:pStyle w:val="ListBullet"/>
        <w:spacing w:after="20"/>
      </w:pPr>
      <w:r>
        <w:t>Payment webhooks are idempotent and correctly update order/payment state.</w:t>
      </w:r>
    </w:p>
    <w:p>
      <w:pPr>
        <w:pStyle w:val="ListBullet"/>
        <w:spacing w:after="20"/>
      </w:pPr>
      <w:r>
        <w:t>Commission snapshot is created at contract time and remains unchanged if future rate cards are edited.</w:t>
      </w:r>
    </w:p>
    <w:p>
      <w:pPr>
        <w:pStyle w:val="ListBullet"/>
        <w:spacing w:after="20"/>
      </w:pPr>
      <w:r>
        <w:t>Athlete can accept a campaign offer, complete deliverables, and view earnings.</w:t>
      </w:r>
    </w:p>
    <w:p>
      <w:pPr>
        <w:pStyle w:val="ListBullet"/>
        <w:spacing w:after="20"/>
      </w:pPr>
      <w:r>
        <w:t>Payout cannot be released if payment is unsettled, deliverables are incomplete, account onboarding is incomplete, or a dispute is open.</w:t>
      </w:r>
    </w:p>
    <w:p>
      <w:pPr>
        <w:pStyle w:val="ListBullet"/>
        <w:spacing w:after="20"/>
      </w:pPr>
      <w:r>
        <w:t>Wallet reward pass can be issued and updated from SponsorX.</w:t>
      </w:r>
    </w:p>
    <w:p>
      <w:pPr>
        <w:pStyle w:val="ListBullet"/>
        <w:spacing w:after="20"/>
      </w:pPr>
      <w:r>
        <w:t>Property dashboard accurately reconciles booked revenue, ledger balance, paid earnings, and pending earnings.</w:t>
      </w:r>
    </w:p>
    <w:p>
      <w:pPr>
        <w:pStyle w:val="ListBullet"/>
        <w:spacing w:after="20"/>
      </w:pPr>
      <w:r>
        <w:t>Zoho contains linked Account/Contact/Deal data for external marketplace transactions.</w:t>
      </w:r>
    </w:p>
    <w:p>
      <w:pPr>
        <w:pStyle w:val="ListBullet"/>
        <w:spacing w:after="20"/>
      </w:pPr>
      <w:r>
        <w:t>Cross-tenant data access tests pass for sponsor, athlete/property and admin roles.</w:t>
      </w:r>
    </w:p>
    <w:p>
      <w:pPr>
        <w:pStyle w:val="Heading1"/>
      </w:pPr>
      <w:r>
        <w:t>13. Phase 2 Staffing, Timeline &amp; Budget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880"/>
            <w:shd w:fill="1F4E79"/>
            <w:vAlign w:val="center"/>
          </w:tcPr>
          <w:p>
            <w:pPr>
              <w:spacing w:after="0"/>
            </w:pPr>
            <w:r/>
            <w:r>
              <w:rPr>
                <w:b/>
                <w:color w:val="FFFFFF"/>
                <w:sz w:val="16"/>
              </w:rPr>
              <w:t>Role</w:t>
            </w:r>
          </w:p>
        </w:tc>
        <w:tc>
          <w:tcPr>
            <w:tcW w:type="dxa" w:w="2160"/>
            <w:shd w:fill="1F4E79"/>
            <w:vAlign w:val="center"/>
          </w:tcPr>
          <w:p>
            <w:pPr>
              <w:spacing w:after="0"/>
            </w:pPr>
            <w:r/>
            <w:r>
              <w:rPr>
                <w:b/>
                <w:color w:val="FFFFFF"/>
                <w:sz w:val="16"/>
              </w:rPr>
              <w:t>Suggested Allocation</w:t>
            </w:r>
          </w:p>
        </w:tc>
        <w:tc>
          <w:tcPr>
            <w:tcW w:type="dxa" w:w="5328"/>
            <w:shd w:fill="1F4E79"/>
            <w:vAlign w:val="center"/>
          </w:tcPr>
          <w:p>
            <w:pPr>
              <w:spacing w:after="0"/>
            </w:pPr>
            <w:r/>
            <w:r>
              <w:rPr>
                <w:b/>
                <w:color w:val="FFFFFF"/>
                <w:sz w:val="16"/>
              </w:rPr>
              <w:t>Responsibility</w:t>
            </w:r>
          </w:p>
        </w:tc>
      </w:tr>
      <w:tr>
        <w:trPr>
          <w:cantSplit/>
        </w:trPr>
        <w:tc>
          <w:tcPr>
            <w:tcW w:type="dxa" w:w="2880"/>
            <w:vAlign w:val="top"/>
          </w:tcPr>
          <w:p>
            <w:pPr>
              <w:spacing w:after="0"/>
            </w:pPr>
            <w:r/>
            <w:r>
              <w:rPr>
                <w:b w:val="0"/>
                <w:sz w:val="16"/>
              </w:rPr>
              <w:t>Product Manager</w:t>
            </w:r>
          </w:p>
        </w:tc>
        <w:tc>
          <w:tcPr>
            <w:tcW w:type="dxa" w:w="2160"/>
            <w:vAlign w:val="top"/>
          </w:tcPr>
          <w:p>
            <w:pPr>
              <w:spacing w:after="0"/>
            </w:pPr>
            <w:r/>
            <w:r>
              <w:rPr>
                <w:b w:val="0"/>
                <w:sz w:val="16"/>
              </w:rPr>
              <w:t>0.5-1.0 FTE</w:t>
            </w:r>
          </w:p>
        </w:tc>
        <w:tc>
          <w:tcPr>
            <w:tcW w:type="dxa" w:w="5328"/>
            <w:vAlign w:val="top"/>
          </w:tcPr>
          <w:p>
            <w:pPr>
              <w:spacing w:after="0"/>
            </w:pPr>
            <w:r/>
            <w:r>
              <w:rPr>
                <w:b w:val="0"/>
                <w:sz w:val="16"/>
              </w:rPr>
              <w:t>Own marketplace rules, backlog, UAT and business decisions.</w:t>
            </w:r>
          </w:p>
        </w:tc>
      </w:tr>
      <w:tr>
        <w:trPr>
          <w:cantSplit/>
        </w:trPr>
        <w:tc>
          <w:tcPr>
            <w:tcW w:type="dxa" w:w="2880"/>
            <w:vAlign w:val="top"/>
          </w:tcPr>
          <w:p>
            <w:pPr>
              <w:spacing w:after="0"/>
            </w:pPr>
            <w:r/>
            <w:r>
              <w:rPr>
                <w:b w:val="0"/>
                <w:sz w:val="16"/>
              </w:rPr>
              <w:t>Technical Architect / Lead</w:t>
            </w:r>
          </w:p>
        </w:tc>
        <w:tc>
          <w:tcPr>
            <w:tcW w:type="dxa" w:w="2160"/>
            <w:vAlign w:val="top"/>
          </w:tcPr>
          <w:p>
            <w:pPr>
              <w:spacing w:after="0"/>
            </w:pPr>
            <w:r/>
            <w:r>
              <w:rPr>
                <w:b w:val="0"/>
                <w:sz w:val="16"/>
              </w:rPr>
              <w:t>0.5 FTE</w:t>
            </w:r>
          </w:p>
        </w:tc>
        <w:tc>
          <w:tcPr>
            <w:tcW w:type="dxa" w:w="5328"/>
            <w:vAlign w:val="top"/>
          </w:tcPr>
          <w:p>
            <w:pPr>
              <w:spacing w:after="0"/>
            </w:pPr>
            <w:r/>
            <w:r>
              <w:rPr>
                <w:b w:val="0"/>
                <w:sz w:val="16"/>
              </w:rPr>
              <w:t>Financial/state-machine architecture, security, provider patterns.</w:t>
            </w:r>
          </w:p>
        </w:tc>
      </w:tr>
      <w:tr>
        <w:trPr>
          <w:cantSplit/>
        </w:trPr>
        <w:tc>
          <w:tcPr>
            <w:tcW w:type="dxa" w:w="2880"/>
            <w:vAlign w:val="top"/>
          </w:tcPr>
          <w:p>
            <w:pPr>
              <w:spacing w:after="0"/>
            </w:pPr>
            <w:r/>
            <w:r>
              <w:rPr>
                <w:b w:val="0"/>
                <w:sz w:val="16"/>
              </w:rPr>
              <w:t>UX/UI Designer</w:t>
            </w:r>
          </w:p>
        </w:tc>
        <w:tc>
          <w:tcPr>
            <w:tcW w:type="dxa" w:w="2160"/>
            <w:vAlign w:val="top"/>
          </w:tcPr>
          <w:p>
            <w:pPr>
              <w:spacing w:after="0"/>
            </w:pPr>
            <w:r/>
            <w:r>
              <w:rPr>
                <w:b w:val="0"/>
                <w:sz w:val="16"/>
              </w:rPr>
              <w:t>0.5 FTE first 8-10 weeks</w:t>
            </w:r>
          </w:p>
        </w:tc>
        <w:tc>
          <w:tcPr>
            <w:tcW w:type="dxa" w:w="5328"/>
            <w:vAlign w:val="top"/>
          </w:tcPr>
          <w:p>
            <w:pPr>
              <w:spacing w:after="0"/>
            </w:pPr>
            <w:r/>
            <w:r>
              <w:rPr>
                <w:b w:val="0"/>
                <w:sz w:val="16"/>
              </w:rPr>
              <w:t>Marketplace, onboarding, athlete/property portal UX.</w:t>
            </w:r>
          </w:p>
        </w:tc>
      </w:tr>
      <w:tr>
        <w:trPr>
          <w:cantSplit/>
        </w:trPr>
        <w:tc>
          <w:tcPr>
            <w:tcW w:type="dxa" w:w="2880"/>
            <w:vAlign w:val="top"/>
          </w:tcPr>
          <w:p>
            <w:pPr>
              <w:spacing w:after="0"/>
            </w:pPr>
            <w:r/>
            <w:r>
              <w:rPr>
                <w:b w:val="0"/>
                <w:sz w:val="16"/>
              </w:rPr>
              <w:t>Frontend Engineers</w:t>
            </w:r>
          </w:p>
        </w:tc>
        <w:tc>
          <w:tcPr>
            <w:tcW w:type="dxa" w:w="2160"/>
            <w:vAlign w:val="top"/>
          </w:tcPr>
          <w:p>
            <w:pPr>
              <w:spacing w:after="0"/>
            </w:pPr>
            <w:r/>
            <w:r>
              <w:rPr>
                <w:b w:val="0"/>
                <w:sz w:val="16"/>
              </w:rPr>
              <w:t>2 FTE</w:t>
            </w:r>
          </w:p>
        </w:tc>
        <w:tc>
          <w:tcPr>
            <w:tcW w:type="dxa" w:w="5328"/>
            <w:vAlign w:val="top"/>
          </w:tcPr>
          <w:p>
            <w:pPr>
              <w:spacing w:after="0"/>
            </w:pPr>
            <w:r/>
            <w:r>
              <w:rPr>
                <w:b w:val="0"/>
                <w:sz w:val="16"/>
              </w:rPr>
              <w:t>Sponsor, marketplace, athlete/property and admin interfaces.</w:t>
            </w:r>
          </w:p>
        </w:tc>
      </w:tr>
      <w:tr>
        <w:trPr>
          <w:cantSplit/>
        </w:trPr>
        <w:tc>
          <w:tcPr>
            <w:tcW w:type="dxa" w:w="2880"/>
            <w:vAlign w:val="top"/>
          </w:tcPr>
          <w:p>
            <w:pPr>
              <w:spacing w:after="0"/>
            </w:pPr>
            <w:r/>
            <w:r>
              <w:rPr>
                <w:b w:val="0"/>
                <w:sz w:val="16"/>
              </w:rPr>
              <w:t>Backend Engineers</w:t>
            </w:r>
          </w:p>
        </w:tc>
        <w:tc>
          <w:tcPr>
            <w:tcW w:type="dxa" w:w="2160"/>
            <w:vAlign w:val="top"/>
          </w:tcPr>
          <w:p>
            <w:pPr>
              <w:spacing w:after="0"/>
            </w:pPr>
            <w:r/>
            <w:r>
              <w:rPr>
                <w:b w:val="0"/>
                <w:sz w:val="16"/>
              </w:rPr>
              <w:t>2 FTE</w:t>
            </w:r>
          </w:p>
        </w:tc>
        <w:tc>
          <w:tcPr>
            <w:tcW w:type="dxa" w:w="5328"/>
            <w:vAlign w:val="top"/>
          </w:tcPr>
          <w:p>
            <w:pPr>
              <w:spacing w:after="0"/>
            </w:pPr>
            <w:r/>
            <w:r>
              <w:rPr>
                <w:b w:val="0"/>
                <w:sz w:val="16"/>
              </w:rPr>
              <w:t>Orders, ledger, payouts, availability, integrations, APIs.</w:t>
            </w:r>
          </w:p>
        </w:tc>
      </w:tr>
      <w:tr>
        <w:trPr>
          <w:cantSplit/>
        </w:trPr>
        <w:tc>
          <w:tcPr>
            <w:tcW w:type="dxa" w:w="2880"/>
            <w:vAlign w:val="top"/>
          </w:tcPr>
          <w:p>
            <w:pPr>
              <w:spacing w:after="0"/>
            </w:pPr>
            <w:r/>
            <w:r>
              <w:rPr>
                <w:b w:val="0"/>
                <w:sz w:val="16"/>
              </w:rPr>
              <w:t>Integration Engineer</w:t>
            </w:r>
          </w:p>
        </w:tc>
        <w:tc>
          <w:tcPr>
            <w:tcW w:type="dxa" w:w="2160"/>
            <w:vAlign w:val="top"/>
          </w:tcPr>
          <w:p>
            <w:pPr>
              <w:spacing w:after="0"/>
            </w:pPr>
            <w:r/>
            <w:r>
              <w:rPr>
                <w:b w:val="0"/>
                <w:sz w:val="16"/>
              </w:rPr>
              <w:t>0.5-1 FTE</w:t>
            </w:r>
          </w:p>
        </w:tc>
        <w:tc>
          <w:tcPr>
            <w:tcW w:type="dxa" w:w="5328"/>
            <w:vAlign w:val="top"/>
          </w:tcPr>
          <w:p>
            <w:pPr>
              <w:spacing w:after="0"/>
            </w:pPr>
            <w:r/>
            <w:r>
              <w:rPr>
                <w:b w:val="0"/>
                <w:sz w:val="16"/>
              </w:rPr>
              <w:t>Payments, wallet, Zoho, notifications.</w:t>
            </w:r>
          </w:p>
        </w:tc>
      </w:tr>
      <w:tr>
        <w:trPr>
          <w:cantSplit/>
        </w:trPr>
        <w:tc>
          <w:tcPr>
            <w:tcW w:type="dxa" w:w="2880"/>
            <w:vAlign w:val="top"/>
          </w:tcPr>
          <w:p>
            <w:pPr>
              <w:spacing w:after="0"/>
            </w:pPr>
            <w:r/>
            <w:r>
              <w:rPr>
                <w:b w:val="0"/>
                <w:sz w:val="16"/>
              </w:rPr>
              <w:t>QA Automation Engineer</w:t>
            </w:r>
          </w:p>
        </w:tc>
        <w:tc>
          <w:tcPr>
            <w:tcW w:type="dxa" w:w="2160"/>
            <w:vAlign w:val="top"/>
          </w:tcPr>
          <w:p>
            <w:pPr>
              <w:spacing w:after="0"/>
            </w:pPr>
            <w:r/>
            <w:r>
              <w:rPr>
                <w:b w:val="0"/>
                <w:sz w:val="16"/>
              </w:rPr>
              <w:t>1 FTE</w:t>
            </w:r>
          </w:p>
        </w:tc>
        <w:tc>
          <w:tcPr>
            <w:tcW w:type="dxa" w:w="5328"/>
            <w:vAlign w:val="top"/>
          </w:tcPr>
          <w:p>
            <w:pPr>
              <w:spacing w:after="0"/>
            </w:pPr>
            <w:r/>
            <w:r>
              <w:rPr>
                <w:b w:val="0"/>
                <w:sz w:val="16"/>
              </w:rPr>
              <w:t>End-to-end, financial and regression testing.</w:t>
            </w:r>
          </w:p>
        </w:tc>
      </w:tr>
      <w:tr>
        <w:trPr>
          <w:cantSplit/>
        </w:trPr>
        <w:tc>
          <w:tcPr>
            <w:tcW w:type="dxa" w:w="2880"/>
            <w:vAlign w:val="top"/>
          </w:tcPr>
          <w:p>
            <w:pPr>
              <w:spacing w:after="0"/>
            </w:pPr>
            <w:r/>
            <w:r>
              <w:rPr>
                <w:b w:val="0"/>
                <w:sz w:val="16"/>
              </w:rPr>
              <w:t>DevOps/SRE</w:t>
            </w:r>
          </w:p>
        </w:tc>
        <w:tc>
          <w:tcPr>
            <w:tcW w:type="dxa" w:w="2160"/>
            <w:vAlign w:val="top"/>
          </w:tcPr>
          <w:p>
            <w:pPr>
              <w:spacing w:after="0"/>
            </w:pPr>
            <w:r/>
            <w:r>
              <w:rPr>
                <w:b w:val="0"/>
                <w:sz w:val="16"/>
              </w:rPr>
              <w:t>0.25-0.5 FTE</w:t>
            </w:r>
          </w:p>
        </w:tc>
        <w:tc>
          <w:tcPr>
            <w:tcW w:type="dxa" w:w="5328"/>
            <w:vAlign w:val="top"/>
          </w:tcPr>
          <w:p>
            <w:pPr>
              <w:spacing w:after="0"/>
            </w:pPr>
            <w:r/>
            <w:r>
              <w:rPr>
                <w:b w:val="0"/>
                <w:sz w:val="16"/>
              </w:rPr>
              <w:t>Environments, monitoring, secrets, deployment.</w:t>
            </w:r>
          </w:p>
        </w:tc>
      </w:tr>
      <w:tr>
        <w:trPr>
          <w:cantSplit/>
        </w:trPr>
        <w:tc>
          <w:tcPr>
            <w:tcW w:type="dxa" w:w="2880"/>
            <w:vAlign w:val="top"/>
          </w:tcPr>
          <w:p>
            <w:pPr>
              <w:spacing w:after="0"/>
            </w:pPr>
            <w:r/>
            <w:r>
              <w:rPr>
                <w:b w:val="0"/>
                <w:sz w:val="16"/>
              </w:rPr>
              <w:t>Security/Compliance Reviewer</w:t>
            </w:r>
          </w:p>
        </w:tc>
        <w:tc>
          <w:tcPr>
            <w:tcW w:type="dxa" w:w="2160"/>
            <w:vAlign w:val="top"/>
          </w:tcPr>
          <w:p>
            <w:pPr>
              <w:spacing w:after="0"/>
            </w:pPr>
            <w:r/>
            <w:r>
              <w:rPr>
                <w:b w:val="0"/>
                <w:sz w:val="16"/>
              </w:rPr>
              <w:t>Fractional</w:t>
            </w:r>
          </w:p>
        </w:tc>
        <w:tc>
          <w:tcPr>
            <w:tcW w:type="dxa" w:w="5328"/>
            <w:vAlign w:val="top"/>
          </w:tcPr>
          <w:p>
            <w:pPr>
              <w:spacing w:after="0"/>
            </w:pPr>
            <w:r/>
            <w:r>
              <w:rPr>
                <w:b w:val="0"/>
                <w:sz w:val="16"/>
              </w:rPr>
              <w:t>Payments, PII, minors/NIL, marketplace terms.</w:t>
            </w:r>
          </w:p>
        </w:tc>
      </w:tr>
    </w:tbl>
    <w:p/>
    <w:p>
      <w:r>
        <w:t>Estimated timeline: 16-20 weeks including architecture, UAT and production stabilization.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168"/>
            <w:shd w:fill="1F4E79"/>
            <w:vAlign w:val="center"/>
          </w:tcPr>
          <w:p>
            <w:pPr>
              <w:spacing w:after="0"/>
            </w:pPr>
            <w:r/>
            <w:r>
              <w:rPr>
                <w:b/>
                <w:color w:val="FFFFFF"/>
                <w:sz w:val="16"/>
              </w:rPr>
              <w:t>Budget Scenario</w:t>
            </w:r>
          </w:p>
        </w:tc>
        <w:tc>
          <w:tcPr>
            <w:tcW w:type="dxa" w:w="3024"/>
            <w:shd w:fill="1F4E79"/>
            <w:vAlign w:val="center"/>
          </w:tcPr>
          <w:p>
            <w:pPr>
              <w:spacing w:after="0"/>
            </w:pPr>
            <w:r/>
            <w:r>
              <w:rPr>
                <w:b/>
                <w:color w:val="FFFFFF"/>
                <w:sz w:val="16"/>
              </w:rPr>
              <w:t>Estimated Phase 2 Budget</w:t>
            </w:r>
          </w:p>
        </w:tc>
        <w:tc>
          <w:tcPr>
            <w:tcW w:type="dxa" w:w="4464"/>
            <w:shd w:fill="1F4E79"/>
            <w:vAlign w:val="center"/>
          </w:tcPr>
          <w:p>
            <w:pPr>
              <w:spacing w:after="0"/>
            </w:pPr>
            <w:r/>
            <w:r>
              <w:rPr>
                <w:b/>
                <w:color w:val="FFFFFF"/>
                <w:sz w:val="16"/>
              </w:rPr>
              <w:t>Assumption</w:t>
            </w:r>
          </w:p>
        </w:tc>
      </w:tr>
      <w:tr>
        <w:trPr>
          <w:cantSplit/>
        </w:trPr>
        <w:tc>
          <w:tcPr>
            <w:tcW w:type="dxa" w:w="3168"/>
            <w:vAlign w:val="top"/>
          </w:tcPr>
          <w:p>
            <w:pPr>
              <w:spacing w:after="0"/>
            </w:pPr>
            <w:r/>
            <w:r>
              <w:rPr>
                <w:b w:val="0"/>
                <w:sz w:val="16"/>
              </w:rPr>
              <w:t>Lean offshore/nearshore</w:t>
            </w:r>
          </w:p>
        </w:tc>
        <w:tc>
          <w:tcPr>
            <w:tcW w:type="dxa" w:w="3024"/>
            <w:vAlign w:val="top"/>
          </w:tcPr>
          <w:p>
            <w:pPr>
              <w:spacing w:after="0"/>
            </w:pPr>
            <w:r/>
            <w:r>
              <w:rPr>
                <w:b w:val="0"/>
                <w:sz w:val="16"/>
              </w:rPr>
              <w:t>$55,000-$80,000</w:t>
            </w:r>
          </w:p>
        </w:tc>
        <w:tc>
          <w:tcPr>
            <w:tcW w:type="dxa" w:w="4464"/>
            <w:vAlign w:val="top"/>
          </w:tcPr>
          <w:p>
            <w:pPr>
              <w:spacing w:after="0"/>
            </w:pPr>
            <w:r/>
            <w:r>
              <w:rPr>
                <w:b w:val="0"/>
                <w:sz w:val="16"/>
              </w:rPr>
              <w:t>Strong senior lead, tightly managed scope, hosted provider flows, limited custom finance UI.</w:t>
            </w:r>
          </w:p>
        </w:tc>
      </w:tr>
      <w:tr>
        <w:trPr>
          <w:cantSplit/>
        </w:trPr>
        <w:tc>
          <w:tcPr>
            <w:tcW w:type="dxa" w:w="3168"/>
            <w:vAlign w:val="top"/>
          </w:tcPr>
          <w:p>
            <w:pPr>
              <w:spacing w:after="0"/>
            </w:pPr>
            <w:r/>
            <w:r>
              <w:rPr>
                <w:b w:val="0"/>
                <w:sz w:val="16"/>
              </w:rPr>
              <w:t>Balanced production build</w:t>
            </w:r>
          </w:p>
        </w:tc>
        <w:tc>
          <w:tcPr>
            <w:tcW w:type="dxa" w:w="3024"/>
            <w:vAlign w:val="top"/>
          </w:tcPr>
          <w:p>
            <w:pPr>
              <w:spacing w:after="0"/>
            </w:pPr>
            <w:r/>
            <w:r>
              <w:rPr>
                <w:b w:val="0"/>
                <w:sz w:val="16"/>
              </w:rPr>
              <w:t>$80,000-$120,000</w:t>
            </w:r>
          </w:p>
        </w:tc>
        <w:tc>
          <w:tcPr>
            <w:tcW w:type="dxa" w:w="4464"/>
            <w:vAlign w:val="top"/>
          </w:tcPr>
          <w:p>
            <w:pPr>
              <w:spacing w:after="0"/>
            </w:pPr>
            <w:r/>
            <w:r>
              <w:rPr>
                <w:b w:val="0"/>
                <w:sz w:val="16"/>
              </w:rPr>
              <w:t>Better UX, stronger automation/testing, richer marketplace operations and wallet integration.</w:t>
            </w:r>
          </w:p>
        </w:tc>
      </w:tr>
      <w:tr>
        <w:trPr>
          <w:cantSplit/>
        </w:trPr>
        <w:tc>
          <w:tcPr>
            <w:tcW w:type="dxa" w:w="3168"/>
            <w:vAlign w:val="top"/>
          </w:tcPr>
          <w:p>
            <w:pPr>
              <w:spacing w:after="0"/>
            </w:pPr>
            <w:r/>
            <w:r>
              <w:rPr>
                <w:b w:val="0"/>
                <w:sz w:val="16"/>
              </w:rPr>
              <w:t>Premium / U.S.-heavy team</w:t>
            </w:r>
          </w:p>
        </w:tc>
        <w:tc>
          <w:tcPr>
            <w:tcW w:type="dxa" w:w="3024"/>
            <w:vAlign w:val="top"/>
          </w:tcPr>
          <w:p>
            <w:pPr>
              <w:spacing w:after="0"/>
            </w:pPr>
            <w:r/>
            <w:r>
              <w:rPr>
                <w:b w:val="0"/>
                <w:sz w:val="16"/>
              </w:rPr>
              <w:t>$120,000-$175,000</w:t>
            </w:r>
          </w:p>
        </w:tc>
        <w:tc>
          <w:tcPr>
            <w:tcW w:type="dxa" w:w="4464"/>
            <w:vAlign w:val="top"/>
          </w:tcPr>
          <w:p>
            <w:pPr>
              <w:spacing w:after="0"/>
            </w:pPr>
            <w:r/>
            <w:r>
              <w:rPr>
                <w:b w:val="0"/>
                <w:sz w:val="16"/>
              </w:rPr>
              <w:t>Higher domestic labor mix, deeper compliance/security, more automated social/payment integrations.</w:t>
            </w:r>
          </w:p>
        </w:tc>
      </w:tr>
    </w:tbl>
    <w:p/>
    <w:p>
      <w:r>
        <w:br w:type="page"/>
      </w:r>
    </w:p>
    <w:tbl>
      <w:tblPr>
        <w:tblStyle w:val="TableGrid"/>
        <w:tblW w:type="auto" w:w="0"/>
        <w:tblLook w:firstColumn="1" w:firstRow="1" w:lastColumn="0" w:lastRow="0" w:noHBand="0" w:noVBand="1" w:val="04A0"/>
      </w:tblPr>
      <w:tblGrid>
        <w:gridCol w:w="10368"/>
      </w:tblGrid>
      <w:tr>
        <w:trPr>
          <w:cantSplit/>
        </w:trPr>
        <w:tc>
          <w:tcPr>
            <w:tcW w:type="dxa" w:w="10368"/>
            <w:shd w:fill="17365D"/>
          </w:tcPr>
          <w:p>
            <w:pPr>
              <w:jc w:val="center"/>
            </w:pPr>
            <w:r/>
            <w:r>
              <w:rPr>
                <w:b/>
                <w:color w:val="FFFFFF"/>
                <w:sz w:val="40"/>
              </w:rPr>
              <w:t>PHASE 3 - INTELLIGENCE &amp; ATTRIBUTION</w:t>
            </w:r>
          </w:p>
          <w:p>
            <w:pPr>
              <w:jc w:val="center"/>
            </w:pPr>
            <w:r>
              <w:rPr>
                <w:color w:val="FFFFFF"/>
                <w:sz w:val="21"/>
              </w:rPr>
              <w:t>Target: convert marketplace and campaign data into automated pricing, matching, forecasting, attribution, and optimization.</w:t>
            </w:r>
          </w:p>
        </w:tc>
      </w:tr>
    </w:tbl>
    <w:p/>
    <w:p>
      <w:pPr>
        <w:pStyle w:val="Heading1"/>
      </w:pPr>
      <w:r>
        <w:t>14. Phase 3 Business Goal</w:t>
      </w:r>
    </w:p>
    <w:p>
      <w:r>
        <w:t>Phase 3 makes SponsorX intelligent. Instead of only storing and reporting campaigns, the platform should recommend prices, identify best-fit sponsors/properties, forecast delivery, flag underperformance before campaign completion, identify suspicious metrics, automate make-good recommendations, and ingest verified commerce-attribution data from supported partners.</w:t>
      </w:r>
    </w:p>
    <w:p>
      <w:pPr>
        <w:pStyle w:val="Heading1"/>
      </w:pPr>
      <w:r>
        <w:t>15. Phase 3 Feature Modules</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shd w:fill="1F4E79"/>
            <w:vAlign w:val="center"/>
          </w:tcPr>
          <w:p>
            <w:pPr>
              <w:spacing w:after="0"/>
            </w:pPr>
            <w:r/>
            <w:r>
              <w:rPr>
                <w:b/>
                <w:color w:val="FFFFFF"/>
                <w:sz w:val="16"/>
              </w:rPr>
              <w:t>Module</w:t>
            </w:r>
          </w:p>
        </w:tc>
        <w:tc>
          <w:tcPr>
            <w:tcW w:type="dxa" w:w="7056"/>
            <w:shd w:fill="1F4E79"/>
            <w:vAlign w:val="center"/>
          </w:tcPr>
          <w:p>
            <w:pPr>
              <w:spacing w:after="0"/>
            </w:pPr>
            <w:r/>
            <w:r>
              <w:rPr>
                <w:b/>
                <w:color w:val="FFFFFF"/>
                <w:sz w:val="16"/>
              </w:rPr>
              <w:t>Required Capability</w:t>
            </w:r>
          </w:p>
        </w:tc>
      </w:tr>
      <w:tr>
        <w:trPr>
          <w:cantSplit/>
        </w:trPr>
        <w:tc>
          <w:tcPr>
            <w:tcW w:type="dxa" w:w="3024"/>
            <w:vAlign w:val="top"/>
          </w:tcPr>
          <w:p>
            <w:pPr>
              <w:spacing w:after="0"/>
            </w:pPr>
            <w:r/>
            <w:r>
              <w:rPr>
                <w:b w:val="0"/>
                <w:sz w:val="16"/>
              </w:rPr>
              <w:t>Dynamic CPM Engine</w:t>
            </w:r>
          </w:p>
        </w:tc>
        <w:tc>
          <w:tcPr>
            <w:tcW w:type="dxa" w:w="7056"/>
            <w:vAlign w:val="top"/>
          </w:tcPr>
          <w:p>
            <w:pPr>
              <w:spacing w:after="0"/>
            </w:pPr>
            <w:r/>
            <w:r>
              <w:rPr>
                <w:b w:val="0"/>
                <w:sz w:val="16"/>
              </w:rPr>
              <w:t>Versioned rule/model service using property, audience, format, demand, seasonality, historical performance and confidence.</w:t>
            </w:r>
          </w:p>
        </w:tc>
      </w:tr>
      <w:tr>
        <w:trPr>
          <w:cantSplit/>
        </w:trPr>
        <w:tc>
          <w:tcPr>
            <w:tcW w:type="dxa" w:w="3024"/>
            <w:vAlign w:val="top"/>
          </w:tcPr>
          <w:p>
            <w:pPr>
              <w:spacing w:after="0"/>
            </w:pPr>
            <w:r/>
            <w:r>
              <w:rPr>
                <w:b w:val="0"/>
                <w:sz w:val="16"/>
              </w:rPr>
              <w:t>Sponsor-Property Matching</w:t>
            </w:r>
          </w:p>
        </w:tc>
        <w:tc>
          <w:tcPr>
            <w:tcW w:type="dxa" w:w="7056"/>
            <w:vAlign w:val="top"/>
          </w:tcPr>
          <w:p>
            <w:pPr>
              <w:spacing w:after="0"/>
            </w:pPr>
            <w:r/>
            <w:r>
              <w:rPr>
                <w:b w:val="0"/>
                <w:sz w:val="16"/>
              </w:rPr>
              <w:t>Rank inventory/athletes/properties for sponsor objectives, geography, audience, category, budget and brand-safety requirements.</w:t>
            </w:r>
          </w:p>
        </w:tc>
      </w:tr>
      <w:tr>
        <w:trPr>
          <w:cantSplit/>
        </w:trPr>
        <w:tc>
          <w:tcPr>
            <w:tcW w:type="dxa" w:w="3024"/>
            <w:vAlign w:val="top"/>
          </w:tcPr>
          <w:p>
            <w:pPr>
              <w:spacing w:after="0"/>
            </w:pPr>
            <w:r/>
            <w:r>
              <w:rPr>
                <w:b w:val="0"/>
                <w:sz w:val="16"/>
              </w:rPr>
              <w:t>Campaign Delivery Forecasting</w:t>
            </w:r>
          </w:p>
        </w:tc>
        <w:tc>
          <w:tcPr>
            <w:tcW w:type="dxa" w:w="7056"/>
            <w:vAlign w:val="top"/>
          </w:tcPr>
          <w:p>
            <w:pPr>
              <w:spacing w:after="0"/>
            </w:pPr>
            <w:r/>
            <w:r>
              <w:rPr>
                <w:b w:val="0"/>
                <w:sz w:val="16"/>
              </w:rPr>
              <w:t>Predict probability of meeting guaranteed impressions and deliverables by campaign end.</w:t>
            </w:r>
          </w:p>
        </w:tc>
      </w:tr>
      <w:tr>
        <w:trPr>
          <w:cantSplit/>
        </w:trPr>
        <w:tc>
          <w:tcPr>
            <w:tcW w:type="dxa" w:w="3024"/>
            <w:vAlign w:val="top"/>
          </w:tcPr>
          <w:p>
            <w:pPr>
              <w:spacing w:after="0"/>
            </w:pPr>
            <w:r/>
            <w:r>
              <w:rPr>
                <w:b w:val="0"/>
                <w:sz w:val="16"/>
              </w:rPr>
              <w:t>Make-Good Optimizer</w:t>
            </w:r>
          </w:p>
        </w:tc>
        <w:tc>
          <w:tcPr>
            <w:tcW w:type="dxa" w:w="7056"/>
            <w:vAlign w:val="top"/>
          </w:tcPr>
          <w:p>
            <w:pPr>
              <w:spacing w:after="0"/>
            </w:pPr>
            <w:r/>
            <w:r>
              <w:rPr>
                <w:b w:val="0"/>
                <w:sz w:val="16"/>
              </w:rPr>
              <w:t>Recommend substitute inventory based on shortfall, sponsor objective, audience equivalence, cost and availability.</w:t>
            </w:r>
          </w:p>
        </w:tc>
      </w:tr>
      <w:tr>
        <w:trPr>
          <w:cantSplit/>
        </w:trPr>
        <w:tc>
          <w:tcPr>
            <w:tcW w:type="dxa" w:w="3024"/>
            <w:vAlign w:val="top"/>
          </w:tcPr>
          <w:p>
            <w:pPr>
              <w:spacing w:after="0"/>
            </w:pPr>
            <w:r/>
            <w:r>
              <w:rPr>
                <w:b w:val="0"/>
                <w:sz w:val="16"/>
              </w:rPr>
              <w:t>Attribution Adapter Framework</w:t>
            </w:r>
          </w:p>
        </w:tc>
        <w:tc>
          <w:tcPr>
            <w:tcW w:type="dxa" w:w="7056"/>
            <w:vAlign w:val="top"/>
          </w:tcPr>
          <w:p>
            <w:pPr>
              <w:spacing w:after="0"/>
            </w:pPr>
            <w:r/>
            <w:r>
              <w:rPr>
                <w:b w:val="0"/>
                <w:sz w:val="16"/>
              </w:rPr>
              <w:t>Ingest transaction/redemption or commerce events from approved partners with defined attribution window/method.</w:t>
            </w:r>
          </w:p>
        </w:tc>
      </w:tr>
      <w:tr>
        <w:trPr>
          <w:cantSplit/>
        </w:trPr>
        <w:tc>
          <w:tcPr>
            <w:tcW w:type="dxa" w:w="3024"/>
            <w:vAlign w:val="top"/>
          </w:tcPr>
          <w:p>
            <w:pPr>
              <w:spacing w:after="0"/>
            </w:pPr>
            <w:r/>
            <w:r>
              <w:rPr>
                <w:b w:val="0"/>
                <w:sz w:val="16"/>
              </w:rPr>
              <w:t>Performance Benchmarks</w:t>
            </w:r>
          </w:p>
        </w:tc>
        <w:tc>
          <w:tcPr>
            <w:tcW w:type="dxa" w:w="7056"/>
            <w:vAlign w:val="top"/>
          </w:tcPr>
          <w:p>
            <w:pPr>
              <w:spacing w:after="0"/>
            </w:pPr>
            <w:r/>
            <w:r>
              <w:rPr>
                <w:b w:val="0"/>
                <w:sz w:val="16"/>
              </w:rPr>
              <w:t>Property/category/channel benchmarks by sport, market, format and audience.</w:t>
            </w:r>
          </w:p>
        </w:tc>
      </w:tr>
      <w:tr>
        <w:trPr>
          <w:cantSplit/>
        </w:trPr>
        <w:tc>
          <w:tcPr>
            <w:tcW w:type="dxa" w:w="3024"/>
            <w:vAlign w:val="top"/>
          </w:tcPr>
          <w:p>
            <w:pPr>
              <w:spacing w:after="0"/>
            </w:pPr>
            <w:r/>
            <w:r>
              <w:rPr>
                <w:b w:val="0"/>
                <w:sz w:val="16"/>
              </w:rPr>
              <w:t>Anomaly/Fraud Detection</w:t>
            </w:r>
          </w:p>
        </w:tc>
        <w:tc>
          <w:tcPr>
            <w:tcW w:type="dxa" w:w="7056"/>
            <w:vAlign w:val="top"/>
          </w:tcPr>
          <w:p>
            <w:pPr>
              <w:spacing w:after="0"/>
            </w:pPr>
            <w:r/>
            <w:r>
              <w:rPr>
                <w:b w:val="0"/>
                <w:sz w:val="16"/>
              </w:rPr>
              <w:t>Detect improbable spikes, duplicate events, bot-like behavior, suspicious reward redemption patterns and manual-entry inconsistencies.</w:t>
            </w:r>
          </w:p>
        </w:tc>
      </w:tr>
      <w:tr>
        <w:trPr>
          <w:cantSplit/>
        </w:trPr>
        <w:tc>
          <w:tcPr>
            <w:tcW w:type="dxa" w:w="3024"/>
            <w:vAlign w:val="top"/>
          </w:tcPr>
          <w:p>
            <w:pPr>
              <w:spacing w:after="0"/>
            </w:pPr>
            <w:r/>
            <w:r>
              <w:rPr>
                <w:b w:val="0"/>
                <w:sz w:val="16"/>
              </w:rPr>
              <w:t>Sponsor Intelligence Dashboard</w:t>
            </w:r>
          </w:p>
        </w:tc>
        <w:tc>
          <w:tcPr>
            <w:tcW w:type="dxa" w:w="7056"/>
            <w:vAlign w:val="top"/>
          </w:tcPr>
          <w:p>
            <w:pPr>
              <w:spacing w:after="0"/>
            </w:pPr>
            <w:r/>
            <w:r>
              <w:rPr>
                <w:b w:val="0"/>
                <w:sz w:val="16"/>
              </w:rPr>
              <w:t>Cross-campaign audience, performance, ROI/ROAS, category and market recommendations.</w:t>
            </w:r>
          </w:p>
        </w:tc>
      </w:tr>
      <w:tr>
        <w:trPr>
          <w:cantSplit/>
        </w:trPr>
        <w:tc>
          <w:tcPr>
            <w:tcW w:type="dxa" w:w="3024"/>
            <w:vAlign w:val="top"/>
          </w:tcPr>
          <w:p>
            <w:pPr>
              <w:spacing w:after="0"/>
            </w:pPr>
            <w:r/>
            <w:r>
              <w:rPr>
                <w:b w:val="0"/>
                <w:sz w:val="16"/>
              </w:rPr>
              <w:t>Property Intelligence Dashboard</w:t>
            </w:r>
          </w:p>
        </w:tc>
        <w:tc>
          <w:tcPr>
            <w:tcW w:type="dxa" w:w="7056"/>
            <w:vAlign w:val="top"/>
          </w:tcPr>
          <w:p>
            <w:pPr>
              <w:spacing w:after="0"/>
            </w:pPr>
            <w:r/>
            <w:r>
              <w:rPr>
                <w:b w:val="0"/>
                <w:sz w:val="16"/>
              </w:rPr>
              <w:t>Recommended rate, sell-through optimization, sponsor category opportunities, performance quality score.</w:t>
            </w:r>
          </w:p>
        </w:tc>
      </w:tr>
      <w:tr>
        <w:trPr>
          <w:cantSplit/>
        </w:trPr>
        <w:tc>
          <w:tcPr>
            <w:tcW w:type="dxa" w:w="3024"/>
            <w:vAlign w:val="top"/>
          </w:tcPr>
          <w:p>
            <w:pPr>
              <w:spacing w:after="0"/>
            </w:pPr>
            <w:r/>
            <w:r>
              <w:rPr>
                <w:b w:val="0"/>
                <w:sz w:val="16"/>
              </w:rPr>
              <w:t>Forecast &amp; Scenario Planner</w:t>
            </w:r>
          </w:p>
        </w:tc>
        <w:tc>
          <w:tcPr>
            <w:tcW w:type="dxa" w:w="7056"/>
            <w:vAlign w:val="top"/>
          </w:tcPr>
          <w:p>
            <w:pPr>
              <w:spacing w:after="0"/>
            </w:pPr>
            <w:r/>
            <w:r>
              <w:rPr>
                <w:b w:val="0"/>
                <w:sz w:val="16"/>
              </w:rPr>
              <w:t>Change budget, CPM, inventory mix and guaranteed views to compare scenarios.</w:t>
            </w:r>
          </w:p>
        </w:tc>
      </w:tr>
      <w:tr>
        <w:trPr>
          <w:cantSplit/>
        </w:trPr>
        <w:tc>
          <w:tcPr>
            <w:tcW w:type="dxa" w:w="3024"/>
            <w:vAlign w:val="top"/>
          </w:tcPr>
          <w:p>
            <w:pPr>
              <w:spacing w:after="0"/>
            </w:pPr>
            <w:r/>
            <w:r>
              <w:rPr>
                <w:b w:val="0"/>
                <w:sz w:val="16"/>
              </w:rPr>
              <w:t>Data Warehouse / Semantic Layer</w:t>
            </w:r>
          </w:p>
        </w:tc>
        <w:tc>
          <w:tcPr>
            <w:tcW w:type="dxa" w:w="7056"/>
            <w:vAlign w:val="top"/>
          </w:tcPr>
          <w:p>
            <w:pPr>
              <w:spacing w:after="0"/>
            </w:pPr>
            <w:r/>
            <w:r>
              <w:rPr>
                <w:b w:val="0"/>
                <w:sz w:val="16"/>
              </w:rPr>
              <w:t>Reliable analytical model separated from transactional database.</w:t>
            </w:r>
          </w:p>
        </w:tc>
      </w:tr>
      <w:tr>
        <w:trPr>
          <w:cantSplit/>
        </w:trPr>
        <w:tc>
          <w:tcPr>
            <w:tcW w:type="dxa" w:w="3024"/>
            <w:vAlign w:val="top"/>
          </w:tcPr>
          <w:p>
            <w:pPr>
              <w:spacing w:after="0"/>
            </w:pPr>
            <w:r/>
            <w:r>
              <w:rPr>
                <w:b w:val="0"/>
                <w:sz w:val="16"/>
              </w:rPr>
              <w:t>Model Governance</w:t>
            </w:r>
          </w:p>
        </w:tc>
        <w:tc>
          <w:tcPr>
            <w:tcW w:type="dxa" w:w="7056"/>
            <w:vAlign w:val="top"/>
          </w:tcPr>
          <w:p>
            <w:pPr>
              <w:spacing w:after="0"/>
            </w:pPr>
            <w:r/>
            <w:r>
              <w:rPr>
                <w:b w:val="0"/>
                <w:sz w:val="16"/>
              </w:rPr>
              <w:t>Versioning, confidence score, explanation, manual override, monitoring and rollback.</w:t>
            </w:r>
          </w:p>
        </w:tc>
      </w:tr>
    </w:tbl>
    <w:p/>
    <w:p>
      <w:pPr>
        <w:pStyle w:val="Heading1"/>
      </w:pPr>
      <w:r>
        <w:t>16. Phase 3 New Screens</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shd w:fill="1F4E79"/>
            <w:vAlign w:val="center"/>
          </w:tcPr>
          <w:p>
            <w:pPr>
              <w:spacing w:after="0"/>
            </w:pPr>
            <w:r/>
            <w:r>
              <w:rPr>
                <w:b/>
                <w:color w:val="FFFFFF"/>
                <w:sz w:val="16"/>
              </w:rPr>
              <w:t>Screen ID</w:t>
            </w:r>
          </w:p>
        </w:tc>
        <w:tc>
          <w:tcPr>
            <w:tcW w:type="dxa" w:w="7056"/>
            <w:shd w:fill="1F4E79"/>
            <w:vAlign w:val="center"/>
          </w:tcPr>
          <w:p>
            <w:pPr>
              <w:spacing w:after="0"/>
            </w:pPr>
            <w:r/>
            <w:r>
              <w:rPr>
                <w:b/>
                <w:color w:val="FFFFFF"/>
                <w:sz w:val="16"/>
              </w:rPr>
              <w:t>Purpose</w:t>
            </w:r>
          </w:p>
        </w:tc>
      </w:tr>
      <w:tr>
        <w:trPr>
          <w:cantSplit/>
        </w:trPr>
        <w:tc>
          <w:tcPr>
            <w:tcW w:type="dxa" w:w="3024"/>
            <w:vAlign w:val="top"/>
          </w:tcPr>
          <w:p>
            <w:pPr>
              <w:spacing w:after="0"/>
            </w:pPr>
            <w:r/>
            <w:r>
              <w:rPr>
                <w:b w:val="0"/>
                <w:sz w:val="16"/>
              </w:rPr>
              <w:t>P3-01 Pricing Intelligence Panel</w:t>
            </w:r>
          </w:p>
        </w:tc>
        <w:tc>
          <w:tcPr>
            <w:tcW w:type="dxa" w:w="7056"/>
            <w:vAlign w:val="top"/>
          </w:tcPr>
          <w:p>
            <w:pPr>
              <w:spacing w:after="0"/>
            </w:pPr>
            <w:r/>
            <w:r>
              <w:rPr>
                <w:b w:val="0"/>
                <w:sz w:val="16"/>
              </w:rPr>
              <w:t>Recommended CPM/price, current rate, factor breakdown, confidence, historical range, override.</w:t>
            </w:r>
          </w:p>
        </w:tc>
      </w:tr>
      <w:tr>
        <w:trPr>
          <w:cantSplit/>
        </w:trPr>
        <w:tc>
          <w:tcPr>
            <w:tcW w:type="dxa" w:w="3024"/>
            <w:vAlign w:val="top"/>
          </w:tcPr>
          <w:p>
            <w:pPr>
              <w:spacing w:after="0"/>
            </w:pPr>
            <w:r/>
            <w:r>
              <w:rPr>
                <w:b w:val="0"/>
                <w:sz w:val="16"/>
              </w:rPr>
              <w:t>P3-02 Sponsor Match Explorer</w:t>
            </w:r>
          </w:p>
        </w:tc>
        <w:tc>
          <w:tcPr>
            <w:tcW w:type="dxa" w:w="7056"/>
            <w:vAlign w:val="top"/>
          </w:tcPr>
          <w:p>
            <w:pPr>
              <w:spacing w:after="0"/>
            </w:pPr>
            <w:r/>
            <w:r>
              <w:rPr>
                <w:b w:val="0"/>
                <w:sz w:val="16"/>
              </w:rPr>
              <w:t>Ranked athletes/properties/inventory with match score and explanation.</w:t>
            </w:r>
          </w:p>
        </w:tc>
      </w:tr>
      <w:tr>
        <w:trPr>
          <w:cantSplit/>
        </w:trPr>
        <w:tc>
          <w:tcPr>
            <w:tcW w:type="dxa" w:w="3024"/>
            <w:vAlign w:val="top"/>
          </w:tcPr>
          <w:p>
            <w:pPr>
              <w:spacing w:after="0"/>
            </w:pPr>
            <w:r/>
            <w:r>
              <w:rPr>
                <w:b w:val="0"/>
                <w:sz w:val="16"/>
              </w:rPr>
              <w:t>P3-03 Campaign Forecast Dashboard</w:t>
            </w:r>
          </w:p>
        </w:tc>
        <w:tc>
          <w:tcPr>
            <w:tcW w:type="dxa" w:w="7056"/>
            <w:vAlign w:val="top"/>
          </w:tcPr>
          <w:p>
            <w:pPr>
              <w:spacing w:after="0"/>
            </w:pPr>
            <w:r/>
            <w:r>
              <w:rPr>
                <w:b w:val="0"/>
                <w:sz w:val="16"/>
              </w:rPr>
              <w:t>Projected final delivery, probability of guarantee, pacing chart, risk factors, recommended actions.</w:t>
            </w:r>
          </w:p>
        </w:tc>
      </w:tr>
      <w:tr>
        <w:trPr>
          <w:cantSplit/>
        </w:trPr>
        <w:tc>
          <w:tcPr>
            <w:tcW w:type="dxa" w:w="3024"/>
            <w:vAlign w:val="top"/>
          </w:tcPr>
          <w:p>
            <w:pPr>
              <w:spacing w:after="0"/>
            </w:pPr>
            <w:r/>
            <w:r>
              <w:rPr>
                <w:b w:val="0"/>
                <w:sz w:val="16"/>
              </w:rPr>
              <w:t>P3-04 Make-Good Recommendation Center</w:t>
            </w:r>
          </w:p>
        </w:tc>
        <w:tc>
          <w:tcPr>
            <w:tcW w:type="dxa" w:w="7056"/>
            <w:vAlign w:val="top"/>
          </w:tcPr>
          <w:p>
            <w:pPr>
              <w:spacing w:after="0"/>
            </w:pPr>
            <w:r/>
            <w:r>
              <w:rPr>
                <w:b w:val="0"/>
                <w:sz w:val="16"/>
              </w:rPr>
              <w:t>Shortfall amount, available substitute inventory, equivalency score, cost impact, approval action.</w:t>
            </w:r>
          </w:p>
        </w:tc>
      </w:tr>
      <w:tr>
        <w:trPr>
          <w:cantSplit/>
        </w:trPr>
        <w:tc>
          <w:tcPr>
            <w:tcW w:type="dxa" w:w="3024"/>
            <w:vAlign w:val="top"/>
          </w:tcPr>
          <w:p>
            <w:pPr>
              <w:spacing w:after="0"/>
            </w:pPr>
            <w:r/>
            <w:r>
              <w:rPr>
                <w:b w:val="0"/>
                <w:sz w:val="16"/>
              </w:rPr>
              <w:t>P3-05 Attribution Dashboard</w:t>
            </w:r>
          </w:p>
        </w:tc>
        <w:tc>
          <w:tcPr>
            <w:tcW w:type="dxa" w:w="7056"/>
            <w:vAlign w:val="top"/>
          </w:tcPr>
          <w:p>
            <w:pPr>
              <w:spacing w:after="0"/>
            </w:pPr>
            <w:r/>
            <w:r>
              <w:rPr>
                <w:b w:val="0"/>
                <w:sz w:val="16"/>
              </w:rPr>
              <w:t>Attributed transactions, revenue, method, window, confidence/source, unmatched events.</w:t>
            </w:r>
          </w:p>
        </w:tc>
      </w:tr>
      <w:tr>
        <w:trPr>
          <w:cantSplit/>
        </w:trPr>
        <w:tc>
          <w:tcPr>
            <w:tcW w:type="dxa" w:w="3024"/>
            <w:vAlign w:val="top"/>
          </w:tcPr>
          <w:p>
            <w:pPr>
              <w:spacing w:after="0"/>
            </w:pPr>
            <w:r/>
            <w:r>
              <w:rPr>
                <w:b w:val="0"/>
                <w:sz w:val="16"/>
              </w:rPr>
              <w:t>P3-06 Sponsor Intelligence Hub</w:t>
            </w:r>
          </w:p>
        </w:tc>
        <w:tc>
          <w:tcPr>
            <w:tcW w:type="dxa" w:w="7056"/>
            <w:vAlign w:val="top"/>
          </w:tcPr>
          <w:p>
            <w:pPr>
              <w:spacing w:after="0"/>
            </w:pPr>
            <w:r/>
            <w:r>
              <w:rPr>
                <w:b w:val="0"/>
                <w:sz w:val="16"/>
              </w:rPr>
              <w:t>Cross-campaign insights, audience segments, best-performing formats/properties, renewal recommendations.</w:t>
            </w:r>
          </w:p>
        </w:tc>
      </w:tr>
      <w:tr>
        <w:trPr>
          <w:cantSplit/>
        </w:trPr>
        <w:tc>
          <w:tcPr>
            <w:tcW w:type="dxa" w:w="3024"/>
            <w:vAlign w:val="top"/>
          </w:tcPr>
          <w:p>
            <w:pPr>
              <w:spacing w:after="0"/>
            </w:pPr>
            <w:r/>
            <w:r>
              <w:rPr>
                <w:b w:val="0"/>
                <w:sz w:val="16"/>
              </w:rPr>
              <w:t>P3-07 Property Intelligence Hub</w:t>
            </w:r>
          </w:p>
        </w:tc>
        <w:tc>
          <w:tcPr>
            <w:tcW w:type="dxa" w:w="7056"/>
            <w:vAlign w:val="top"/>
          </w:tcPr>
          <w:p>
            <w:pPr>
              <w:spacing w:after="0"/>
            </w:pPr>
            <w:r/>
            <w:r>
              <w:rPr>
                <w:b w:val="0"/>
                <w:sz w:val="16"/>
              </w:rPr>
              <w:t>Rate recommendations, revenue opportunity, sell-through, sponsor-category fit, quality score.</w:t>
            </w:r>
          </w:p>
        </w:tc>
      </w:tr>
      <w:tr>
        <w:trPr>
          <w:cantSplit/>
        </w:trPr>
        <w:tc>
          <w:tcPr>
            <w:tcW w:type="dxa" w:w="3024"/>
            <w:vAlign w:val="top"/>
          </w:tcPr>
          <w:p>
            <w:pPr>
              <w:spacing w:after="0"/>
            </w:pPr>
            <w:r/>
            <w:r>
              <w:rPr>
                <w:b w:val="0"/>
                <w:sz w:val="16"/>
              </w:rPr>
              <w:t>P3-08 Scenario Planner</w:t>
            </w:r>
          </w:p>
        </w:tc>
        <w:tc>
          <w:tcPr>
            <w:tcW w:type="dxa" w:w="7056"/>
            <w:vAlign w:val="top"/>
          </w:tcPr>
          <w:p>
            <w:pPr>
              <w:spacing w:after="0"/>
            </w:pPr>
            <w:r/>
            <w:r>
              <w:rPr>
                <w:b w:val="0"/>
                <w:sz w:val="16"/>
              </w:rPr>
              <w:t>Adjust budget, CPM, audience and inventory mix; compare expected delivery/revenue.</w:t>
            </w:r>
          </w:p>
        </w:tc>
      </w:tr>
      <w:tr>
        <w:trPr>
          <w:cantSplit/>
        </w:trPr>
        <w:tc>
          <w:tcPr>
            <w:tcW w:type="dxa" w:w="3024"/>
            <w:vAlign w:val="top"/>
          </w:tcPr>
          <w:p>
            <w:pPr>
              <w:spacing w:after="0"/>
            </w:pPr>
            <w:r/>
            <w:r>
              <w:rPr>
                <w:b w:val="0"/>
                <w:sz w:val="16"/>
              </w:rPr>
              <w:t>P3-09 Data Quality / Anomaly Console</w:t>
            </w:r>
          </w:p>
        </w:tc>
        <w:tc>
          <w:tcPr>
            <w:tcW w:type="dxa" w:w="7056"/>
            <w:vAlign w:val="top"/>
          </w:tcPr>
          <w:p>
            <w:pPr>
              <w:spacing w:after="0"/>
            </w:pPr>
            <w:r/>
            <w:r>
              <w:rPr>
                <w:b w:val="0"/>
                <w:sz w:val="16"/>
              </w:rPr>
              <w:t>Flagged metric streams, suspicious redemptions, data-quality issues, reviewer disposition.</w:t>
            </w:r>
          </w:p>
        </w:tc>
      </w:tr>
      <w:tr>
        <w:trPr>
          <w:cantSplit/>
        </w:trPr>
        <w:tc>
          <w:tcPr>
            <w:tcW w:type="dxa" w:w="3024"/>
            <w:vAlign w:val="top"/>
          </w:tcPr>
          <w:p>
            <w:pPr>
              <w:spacing w:after="0"/>
            </w:pPr>
            <w:r/>
            <w:r>
              <w:rPr>
                <w:b w:val="0"/>
                <w:sz w:val="16"/>
              </w:rPr>
              <w:t>P3-10 Model &amp; Rule Administration</w:t>
            </w:r>
          </w:p>
        </w:tc>
        <w:tc>
          <w:tcPr>
            <w:tcW w:type="dxa" w:w="7056"/>
            <w:vAlign w:val="top"/>
          </w:tcPr>
          <w:p>
            <w:pPr>
              <w:spacing w:after="0"/>
            </w:pPr>
            <w:r/>
            <w:r>
              <w:rPr>
                <w:b w:val="0"/>
                <w:sz w:val="16"/>
              </w:rPr>
              <w:t>Manage pricing factors, model versions, thresholds, benchmarks, rollouts and feature flags.</w:t>
            </w:r>
          </w:p>
        </w:tc>
      </w:tr>
    </w:tbl>
    <w:p/>
    <w:p>
      <w:pPr>
        <w:pStyle w:val="Heading1"/>
      </w:pPr>
      <w:r>
        <w:t>17. Phase 3 Intelligence Workflows</w:t>
      </w:r>
    </w:p>
    <w:p>
      <w:pPr>
        <w:pStyle w:val="Heading2"/>
      </w:pPr>
      <w:r>
        <w:t>17.1 Dynamic Pricing Workflow</w:t>
      </w:r>
    </w:p>
    <w:p>
      <w:pPr>
        <w:pStyle w:val="ListNumber"/>
        <w:spacing w:after="20"/>
      </w:pPr>
      <w:r>
        <w:t>Nightly or event-triggered job assembles feature snapshot for each active property/inventory unit.</w:t>
      </w:r>
    </w:p>
    <w:p>
      <w:pPr>
        <w:pStyle w:val="ListNumber"/>
        <w:spacing w:after="20"/>
      </w:pPr>
      <w:r>
        <w:t>Feature service calculates audience size/quality, engagement, historical delivery, demand, seasonality, geographic value, inventory scarcity and confidence.</w:t>
      </w:r>
    </w:p>
    <w:p>
      <w:pPr>
        <w:pStyle w:val="ListNumber"/>
        <w:spacing w:after="20"/>
      </w:pPr>
      <w:r>
        <w:t>Pricing service produces recommended CPM, recommended fixed price, expected range and explanation factors.</w:t>
      </w:r>
    </w:p>
    <w:p>
      <w:pPr>
        <w:pStyle w:val="ListNumber"/>
        <w:spacing w:after="20"/>
      </w:pPr>
      <w:r>
        <w:t>Recommendation is stored with model/rule version and timestamp.</w:t>
      </w:r>
    </w:p>
    <w:p>
      <w:pPr>
        <w:pStyle w:val="ListNumber"/>
        <w:spacing w:after="20"/>
      </w:pPr>
      <w:r>
        <w:t>Authorized BTG/property user may accept recommendation or override within allowed guardrails.</w:t>
      </w:r>
    </w:p>
    <w:p>
      <w:pPr>
        <w:pStyle w:val="ListNumber"/>
        <w:spacing w:after="20"/>
      </w:pPr>
      <w:r>
        <w:t>Override reason is required and logged.</w:t>
      </w:r>
    </w:p>
    <w:p>
      <w:pPr>
        <w:pStyle w:val="ListNumber"/>
        <w:spacing w:after="20"/>
      </w:pPr>
      <w:r>
        <w:t>Subsequent sales performance feeds pricing evaluation but does not mutate the historical recommendation record.</w:t>
      </w:r>
    </w:p>
    <w:p>
      <w:pPr>
        <w:pStyle w:val="Heading2"/>
      </w:pPr>
      <w:r>
        <w:t>17.2 Sponsor Matching Workflow</w:t>
      </w:r>
    </w:p>
    <w:p>
      <w:pPr>
        <w:pStyle w:val="ListNumber"/>
        <w:spacing w:after="20"/>
      </w:pPr>
      <w:r>
        <w:t>Sponsor defines campaign objective, budget, target geography, sport, audience, categories, excluded categories, dates and channels.</w:t>
      </w:r>
    </w:p>
    <w:p>
      <w:pPr>
        <w:pStyle w:val="ListNumber"/>
        <w:spacing w:after="20"/>
      </w:pPr>
      <w:r>
        <w:t>Eligibility filter removes unavailable/conflicted/unsafe inventory.</w:t>
      </w:r>
    </w:p>
    <w:p>
      <w:pPr>
        <w:pStyle w:val="ListNumber"/>
        <w:spacing w:after="20"/>
      </w:pPr>
      <w:r>
        <w:t>Scoring service evaluates audience fit, geography, content format, category affinity, historical performance, budget fit, sponsor history and inventory quality.</w:t>
      </w:r>
    </w:p>
    <w:p>
      <w:pPr>
        <w:pStyle w:val="ListNumber"/>
        <w:spacing w:after="20"/>
      </w:pPr>
      <w:r>
        <w:t>System returns ranked results with normalized match score and human-readable reasons.</w:t>
      </w:r>
    </w:p>
    <w:p>
      <w:pPr>
        <w:pStyle w:val="ListNumber"/>
        <w:spacing w:after="20"/>
      </w:pPr>
      <w:r>
        <w:t>Sponsor or BTG can save shortlist and generate proposal/campaign scenario.</w:t>
      </w:r>
    </w:p>
    <w:p>
      <w:pPr>
        <w:pStyle w:val="ListNumber"/>
        <w:spacing w:after="20"/>
      </w:pPr>
      <w:r>
        <w:t>Actual campaign outcomes are later used to evaluate match-score quality.</w:t>
      </w:r>
    </w:p>
    <w:p>
      <w:pPr>
        <w:pStyle w:val="Heading2"/>
      </w:pPr>
      <w:r>
        <w:t>17.3 Campaign Risk Forecasting</w:t>
      </w:r>
    </w:p>
    <w:p>
      <w:pPr>
        <w:pStyle w:val="ListNumber"/>
        <w:spacing w:after="20"/>
      </w:pPr>
      <w:r>
        <w:t>Daily pacing job compares elapsed campaign time, scheduled deliverables and delivered metrics.</w:t>
      </w:r>
    </w:p>
    <w:p>
      <w:pPr>
        <w:pStyle w:val="ListNumber"/>
        <w:spacing w:after="20"/>
      </w:pPr>
      <w:r>
        <w:t>Forecast service estimates final impressions/reach and probability of hitting guarantee.</w:t>
      </w:r>
    </w:p>
    <w:p>
      <w:pPr>
        <w:pStyle w:val="ListNumber"/>
        <w:spacing w:after="20"/>
      </w:pPr>
      <w:r>
        <w:t>Campaigns crossing configurable risk thresholds generate alerts.</w:t>
      </w:r>
    </w:p>
    <w:p>
      <w:pPr>
        <w:pStyle w:val="ListNumber"/>
        <w:spacing w:after="20"/>
      </w:pPr>
      <w:r>
        <w:t>Campaign manager receives recommended action: accelerate content, add deliverable, use alternate channel, or reserve make-good inventory.</w:t>
      </w:r>
    </w:p>
    <w:p>
      <w:pPr>
        <w:pStyle w:val="ListNumber"/>
        <w:spacing w:after="20"/>
      </w:pPr>
      <w:r>
        <w:t>Forecast value and intervention history are stored for later model evaluation.</w:t>
      </w:r>
    </w:p>
    <w:p>
      <w:pPr>
        <w:pStyle w:val="Heading2"/>
      </w:pPr>
      <w:r>
        <w:t>17.4 Commerce Attribution</w:t>
      </w:r>
    </w:p>
    <w:p>
      <w:r>
        <w:t>SponsorX must treat attribution as a pluggable methodology, not as a universal truth. Each attributed transaction must identify the partner/source, attribution rule, lookback window, match method and confidence.</w:t>
      </w:r>
    </w:p>
    <w:p>
      <w:pPr>
        <w:pStyle w:val="ListNumber"/>
        <w:spacing w:after="20"/>
      </w:pPr>
      <w:r>
        <w:t>Partner sends transaction/redemption events or SponsorX retrieves them through approved API.</w:t>
      </w:r>
    </w:p>
    <w:p>
      <w:pPr>
        <w:pStyle w:val="ListNumber"/>
        <w:spacing w:after="20"/>
      </w:pPr>
      <w:r>
        <w:t>Events are normalized into attribution_event format.</w:t>
      </w:r>
    </w:p>
    <w:p>
      <w:pPr>
        <w:pStyle w:val="ListNumber"/>
        <w:spacing w:after="20"/>
      </w:pPr>
      <w:r>
        <w:t>Attribution engine attempts deterministic match first (unique reward/token/order/partner click ID).</w:t>
      </w:r>
    </w:p>
    <w:p>
      <w:pPr>
        <w:pStyle w:val="ListNumber"/>
        <w:spacing w:after="20"/>
      </w:pPr>
      <w:r>
        <w:t>If a probabilistic or aggregate attribution method is used, mark it explicitly and store confidence/method metadata.</w:t>
      </w:r>
    </w:p>
    <w:p>
      <w:pPr>
        <w:pStyle w:val="ListNumber"/>
        <w:spacing w:after="20"/>
      </w:pPr>
      <w:r>
        <w:t>Attributed event links to campaign, sponsor, property, activation/reward, and revenue amount where available.</w:t>
      </w:r>
    </w:p>
    <w:p>
      <w:pPr>
        <w:pStyle w:val="ListNumber"/>
        <w:spacing w:after="20"/>
      </w:pPr>
      <w:r>
        <w:t>Unmatched/ambiguous events remain visible in reconciliation queue.</w:t>
      </w:r>
    </w:p>
    <w:p>
      <w:pPr>
        <w:pStyle w:val="ListNumber"/>
        <w:spacing w:after="20"/>
      </w:pPr>
      <w:r>
        <w:t>Sponsor reports distinguish verified redemptions, verified transactions, modeled attribution and estimated media value.</w:t>
      </w:r>
    </w:p>
    <w:p>
      <w:pPr>
        <w:pStyle w:val="Heading1"/>
      </w:pPr>
      <w:r>
        <w:t>18. Phase 3 API Additions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872"/>
            <w:shd w:fill="1F4E79"/>
            <w:vAlign w:val="center"/>
          </w:tcPr>
          <w:p>
            <w:pPr>
              <w:spacing w:after="0"/>
            </w:pPr>
            <w:r/>
            <w:r>
              <w:rPr>
                <w:b/>
                <w:color w:val="FFFFFF"/>
                <w:sz w:val="16"/>
              </w:rPr>
              <w:t>Domain</w:t>
            </w:r>
          </w:p>
        </w:tc>
        <w:tc>
          <w:tcPr>
            <w:tcW w:type="dxa" w:w="5328"/>
            <w:shd w:fill="1F4E79"/>
            <w:vAlign w:val="center"/>
          </w:tcPr>
          <w:p>
            <w:pPr>
              <w:spacing w:after="0"/>
            </w:pPr>
            <w:r/>
            <w:r>
              <w:rPr>
                <w:b/>
                <w:color w:val="FFFFFF"/>
                <w:sz w:val="16"/>
              </w:rPr>
              <w:t>Example Endpoints</w:t>
            </w:r>
          </w:p>
        </w:tc>
        <w:tc>
          <w:tcPr>
            <w:tcW w:type="dxa" w:w="3168"/>
            <w:shd w:fill="1F4E79"/>
            <w:vAlign w:val="center"/>
          </w:tcPr>
          <w:p>
            <w:pPr>
              <w:spacing w:after="0"/>
            </w:pPr>
            <w:r/>
            <w:r>
              <w:rPr>
                <w:b/>
                <w:color w:val="FFFFFF"/>
                <w:sz w:val="16"/>
              </w:rPr>
              <w:t>Purpose</w:t>
            </w:r>
          </w:p>
        </w:tc>
      </w:tr>
      <w:tr>
        <w:trPr>
          <w:cantSplit/>
        </w:trPr>
        <w:tc>
          <w:tcPr>
            <w:tcW w:type="dxa" w:w="1872"/>
            <w:vAlign w:val="top"/>
          </w:tcPr>
          <w:p>
            <w:pPr>
              <w:spacing w:after="0"/>
            </w:pPr>
            <w:r/>
            <w:r>
              <w:rPr>
                <w:b w:val="0"/>
                <w:sz w:val="16"/>
              </w:rPr>
              <w:t>Pricing</w:t>
            </w:r>
          </w:p>
        </w:tc>
        <w:tc>
          <w:tcPr>
            <w:tcW w:type="dxa" w:w="5328"/>
            <w:vAlign w:val="top"/>
          </w:tcPr>
          <w:p>
            <w:pPr>
              <w:spacing w:after="0"/>
            </w:pPr>
            <w:r/>
            <w:r>
              <w:rPr>
                <w:b w:val="0"/>
                <w:sz w:val="16"/>
              </w:rPr>
              <w:t>POST /v1/intelligence/pricing/recommend; GET /v1/inventory/{id}/pricing-history</w:t>
            </w:r>
          </w:p>
        </w:tc>
        <w:tc>
          <w:tcPr>
            <w:tcW w:type="dxa" w:w="3168"/>
            <w:vAlign w:val="top"/>
          </w:tcPr>
          <w:p>
            <w:pPr>
              <w:spacing w:after="0"/>
            </w:pPr>
            <w:r/>
            <w:r>
              <w:rPr>
                <w:b w:val="0"/>
                <w:sz w:val="16"/>
              </w:rPr>
              <w:t>Recommended rate service.</w:t>
            </w:r>
          </w:p>
        </w:tc>
      </w:tr>
      <w:tr>
        <w:trPr>
          <w:cantSplit/>
        </w:trPr>
        <w:tc>
          <w:tcPr>
            <w:tcW w:type="dxa" w:w="1872"/>
            <w:vAlign w:val="top"/>
          </w:tcPr>
          <w:p>
            <w:pPr>
              <w:spacing w:after="0"/>
            </w:pPr>
            <w:r/>
            <w:r>
              <w:rPr>
                <w:b w:val="0"/>
                <w:sz w:val="16"/>
              </w:rPr>
              <w:t>Matching</w:t>
            </w:r>
          </w:p>
        </w:tc>
        <w:tc>
          <w:tcPr>
            <w:tcW w:type="dxa" w:w="5328"/>
            <w:vAlign w:val="top"/>
          </w:tcPr>
          <w:p>
            <w:pPr>
              <w:spacing w:after="0"/>
            </w:pPr>
            <w:r/>
            <w:r>
              <w:rPr>
                <w:b w:val="0"/>
                <w:sz w:val="16"/>
              </w:rPr>
              <w:t>POST /v1/intelligence/matches; POST /v1/intelligence/shortlists</w:t>
            </w:r>
          </w:p>
        </w:tc>
        <w:tc>
          <w:tcPr>
            <w:tcW w:type="dxa" w:w="3168"/>
            <w:vAlign w:val="top"/>
          </w:tcPr>
          <w:p>
            <w:pPr>
              <w:spacing w:after="0"/>
            </w:pPr>
            <w:r/>
            <w:r>
              <w:rPr>
                <w:b w:val="0"/>
                <w:sz w:val="16"/>
              </w:rPr>
              <w:t>Sponsor-property ranking.</w:t>
            </w:r>
          </w:p>
        </w:tc>
      </w:tr>
      <w:tr>
        <w:trPr>
          <w:cantSplit/>
        </w:trPr>
        <w:tc>
          <w:tcPr>
            <w:tcW w:type="dxa" w:w="1872"/>
            <w:vAlign w:val="top"/>
          </w:tcPr>
          <w:p>
            <w:pPr>
              <w:spacing w:after="0"/>
            </w:pPr>
            <w:r/>
            <w:r>
              <w:rPr>
                <w:b w:val="0"/>
                <w:sz w:val="16"/>
              </w:rPr>
              <w:t>Forecasting</w:t>
            </w:r>
          </w:p>
        </w:tc>
        <w:tc>
          <w:tcPr>
            <w:tcW w:type="dxa" w:w="5328"/>
            <w:vAlign w:val="top"/>
          </w:tcPr>
          <w:p>
            <w:pPr>
              <w:spacing w:after="0"/>
            </w:pPr>
            <w:r/>
            <w:r>
              <w:rPr>
                <w:b w:val="0"/>
                <w:sz w:val="16"/>
              </w:rPr>
              <w:t>GET /v1/campaigns/{id}/forecast; POST /v1/campaigns/{id}/forecast/recalculate</w:t>
            </w:r>
          </w:p>
        </w:tc>
        <w:tc>
          <w:tcPr>
            <w:tcW w:type="dxa" w:w="3168"/>
            <w:vAlign w:val="top"/>
          </w:tcPr>
          <w:p>
            <w:pPr>
              <w:spacing w:after="0"/>
            </w:pPr>
            <w:r/>
            <w:r>
              <w:rPr>
                <w:b w:val="0"/>
                <w:sz w:val="16"/>
              </w:rPr>
              <w:t>Delivery forecast.</w:t>
            </w:r>
          </w:p>
        </w:tc>
      </w:tr>
      <w:tr>
        <w:trPr>
          <w:cantSplit/>
        </w:trPr>
        <w:tc>
          <w:tcPr>
            <w:tcW w:type="dxa" w:w="1872"/>
            <w:vAlign w:val="top"/>
          </w:tcPr>
          <w:p>
            <w:pPr>
              <w:spacing w:after="0"/>
            </w:pPr>
            <w:r/>
            <w:r>
              <w:rPr>
                <w:b w:val="0"/>
                <w:sz w:val="16"/>
              </w:rPr>
              <w:t>Make-Goods</w:t>
            </w:r>
          </w:p>
        </w:tc>
        <w:tc>
          <w:tcPr>
            <w:tcW w:type="dxa" w:w="5328"/>
            <w:vAlign w:val="top"/>
          </w:tcPr>
          <w:p>
            <w:pPr>
              <w:spacing w:after="0"/>
            </w:pPr>
            <w:r/>
            <w:r>
              <w:rPr>
                <w:b w:val="0"/>
                <w:sz w:val="16"/>
              </w:rPr>
              <w:t>GET /v1/campaigns/{id}/make-good-options; POST /v1/campaigns/{id}/make-good</w:t>
            </w:r>
          </w:p>
        </w:tc>
        <w:tc>
          <w:tcPr>
            <w:tcW w:type="dxa" w:w="3168"/>
            <w:vAlign w:val="top"/>
          </w:tcPr>
          <w:p>
            <w:pPr>
              <w:spacing w:after="0"/>
            </w:pPr>
            <w:r/>
            <w:r>
              <w:rPr>
                <w:b w:val="0"/>
                <w:sz w:val="16"/>
              </w:rPr>
              <w:t>Replacement recommendation/approval.</w:t>
            </w:r>
          </w:p>
        </w:tc>
      </w:tr>
      <w:tr>
        <w:trPr>
          <w:cantSplit/>
        </w:trPr>
        <w:tc>
          <w:tcPr>
            <w:tcW w:type="dxa" w:w="1872"/>
            <w:vAlign w:val="top"/>
          </w:tcPr>
          <w:p>
            <w:pPr>
              <w:spacing w:after="0"/>
            </w:pPr>
            <w:r/>
            <w:r>
              <w:rPr>
                <w:b w:val="0"/>
                <w:sz w:val="16"/>
              </w:rPr>
              <w:t>Attribution</w:t>
            </w:r>
          </w:p>
        </w:tc>
        <w:tc>
          <w:tcPr>
            <w:tcW w:type="dxa" w:w="5328"/>
            <w:vAlign w:val="top"/>
          </w:tcPr>
          <w:p>
            <w:pPr>
              <w:spacing w:after="0"/>
            </w:pPr>
            <w:r/>
            <w:r>
              <w:rPr>
                <w:b w:val="0"/>
                <w:sz w:val="16"/>
              </w:rPr>
              <w:t>POST /v1/attribution/events; GET /v1/campaigns/{id}/attribution</w:t>
            </w:r>
          </w:p>
        </w:tc>
        <w:tc>
          <w:tcPr>
            <w:tcW w:type="dxa" w:w="3168"/>
            <w:vAlign w:val="top"/>
          </w:tcPr>
          <w:p>
            <w:pPr>
              <w:spacing w:after="0"/>
            </w:pPr>
            <w:r/>
            <w:r>
              <w:rPr>
                <w:b w:val="0"/>
                <w:sz w:val="16"/>
              </w:rPr>
              <w:t>Normalized commerce events.</w:t>
            </w:r>
          </w:p>
        </w:tc>
      </w:tr>
      <w:tr>
        <w:trPr>
          <w:cantSplit/>
        </w:trPr>
        <w:tc>
          <w:tcPr>
            <w:tcW w:type="dxa" w:w="1872"/>
            <w:vAlign w:val="top"/>
          </w:tcPr>
          <w:p>
            <w:pPr>
              <w:spacing w:after="0"/>
            </w:pPr>
            <w:r/>
            <w:r>
              <w:rPr>
                <w:b w:val="0"/>
                <w:sz w:val="16"/>
              </w:rPr>
              <w:t>Benchmarks</w:t>
            </w:r>
          </w:p>
        </w:tc>
        <w:tc>
          <w:tcPr>
            <w:tcW w:type="dxa" w:w="5328"/>
            <w:vAlign w:val="top"/>
          </w:tcPr>
          <w:p>
            <w:pPr>
              <w:spacing w:after="0"/>
            </w:pPr>
            <w:r/>
            <w:r>
              <w:rPr>
                <w:b w:val="0"/>
                <w:sz w:val="16"/>
              </w:rPr>
              <w:t>GET /v1/benchmarks?dimension=...</w:t>
            </w:r>
          </w:p>
        </w:tc>
        <w:tc>
          <w:tcPr>
            <w:tcW w:type="dxa" w:w="3168"/>
            <w:vAlign w:val="top"/>
          </w:tcPr>
          <w:p>
            <w:pPr>
              <w:spacing w:after="0"/>
            </w:pPr>
            <w:r/>
            <w:r>
              <w:rPr>
                <w:b w:val="0"/>
                <w:sz w:val="16"/>
              </w:rPr>
              <w:t>Market/property/channel benchmarks.</w:t>
            </w:r>
          </w:p>
        </w:tc>
      </w:tr>
      <w:tr>
        <w:trPr>
          <w:cantSplit/>
        </w:trPr>
        <w:tc>
          <w:tcPr>
            <w:tcW w:type="dxa" w:w="1872"/>
            <w:vAlign w:val="top"/>
          </w:tcPr>
          <w:p>
            <w:pPr>
              <w:spacing w:after="0"/>
            </w:pPr>
            <w:r/>
            <w:r>
              <w:rPr>
                <w:b w:val="0"/>
                <w:sz w:val="16"/>
              </w:rPr>
              <w:t>Scenarios</w:t>
            </w:r>
          </w:p>
        </w:tc>
        <w:tc>
          <w:tcPr>
            <w:tcW w:type="dxa" w:w="5328"/>
            <w:vAlign w:val="top"/>
          </w:tcPr>
          <w:p>
            <w:pPr>
              <w:spacing w:after="0"/>
            </w:pPr>
            <w:r/>
            <w:r>
              <w:rPr>
                <w:b w:val="0"/>
                <w:sz w:val="16"/>
              </w:rPr>
              <w:t>POST /v1/scenarios; POST /v1/scenarios/{id}/calculate</w:t>
            </w:r>
          </w:p>
        </w:tc>
        <w:tc>
          <w:tcPr>
            <w:tcW w:type="dxa" w:w="3168"/>
            <w:vAlign w:val="top"/>
          </w:tcPr>
          <w:p>
            <w:pPr>
              <w:spacing w:after="0"/>
            </w:pPr>
            <w:r/>
            <w:r>
              <w:rPr>
                <w:b w:val="0"/>
                <w:sz w:val="16"/>
              </w:rPr>
              <w:t>What-if planning.</w:t>
            </w:r>
          </w:p>
        </w:tc>
      </w:tr>
      <w:tr>
        <w:trPr>
          <w:cantSplit/>
        </w:trPr>
        <w:tc>
          <w:tcPr>
            <w:tcW w:type="dxa" w:w="1872"/>
            <w:vAlign w:val="top"/>
          </w:tcPr>
          <w:p>
            <w:pPr>
              <w:spacing w:after="0"/>
            </w:pPr>
            <w:r/>
            <w:r>
              <w:rPr>
                <w:b w:val="0"/>
                <w:sz w:val="16"/>
              </w:rPr>
              <w:t>Anomalies</w:t>
            </w:r>
          </w:p>
        </w:tc>
        <w:tc>
          <w:tcPr>
            <w:tcW w:type="dxa" w:w="5328"/>
            <w:vAlign w:val="top"/>
          </w:tcPr>
          <w:p>
            <w:pPr>
              <w:spacing w:after="0"/>
            </w:pPr>
            <w:r/>
            <w:r>
              <w:rPr>
                <w:b w:val="0"/>
                <w:sz w:val="16"/>
              </w:rPr>
              <w:t>GET /v1/admin/anomalies; POST /v1/admin/anomalies/{id}/resolve</w:t>
            </w:r>
          </w:p>
        </w:tc>
        <w:tc>
          <w:tcPr>
            <w:tcW w:type="dxa" w:w="3168"/>
            <w:vAlign w:val="top"/>
          </w:tcPr>
          <w:p>
            <w:pPr>
              <w:spacing w:after="0"/>
            </w:pPr>
            <w:r/>
            <w:r>
              <w:rPr>
                <w:b w:val="0"/>
                <w:sz w:val="16"/>
              </w:rPr>
              <w:t>Data-quality review.</w:t>
            </w:r>
          </w:p>
        </w:tc>
      </w:tr>
      <w:tr>
        <w:trPr>
          <w:cantSplit/>
        </w:trPr>
        <w:tc>
          <w:tcPr>
            <w:tcW w:type="dxa" w:w="1872"/>
            <w:vAlign w:val="top"/>
          </w:tcPr>
          <w:p>
            <w:pPr>
              <w:spacing w:after="0"/>
            </w:pPr>
            <w:r/>
            <w:r>
              <w:rPr>
                <w:b w:val="0"/>
                <w:sz w:val="16"/>
              </w:rPr>
              <w:t>Models</w:t>
            </w:r>
          </w:p>
        </w:tc>
        <w:tc>
          <w:tcPr>
            <w:tcW w:type="dxa" w:w="5328"/>
            <w:vAlign w:val="top"/>
          </w:tcPr>
          <w:p>
            <w:pPr>
              <w:spacing w:after="0"/>
            </w:pPr>
            <w:r/>
            <w:r>
              <w:rPr>
                <w:b w:val="0"/>
                <w:sz w:val="16"/>
              </w:rPr>
              <w:t>GET /v1/admin/models; POST /v1/admin/models/{id}/activate</w:t>
            </w:r>
          </w:p>
        </w:tc>
        <w:tc>
          <w:tcPr>
            <w:tcW w:type="dxa" w:w="3168"/>
            <w:vAlign w:val="top"/>
          </w:tcPr>
          <w:p>
            <w:pPr>
              <w:spacing w:after="0"/>
            </w:pPr>
            <w:r/>
            <w:r>
              <w:rPr>
                <w:b w:val="0"/>
                <w:sz w:val="16"/>
              </w:rPr>
              <w:t>Version administration.</w:t>
            </w:r>
          </w:p>
        </w:tc>
      </w:tr>
      <w:tr>
        <w:trPr>
          <w:cantSplit/>
        </w:trPr>
        <w:tc>
          <w:tcPr>
            <w:tcW w:type="dxa" w:w="1872"/>
            <w:vAlign w:val="top"/>
          </w:tcPr>
          <w:p>
            <w:pPr>
              <w:spacing w:after="0"/>
            </w:pPr>
            <w:r/>
            <w:r>
              <w:rPr>
                <w:b w:val="0"/>
                <w:sz w:val="16"/>
              </w:rPr>
              <w:t>Feature Store</w:t>
            </w:r>
          </w:p>
        </w:tc>
        <w:tc>
          <w:tcPr>
            <w:tcW w:type="dxa" w:w="5328"/>
            <w:vAlign w:val="top"/>
          </w:tcPr>
          <w:p>
            <w:pPr>
              <w:spacing w:after="0"/>
            </w:pPr>
            <w:r/>
            <w:r>
              <w:rPr>
                <w:b w:val="0"/>
                <w:sz w:val="16"/>
              </w:rPr>
              <w:t>Internal /v1/internal/features/...</w:t>
            </w:r>
          </w:p>
        </w:tc>
        <w:tc>
          <w:tcPr>
            <w:tcW w:type="dxa" w:w="3168"/>
            <w:vAlign w:val="top"/>
          </w:tcPr>
          <w:p>
            <w:pPr>
              <w:spacing w:after="0"/>
            </w:pPr>
            <w:r/>
            <w:r>
              <w:rPr>
                <w:b w:val="0"/>
                <w:sz w:val="16"/>
              </w:rPr>
              <w:t>Feature snapshot generation and retrieval.</w:t>
            </w:r>
          </w:p>
        </w:tc>
      </w:tr>
    </w:tbl>
    <w:p/>
    <w:p>
      <w:pPr>
        <w:pStyle w:val="Heading1"/>
      </w:pPr>
      <w:r>
        <w:t>19. Phase 3 Database / Analytics Additions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024"/>
            <w:shd w:fill="1F4E79"/>
            <w:vAlign w:val="center"/>
          </w:tcPr>
          <w:p>
            <w:pPr>
              <w:spacing w:after="0"/>
            </w:pPr>
            <w:r/>
            <w:r>
              <w:rPr>
                <w:b/>
                <w:color w:val="FFFFFF"/>
                <w:sz w:val="16"/>
              </w:rPr>
              <w:t>Table</w:t>
            </w:r>
          </w:p>
        </w:tc>
        <w:tc>
          <w:tcPr>
            <w:tcW w:type="dxa" w:w="4896"/>
            <w:shd w:fill="1F4E79"/>
            <w:vAlign w:val="center"/>
          </w:tcPr>
          <w:p>
            <w:pPr>
              <w:spacing w:after="0"/>
            </w:pPr>
            <w:r/>
            <w:r>
              <w:rPr>
                <w:b/>
                <w:color w:val="FFFFFF"/>
                <w:sz w:val="16"/>
              </w:rPr>
              <w:t>Key Fields</w:t>
            </w:r>
          </w:p>
        </w:tc>
        <w:tc>
          <w:tcPr>
            <w:tcW w:type="dxa" w:w="2448"/>
            <w:shd w:fill="1F4E79"/>
            <w:vAlign w:val="center"/>
          </w:tcPr>
          <w:p>
            <w:pPr>
              <w:spacing w:after="0"/>
            </w:pPr>
            <w:r/>
            <w:r>
              <w:rPr>
                <w:b/>
                <w:color w:val="FFFFFF"/>
                <w:sz w:val="16"/>
              </w:rPr>
              <w:t>Purpose</w:t>
            </w:r>
          </w:p>
        </w:tc>
      </w:tr>
      <w:tr>
        <w:trPr>
          <w:cantSplit/>
        </w:trPr>
        <w:tc>
          <w:tcPr>
            <w:tcW w:type="dxa" w:w="3024"/>
            <w:vAlign w:val="top"/>
          </w:tcPr>
          <w:p>
            <w:pPr>
              <w:spacing w:after="0"/>
            </w:pPr>
            <w:r/>
            <w:r>
              <w:rPr>
                <w:b w:val="0"/>
                <w:sz w:val="16"/>
              </w:rPr>
              <w:t>pricing_recommendations</w:t>
            </w:r>
          </w:p>
        </w:tc>
        <w:tc>
          <w:tcPr>
            <w:tcW w:type="dxa" w:w="4896"/>
            <w:vAlign w:val="top"/>
          </w:tcPr>
          <w:p>
            <w:pPr>
              <w:spacing w:after="0"/>
            </w:pPr>
            <w:r/>
            <w:r>
              <w:rPr>
                <w:b w:val="0"/>
                <w:sz w:val="16"/>
              </w:rPr>
              <w:t>id, inventory_id, model_version, recommended_cpm, range, factors_json, confidence</w:t>
            </w:r>
          </w:p>
        </w:tc>
        <w:tc>
          <w:tcPr>
            <w:tcW w:type="dxa" w:w="2448"/>
            <w:vAlign w:val="top"/>
          </w:tcPr>
          <w:p>
            <w:pPr>
              <w:spacing w:after="0"/>
            </w:pPr>
            <w:r/>
            <w:r>
              <w:rPr>
                <w:b w:val="0"/>
                <w:sz w:val="16"/>
              </w:rPr>
              <w:t>Explainable pricing history.</w:t>
            </w:r>
          </w:p>
        </w:tc>
      </w:tr>
      <w:tr>
        <w:trPr>
          <w:cantSplit/>
        </w:trPr>
        <w:tc>
          <w:tcPr>
            <w:tcW w:type="dxa" w:w="3024"/>
            <w:vAlign w:val="top"/>
          </w:tcPr>
          <w:p>
            <w:pPr>
              <w:spacing w:after="0"/>
            </w:pPr>
            <w:r/>
            <w:r>
              <w:rPr>
                <w:b w:val="0"/>
                <w:sz w:val="16"/>
              </w:rPr>
              <w:t>pricing_overrides</w:t>
            </w:r>
          </w:p>
        </w:tc>
        <w:tc>
          <w:tcPr>
            <w:tcW w:type="dxa" w:w="4896"/>
            <w:vAlign w:val="top"/>
          </w:tcPr>
          <w:p>
            <w:pPr>
              <w:spacing w:after="0"/>
            </w:pPr>
            <w:r/>
            <w:r>
              <w:rPr>
                <w:b w:val="0"/>
                <w:sz w:val="16"/>
              </w:rPr>
              <w:t>id, recommendation_id, user_id, override_value, reason</w:t>
            </w:r>
          </w:p>
        </w:tc>
        <w:tc>
          <w:tcPr>
            <w:tcW w:type="dxa" w:w="2448"/>
            <w:vAlign w:val="top"/>
          </w:tcPr>
          <w:p>
            <w:pPr>
              <w:spacing w:after="0"/>
            </w:pPr>
            <w:r/>
            <w:r>
              <w:rPr>
                <w:b w:val="0"/>
                <w:sz w:val="16"/>
              </w:rPr>
              <w:t>Governance.</w:t>
            </w:r>
          </w:p>
        </w:tc>
      </w:tr>
      <w:tr>
        <w:trPr>
          <w:cantSplit/>
        </w:trPr>
        <w:tc>
          <w:tcPr>
            <w:tcW w:type="dxa" w:w="3024"/>
            <w:vAlign w:val="top"/>
          </w:tcPr>
          <w:p>
            <w:pPr>
              <w:spacing w:after="0"/>
            </w:pPr>
            <w:r/>
            <w:r>
              <w:rPr>
                <w:b w:val="0"/>
                <w:sz w:val="16"/>
              </w:rPr>
              <w:t>sponsor_briefs</w:t>
            </w:r>
          </w:p>
        </w:tc>
        <w:tc>
          <w:tcPr>
            <w:tcW w:type="dxa" w:w="4896"/>
            <w:vAlign w:val="top"/>
          </w:tcPr>
          <w:p>
            <w:pPr>
              <w:spacing w:after="0"/>
            </w:pPr>
            <w:r/>
            <w:r>
              <w:rPr>
                <w:b w:val="0"/>
                <w:sz w:val="16"/>
              </w:rPr>
              <w:t>id, sponsor_id, objective, budget, target_json, exclusions_json</w:t>
            </w:r>
          </w:p>
        </w:tc>
        <w:tc>
          <w:tcPr>
            <w:tcW w:type="dxa" w:w="2448"/>
            <w:vAlign w:val="top"/>
          </w:tcPr>
          <w:p>
            <w:pPr>
              <w:spacing w:after="0"/>
            </w:pPr>
            <w:r/>
            <w:r>
              <w:rPr>
                <w:b w:val="0"/>
                <w:sz w:val="16"/>
              </w:rPr>
              <w:t>Match input.</w:t>
            </w:r>
          </w:p>
        </w:tc>
      </w:tr>
      <w:tr>
        <w:trPr>
          <w:cantSplit/>
        </w:trPr>
        <w:tc>
          <w:tcPr>
            <w:tcW w:type="dxa" w:w="3024"/>
            <w:vAlign w:val="top"/>
          </w:tcPr>
          <w:p>
            <w:pPr>
              <w:spacing w:after="0"/>
            </w:pPr>
            <w:r/>
            <w:r>
              <w:rPr>
                <w:b w:val="0"/>
                <w:sz w:val="16"/>
              </w:rPr>
              <w:t>match_scores</w:t>
            </w:r>
          </w:p>
        </w:tc>
        <w:tc>
          <w:tcPr>
            <w:tcW w:type="dxa" w:w="4896"/>
            <w:vAlign w:val="top"/>
          </w:tcPr>
          <w:p>
            <w:pPr>
              <w:spacing w:after="0"/>
            </w:pPr>
            <w:r/>
            <w:r>
              <w:rPr>
                <w:b w:val="0"/>
                <w:sz w:val="16"/>
              </w:rPr>
              <w:t>id, brief_id, entity_type/id, score, factor_json, model_version</w:t>
            </w:r>
          </w:p>
        </w:tc>
        <w:tc>
          <w:tcPr>
            <w:tcW w:type="dxa" w:w="2448"/>
            <w:vAlign w:val="top"/>
          </w:tcPr>
          <w:p>
            <w:pPr>
              <w:spacing w:after="0"/>
            </w:pPr>
            <w:r/>
            <w:r>
              <w:rPr>
                <w:b w:val="0"/>
                <w:sz w:val="16"/>
              </w:rPr>
              <w:t>Ranked recommendations.</w:t>
            </w:r>
          </w:p>
        </w:tc>
      </w:tr>
      <w:tr>
        <w:trPr>
          <w:cantSplit/>
        </w:trPr>
        <w:tc>
          <w:tcPr>
            <w:tcW w:type="dxa" w:w="3024"/>
            <w:vAlign w:val="top"/>
          </w:tcPr>
          <w:p>
            <w:pPr>
              <w:spacing w:after="0"/>
            </w:pPr>
            <w:r/>
            <w:r>
              <w:rPr>
                <w:b w:val="0"/>
                <w:sz w:val="16"/>
              </w:rPr>
              <w:t>campaign_forecasts</w:t>
            </w:r>
          </w:p>
        </w:tc>
        <w:tc>
          <w:tcPr>
            <w:tcW w:type="dxa" w:w="4896"/>
            <w:vAlign w:val="top"/>
          </w:tcPr>
          <w:p>
            <w:pPr>
              <w:spacing w:after="0"/>
            </w:pPr>
            <w:r/>
            <w:r>
              <w:rPr>
                <w:b w:val="0"/>
                <w:sz w:val="16"/>
              </w:rPr>
              <w:t>id, campaign_id, projected_final, hit_probability, risk, factors_json</w:t>
            </w:r>
          </w:p>
        </w:tc>
        <w:tc>
          <w:tcPr>
            <w:tcW w:type="dxa" w:w="2448"/>
            <w:vAlign w:val="top"/>
          </w:tcPr>
          <w:p>
            <w:pPr>
              <w:spacing w:after="0"/>
            </w:pPr>
            <w:r/>
            <w:r>
              <w:rPr>
                <w:b w:val="0"/>
                <w:sz w:val="16"/>
              </w:rPr>
              <w:t>Delivery risk history.</w:t>
            </w:r>
          </w:p>
        </w:tc>
      </w:tr>
      <w:tr>
        <w:trPr>
          <w:cantSplit/>
        </w:trPr>
        <w:tc>
          <w:tcPr>
            <w:tcW w:type="dxa" w:w="3024"/>
            <w:vAlign w:val="top"/>
          </w:tcPr>
          <w:p>
            <w:pPr>
              <w:spacing w:after="0"/>
            </w:pPr>
            <w:r/>
            <w:r>
              <w:rPr>
                <w:b w:val="0"/>
                <w:sz w:val="16"/>
              </w:rPr>
              <w:t>make_good_recommendations</w:t>
            </w:r>
          </w:p>
        </w:tc>
        <w:tc>
          <w:tcPr>
            <w:tcW w:type="dxa" w:w="4896"/>
            <w:vAlign w:val="top"/>
          </w:tcPr>
          <w:p>
            <w:pPr>
              <w:spacing w:after="0"/>
            </w:pPr>
            <w:r/>
            <w:r>
              <w:rPr>
                <w:b w:val="0"/>
                <w:sz w:val="16"/>
              </w:rPr>
              <w:t>id, campaign_id, candidate_inventory_id, equivalency_score, cost_delta, status</w:t>
            </w:r>
          </w:p>
        </w:tc>
        <w:tc>
          <w:tcPr>
            <w:tcW w:type="dxa" w:w="2448"/>
            <w:vAlign w:val="top"/>
          </w:tcPr>
          <w:p>
            <w:pPr>
              <w:spacing w:after="0"/>
            </w:pPr>
            <w:r/>
            <w:r>
              <w:rPr>
                <w:b w:val="0"/>
                <w:sz w:val="16"/>
              </w:rPr>
              <w:t>Optimization.</w:t>
            </w:r>
          </w:p>
        </w:tc>
      </w:tr>
      <w:tr>
        <w:trPr>
          <w:cantSplit/>
        </w:trPr>
        <w:tc>
          <w:tcPr>
            <w:tcW w:type="dxa" w:w="3024"/>
            <w:vAlign w:val="top"/>
          </w:tcPr>
          <w:p>
            <w:pPr>
              <w:spacing w:after="0"/>
            </w:pPr>
            <w:r/>
            <w:r>
              <w:rPr>
                <w:b w:val="0"/>
                <w:sz w:val="16"/>
              </w:rPr>
              <w:t>attribution_events</w:t>
            </w:r>
          </w:p>
        </w:tc>
        <w:tc>
          <w:tcPr>
            <w:tcW w:type="dxa" w:w="4896"/>
            <w:vAlign w:val="top"/>
          </w:tcPr>
          <w:p>
            <w:pPr>
              <w:spacing w:after="0"/>
            </w:pPr>
            <w:r/>
            <w:r>
              <w:rPr>
                <w:b w:val="0"/>
                <w:sz w:val="16"/>
              </w:rPr>
              <w:t>id, source, campaign_id, reward_id, transaction_ref, revenue, method, confidence</w:t>
            </w:r>
          </w:p>
        </w:tc>
        <w:tc>
          <w:tcPr>
            <w:tcW w:type="dxa" w:w="2448"/>
            <w:vAlign w:val="top"/>
          </w:tcPr>
          <w:p>
            <w:pPr>
              <w:spacing w:after="0"/>
            </w:pPr>
            <w:r/>
            <w:r>
              <w:rPr>
                <w:b w:val="0"/>
                <w:sz w:val="16"/>
              </w:rPr>
              <w:t>Commerce attribution.</w:t>
            </w:r>
          </w:p>
        </w:tc>
      </w:tr>
      <w:tr>
        <w:trPr>
          <w:cantSplit/>
        </w:trPr>
        <w:tc>
          <w:tcPr>
            <w:tcW w:type="dxa" w:w="3024"/>
            <w:vAlign w:val="top"/>
          </w:tcPr>
          <w:p>
            <w:pPr>
              <w:spacing w:after="0"/>
            </w:pPr>
            <w:r/>
            <w:r>
              <w:rPr>
                <w:b w:val="0"/>
                <w:sz w:val="16"/>
              </w:rPr>
              <w:t>attribution_rules</w:t>
            </w:r>
          </w:p>
        </w:tc>
        <w:tc>
          <w:tcPr>
            <w:tcW w:type="dxa" w:w="4896"/>
            <w:vAlign w:val="top"/>
          </w:tcPr>
          <w:p>
            <w:pPr>
              <w:spacing w:after="0"/>
            </w:pPr>
            <w:r/>
            <w:r>
              <w:rPr>
                <w:b w:val="0"/>
                <w:sz w:val="16"/>
              </w:rPr>
              <w:t>id, provider, method, window_minutes/days, priority, version</w:t>
            </w:r>
          </w:p>
        </w:tc>
        <w:tc>
          <w:tcPr>
            <w:tcW w:type="dxa" w:w="2448"/>
            <w:vAlign w:val="top"/>
          </w:tcPr>
          <w:p>
            <w:pPr>
              <w:spacing w:after="0"/>
            </w:pPr>
            <w:r/>
            <w:r>
              <w:rPr>
                <w:b w:val="0"/>
                <w:sz w:val="16"/>
              </w:rPr>
              <w:t>Rule definitions.</w:t>
            </w:r>
          </w:p>
        </w:tc>
      </w:tr>
      <w:tr>
        <w:trPr>
          <w:cantSplit/>
        </w:trPr>
        <w:tc>
          <w:tcPr>
            <w:tcW w:type="dxa" w:w="3024"/>
            <w:vAlign w:val="top"/>
          </w:tcPr>
          <w:p>
            <w:pPr>
              <w:spacing w:after="0"/>
            </w:pPr>
            <w:r/>
            <w:r>
              <w:rPr>
                <w:b w:val="0"/>
                <w:sz w:val="16"/>
              </w:rPr>
              <w:t>benchmark_metrics</w:t>
            </w:r>
          </w:p>
        </w:tc>
        <w:tc>
          <w:tcPr>
            <w:tcW w:type="dxa" w:w="4896"/>
            <w:vAlign w:val="top"/>
          </w:tcPr>
          <w:p>
            <w:pPr>
              <w:spacing w:after="0"/>
            </w:pPr>
            <w:r/>
            <w:r>
              <w:rPr>
                <w:b w:val="0"/>
                <w:sz w:val="16"/>
              </w:rPr>
              <w:t>dimension_type/id, metric, period, p25, median, p75, sample_size</w:t>
            </w:r>
          </w:p>
        </w:tc>
        <w:tc>
          <w:tcPr>
            <w:tcW w:type="dxa" w:w="2448"/>
            <w:vAlign w:val="top"/>
          </w:tcPr>
          <w:p>
            <w:pPr>
              <w:spacing w:after="0"/>
            </w:pPr>
            <w:r/>
            <w:r>
              <w:rPr>
                <w:b w:val="0"/>
                <w:sz w:val="16"/>
              </w:rPr>
              <w:t>Performance benchmarks.</w:t>
            </w:r>
          </w:p>
        </w:tc>
      </w:tr>
      <w:tr>
        <w:trPr>
          <w:cantSplit/>
        </w:trPr>
        <w:tc>
          <w:tcPr>
            <w:tcW w:type="dxa" w:w="3024"/>
            <w:vAlign w:val="top"/>
          </w:tcPr>
          <w:p>
            <w:pPr>
              <w:spacing w:after="0"/>
            </w:pPr>
            <w:r/>
            <w:r>
              <w:rPr>
                <w:b w:val="0"/>
                <w:sz w:val="16"/>
              </w:rPr>
              <w:t>anomaly_events</w:t>
            </w:r>
          </w:p>
        </w:tc>
        <w:tc>
          <w:tcPr>
            <w:tcW w:type="dxa" w:w="4896"/>
            <w:vAlign w:val="top"/>
          </w:tcPr>
          <w:p>
            <w:pPr>
              <w:spacing w:after="0"/>
            </w:pPr>
            <w:r/>
            <w:r>
              <w:rPr>
                <w:b w:val="0"/>
                <w:sz w:val="16"/>
              </w:rPr>
              <w:t>id, source_entity, type, severity, detected_at, evidence_json, status</w:t>
            </w:r>
          </w:p>
        </w:tc>
        <w:tc>
          <w:tcPr>
            <w:tcW w:type="dxa" w:w="2448"/>
            <w:vAlign w:val="top"/>
          </w:tcPr>
          <w:p>
            <w:pPr>
              <w:spacing w:after="0"/>
            </w:pPr>
            <w:r/>
            <w:r>
              <w:rPr>
                <w:b w:val="0"/>
                <w:sz w:val="16"/>
              </w:rPr>
              <w:t>Fraud/data quality.</w:t>
            </w:r>
          </w:p>
        </w:tc>
      </w:tr>
      <w:tr>
        <w:trPr>
          <w:cantSplit/>
        </w:trPr>
        <w:tc>
          <w:tcPr>
            <w:tcW w:type="dxa" w:w="3024"/>
            <w:vAlign w:val="top"/>
          </w:tcPr>
          <w:p>
            <w:pPr>
              <w:spacing w:after="0"/>
            </w:pPr>
            <w:r/>
            <w:r>
              <w:rPr>
                <w:b w:val="0"/>
                <w:sz w:val="16"/>
              </w:rPr>
              <w:t>model_registry</w:t>
            </w:r>
          </w:p>
        </w:tc>
        <w:tc>
          <w:tcPr>
            <w:tcW w:type="dxa" w:w="4896"/>
            <w:vAlign w:val="top"/>
          </w:tcPr>
          <w:p>
            <w:pPr>
              <w:spacing w:after="0"/>
            </w:pPr>
            <w:r/>
            <w:r>
              <w:rPr>
                <w:b w:val="0"/>
                <w:sz w:val="16"/>
              </w:rPr>
              <w:t>id, model_name, version, status, metadata_json, activated_at</w:t>
            </w:r>
          </w:p>
        </w:tc>
        <w:tc>
          <w:tcPr>
            <w:tcW w:type="dxa" w:w="2448"/>
            <w:vAlign w:val="top"/>
          </w:tcPr>
          <w:p>
            <w:pPr>
              <w:spacing w:after="0"/>
            </w:pPr>
            <w:r/>
            <w:r>
              <w:rPr>
                <w:b w:val="0"/>
                <w:sz w:val="16"/>
              </w:rPr>
              <w:t>Model governance.</w:t>
            </w:r>
          </w:p>
        </w:tc>
      </w:tr>
      <w:tr>
        <w:trPr>
          <w:cantSplit/>
        </w:trPr>
        <w:tc>
          <w:tcPr>
            <w:tcW w:type="dxa" w:w="3024"/>
            <w:vAlign w:val="top"/>
          </w:tcPr>
          <w:p>
            <w:pPr>
              <w:spacing w:after="0"/>
            </w:pPr>
            <w:r/>
            <w:r>
              <w:rPr>
                <w:b w:val="0"/>
                <w:sz w:val="16"/>
              </w:rPr>
              <w:t>feature_snapshots</w:t>
            </w:r>
          </w:p>
        </w:tc>
        <w:tc>
          <w:tcPr>
            <w:tcW w:type="dxa" w:w="4896"/>
            <w:vAlign w:val="top"/>
          </w:tcPr>
          <w:p>
            <w:pPr>
              <w:spacing w:after="0"/>
            </w:pPr>
            <w:r/>
            <w:r>
              <w:rPr>
                <w:b w:val="0"/>
                <w:sz w:val="16"/>
              </w:rPr>
              <w:t>entity_type/id, as_of, features_json, version</w:t>
            </w:r>
          </w:p>
        </w:tc>
        <w:tc>
          <w:tcPr>
            <w:tcW w:type="dxa" w:w="2448"/>
            <w:vAlign w:val="top"/>
          </w:tcPr>
          <w:p>
            <w:pPr>
              <w:spacing w:after="0"/>
            </w:pPr>
            <w:r/>
            <w:r>
              <w:rPr>
                <w:b w:val="0"/>
                <w:sz w:val="16"/>
              </w:rPr>
              <w:t>Model inputs.</w:t>
            </w:r>
          </w:p>
        </w:tc>
      </w:tr>
      <w:tr>
        <w:trPr>
          <w:cantSplit/>
        </w:trPr>
        <w:tc>
          <w:tcPr>
            <w:tcW w:type="dxa" w:w="3024"/>
            <w:vAlign w:val="top"/>
          </w:tcPr>
          <w:p>
            <w:pPr>
              <w:spacing w:after="0"/>
            </w:pPr>
            <w:r/>
            <w:r>
              <w:rPr>
                <w:b w:val="0"/>
                <w:sz w:val="16"/>
              </w:rPr>
              <w:t>scenario_runs</w:t>
            </w:r>
          </w:p>
        </w:tc>
        <w:tc>
          <w:tcPr>
            <w:tcW w:type="dxa" w:w="4896"/>
            <w:vAlign w:val="top"/>
          </w:tcPr>
          <w:p>
            <w:pPr>
              <w:spacing w:after="0"/>
            </w:pPr>
            <w:r/>
            <w:r>
              <w:rPr>
                <w:b w:val="0"/>
                <w:sz w:val="16"/>
              </w:rPr>
              <w:t>id, user_id, inputs_json, outputs_json, created_at</w:t>
            </w:r>
          </w:p>
        </w:tc>
        <w:tc>
          <w:tcPr>
            <w:tcW w:type="dxa" w:w="2448"/>
            <w:vAlign w:val="top"/>
          </w:tcPr>
          <w:p>
            <w:pPr>
              <w:spacing w:after="0"/>
            </w:pPr>
            <w:r/>
            <w:r>
              <w:rPr>
                <w:b w:val="0"/>
                <w:sz w:val="16"/>
              </w:rPr>
              <w:t>What-if analysis.</w:t>
            </w:r>
          </w:p>
        </w:tc>
      </w:tr>
      <w:tr>
        <w:trPr>
          <w:cantSplit/>
        </w:trPr>
        <w:tc>
          <w:tcPr>
            <w:tcW w:type="dxa" w:w="3024"/>
            <w:vAlign w:val="top"/>
          </w:tcPr>
          <w:p>
            <w:pPr>
              <w:spacing w:after="0"/>
            </w:pPr>
            <w:r/>
            <w:r>
              <w:rPr>
                <w:b w:val="0"/>
                <w:sz w:val="16"/>
              </w:rPr>
              <w:t>warehouse_fact_campaign_daily</w:t>
            </w:r>
          </w:p>
        </w:tc>
        <w:tc>
          <w:tcPr>
            <w:tcW w:type="dxa" w:w="4896"/>
            <w:vAlign w:val="top"/>
          </w:tcPr>
          <w:p>
            <w:pPr>
              <w:spacing w:after="0"/>
            </w:pPr>
            <w:r/>
            <w:r>
              <w:rPr>
                <w:b w:val="0"/>
                <w:sz w:val="16"/>
              </w:rPr>
              <w:t>date, campaign_id, dimensions..., metrics...</w:t>
            </w:r>
          </w:p>
        </w:tc>
        <w:tc>
          <w:tcPr>
            <w:tcW w:type="dxa" w:w="2448"/>
            <w:vAlign w:val="top"/>
          </w:tcPr>
          <w:p>
            <w:pPr>
              <w:spacing w:after="0"/>
            </w:pPr>
            <w:r/>
            <w:r>
              <w:rPr>
                <w:b w:val="0"/>
                <w:sz w:val="16"/>
              </w:rPr>
              <w:t>Analytics warehouse fact table.</w:t>
            </w:r>
          </w:p>
        </w:tc>
      </w:tr>
      <w:tr>
        <w:trPr>
          <w:cantSplit/>
        </w:trPr>
        <w:tc>
          <w:tcPr>
            <w:tcW w:type="dxa" w:w="3024"/>
            <w:vAlign w:val="top"/>
          </w:tcPr>
          <w:p>
            <w:pPr>
              <w:spacing w:after="0"/>
            </w:pPr>
            <w:r/>
            <w:r>
              <w:rPr>
                <w:b w:val="0"/>
                <w:sz w:val="16"/>
              </w:rPr>
              <w:t>warehouse_dim_property / sponsor / channel / inventory</w:t>
            </w:r>
          </w:p>
        </w:tc>
        <w:tc>
          <w:tcPr>
            <w:tcW w:type="dxa" w:w="4896"/>
            <w:vAlign w:val="top"/>
          </w:tcPr>
          <w:p>
            <w:pPr>
              <w:spacing w:after="0"/>
            </w:pPr>
            <w:r/>
            <w:r>
              <w:rPr>
                <w:b w:val="0"/>
                <w:sz w:val="16"/>
              </w:rPr>
              <w:t>surrogate keys, normalized dimensions</w:t>
            </w:r>
          </w:p>
        </w:tc>
        <w:tc>
          <w:tcPr>
            <w:tcW w:type="dxa" w:w="2448"/>
            <w:vAlign w:val="top"/>
          </w:tcPr>
          <w:p>
            <w:pPr>
              <w:spacing w:after="0"/>
            </w:pPr>
            <w:r/>
            <w:r>
              <w:rPr>
                <w:b w:val="0"/>
                <w:sz w:val="16"/>
              </w:rPr>
              <w:t>Semantic analytics layer.</w:t>
            </w:r>
          </w:p>
        </w:tc>
      </w:tr>
    </w:tbl>
    <w:p/>
    <w:p>
      <w:pPr>
        <w:pStyle w:val="Heading1"/>
      </w:pPr>
      <w:r>
        <w:t>20. Phase 3 Integrations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168"/>
            <w:shd w:fill="1F4E79"/>
            <w:vAlign w:val="center"/>
          </w:tcPr>
          <w:p>
            <w:pPr>
              <w:spacing w:after="0"/>
            </w:pPr>
            <w:r/>
            <w:r>
              <w:rPr>
                <w:b/>
                <w:color w:val="FFFFFF"/>
                <w:sz w:val="16"/>
              </w:rPr>
              <w:t>Integration</w:t>
            </w:r>
          </w:p>
        </w:tc>
        <w:tc>
          <w:tcPr>
            <w:tcW w:type="dxa" w:w="1728"/>
            <w:shd w:fill="1F4E79"/>
            <w:vAlign w:val="center"/>
          </w:tcPr>
          <w:p>
            <w:pPr>
              <w:spacing w:after="0"/>
            </w:pPr>
            <w:r/>
            <w:r>
              <w:rPr>
                <w:b/>
                <w:color w:val="FFFFFF"/>
                <w:sz w:val="16"/>
              </w:rPr>
              <w:t>Priority</w:t>
            </w:r>
          </w:p>
        </w:tc>
        <w:tc>
          <w:tcPr>
            <w:tcW w:type="dxa" w:w="5616"/>
            <w:shd w:fill="1F4E79"/>
            <w:vAlign w:val="center"/>
          </w:tcPr>
          <w:p>
            <w:pPr>
              <w:spacing w:after="0"/>
            </w:pPr>
            <w:r/>
            <w:r>
              <w:rPr>
                <w:b/>
                <w:color w:val="FFFFFF"/>
                <w:sz w:val="16"/>
              </w:rPr>
              <w:t>Purpose</w:t>
            </w:r>
          </w:p>
        </w:tc>
      </w:tr>
      <w:tr>
        <w:trPr>
          <w:cantSplit/>
        </w:trPr>
        <w:tc>
          <w:tcPr>
            <w:tcW w:type="dxa" w:w="3168"/>
            <w:vAlign w:val="top"/>
          </w:tcPr>
          <w:p>
            <w:pPr>
              <w:spacing w:after="0"/>
            </w:pPr>
            <w:r/>
            <w:r>
              <w:rPr>
                <w:b w:val="0"/>
                <w:sz w:val="16"/>
              </w:rPr>
              <w:t>Data Warehouse</w:t>
            </w:r>
          </w:p>
        </w:tc>
        <w:tc>
          <w:tcPr>
            <w:tcW w:type="dxa" w:w="1728"/>
            <w:vAlign w:val="top"/>
          </w:tcPr>
          <w:p>
            <w:pPr>
              <w:spacing w:after="0"/>
            </w:pPr>
            <w:r/>
            <w:r>
              <w:rPr>
                <w:b w:val="0"/>
                <w:sz w:val="16"/>
              </w:rPr>
              <w:t>Required</w:t>
            </w:r>
          </w:p>
        </w:tc>
        <w:tc>
          <w:tcPr>
            <w:tcW w:type="dxa" w:w="5616"/>
            <w:vAlign w:val="top"/>
          </w:tcPr>
          <w:p>
            <w:pPr>
              <w:spacing w:after="0"/>
            </w:pPr>
            <w:r/>
            <w:r>
              <w:rPr>
                <w:b w:val="0"/>
                <w:sz w:val="16"/>
              </w:rPr>
              <w:t>Snowflake/BigQuery/Redshift/Postgres warehouse depending scale; decouple analytical workloads.</w:t>
            </w:r>
          </w:p>
        </w:tc>
      </w:tr>
      <w:tr>
        <w:trPr>
          <w:cantSplit/>
        </w:trPr>
        <w:tc>
          <w:tcPr>
            <w:tcW w:type="dxa" w:w="3168"/>
            <w:vAlign w:val="top"/>
          </w:tcPr>
          <w:p>
            <w:pPr>
              <w:spacing w:after="0"/>
            </w:pPr>
            <w:r/>
            <w:r>
              <w:rPr>
                <w:b w:val="0"/>
                <w:sz w:val="16"/>
              </w:rPr>
              <w:t>Transformation Layer</w:t>
            </w:r>
          </w:p>
        </w:tc>
        <w:tc>
          <w:tcPr>
            <w:tcW w:type="dxa" w:w="1728"/>
            <w:vAlign w:val="top"/>
          </w:tcPr>
          <w:p>
            <w:pPr>
              <w:spacing w:after="0"/>
            </w:pPr>
            <w:r/>
            <w:r>
              <w:rPr>
                <w:b w:val="0"/>
                <w:sz w:val="16"/>
              </w:rPr>
              <w:t>Required</w:t>
            </w:r>
          </w:p>
        </w:tc>
        <w:tc>
          <w:tcPr>
            <w:tcW w:type="dxa" w:w="5616"/>
            <w:vAlign w:val="top"/>
          </w:tcPr>
          <w:p>
            <w:pPr>
              <w:spacing w:after="0"/>
            </w:pPr>
            <w:r/>
            <w:r>
              <w:rPr>
                <w:b w:val="0"/>
                <w:sz w:val="16"/>
              </w:rPr>
              <w:t>dbt or equivalent transformation/versioning approach.</w:t>
            </w:r>
          </w:p>
        </w:tc>
      </w:tr>
      <w:tr>
        <w:trPr>
          <w:cantSplit/>
        </w:trPr>
        <w:tc>
          <w:tcPr>
            <w:tcW w:type="dxa" w:w="3168"/>
            <w:vAlign w:val="top"/>
          </w:tcPr>
          <w:p>
            <w:pPr>
              <w:spacing w:after="0"/>
            </w:pPr>
            <w:r/>
            <w:r>
              <w:rPr>
                <w:b w:val="0"/>
                <w:sz w:val="16"/>
              </w:rPr>
              <w:t>Social/Video Analytics APIs</w:t>
            </w:r>
          </w:p>
        </w:tc>
        <w:tc>
          <w:tcPr>
            <w:tcW w:type="dxa" w:w="1728"/>
            <w:vAlign w:val="top"/>
          </w:tcPr>
          <w:p>
            <w:pPr>
              <w:spacing w:after="0"/>
            </w:pPr>
            <w:r/>
            <w:r>
              <w:rPr>
                <w:b w:val="0"/>
                <w:sz w:val="16"/>
              </w:rPr>
              <w:t>Recommended</w:t>
            </w:r>
          </w:p>
        </w:tc>
        <w:tc>
          <w:tcPr>
            <w:tcW w:type="dxa" w:w="5616"/>
            <w:vAlign w:val="top"/>
          </w:tcPr>
          <w:p>
            <w:pPr>
              <w:spacing w:after="0"/>
            </w:pPr>
            <w:r/>
            <w:r>
              <w:rPr>
                <w:b w:val="0"/>
                <w:sz w:val="16"/>
              </w:rPr>
              <w:t>Automated verified campaign performance and audience snapshots.</w:t>
            </w:r>
          </w:p>
        </w:tc>
      </w:tr>
      <w:tr>
        <w:trPr>
          <w:cantSplit/>
        </w:trPr>
        <w:tc>
          <w:tcPr>
            <w:tcW w:type="dxa" w:w="3168"/>
            <w:vAlign w:val="top"/>
          </w:tcPr>
          <w:p>
            <w:pPr>
              <w:spacing w:after="0"/>
            </w:pPr>
            <w:r/>
            <w:r>
              <w:rPr>
                <w:b w:val="0"/>
                <w:sz w:val="16"/>
              </w:rPr>
              <w:t>Commerce/Attribution Partners</w:t>
            </w:r>
          </w:p>
        </w:tc>
        <w:tc>
          <w:tcPr>
            <w:tcW w:type="dxa" w:w="1728"/>
            <w:vAlign w:val="top"/>
          </w:tcPr>
          <w:p>
            <w:pPr>
              <w:spacing w:after="0"/>
            </w:pPr>
            <w:r/>
            <w:r>
              <w:rPr>
                <w:b w:val="0"/>
                <w:sz w:val="16"/>
              </w:rPr>
              <w:t>Selective</w:t>
            </w:r>
          </w:p>
        </w:tc>
        <w:tc>
          <w:tcPr>
            <w:tcW w:type="dxa" w:w="5616"/>
            <w:vAlign w:val="top"/>
          </w:tcPr>
          <w:p>
            <w:pPr>
              <w:spacing w:after="0"/>
            </w:pPr>
            <w:r/>
            <w:r>
              <w:rPr>
                <w:b w:val="0"/>
                <w:sz w:val="16"/>
              </w:rPr>
              <w:t>Transaction or redemption attribution where contractual access exists.</w:t>
            </w:r>
          </w:p>
        </w:tc>
      </w:tr>
      <w:tr>
        <w:trPr>
          <w:cantSplit/>
        </w:trPr>
        <w:tc>
          <w:tcPr>
            <w:tcW w:type="dxa" w:w="3168"/>
            <w:vAlign w:val="top"/>
          </w:tcPr>
          <w:p>
            <w:pPr>
              <w:spacing w:after="0"/>
            </w:pPr>
            <w:r/>
            <w:r>
              <w:rPr>
                <w:b w:val="0"/>
                <w:sz w:val="16"/>
              </w:rPr>
              <w:t>Payment Provider</w:t>
            </w:r>
          </w:p>
        </w:tc>
        <w:tc>
          <w:tcPr>
            <w:tcW w:type="dxa" w:w="1728"/>
            <w:vAlign w:val="top"/>
          </w:tcPr>
          <w:p>
            <w:pPr>
              <w:spacing w:after="0"/>
            </w:pPr>
            <w:r/>
            <w:r>
              <w:rPr>
                <w:b w:val="0"/>
                <w:sz w:val="16"/>
              </w:rPr>
              <w:t>Existing</w:t>
            </w:r>
          </w:p>
        </w:tc>
        <w:tc>
          <w:tcPr>
            <w:tcW w:type="dxa" w:w="5616"/>
            <w:vAlign w:val="top"/>
          </w:tcPr>
          <w:p>
            <w:pPr>
              <w:spacing w:after="0"/>
            </w:pPr>
            <w:r/>
            <w:r>
              <w:rPr>
                <w:b w:val="0"/>
                <w:sz w:val="16"/>
              </w:rPr>
              <w:t>Order/payment/revenue truth for SponsorX-controlled purchases.</w:t>
            </w:r>
          </w:p>
        </w:tc>
      </w:tr>
      <w:tr>
        <w:trPr>
          <w:cantSplit/>
        </w:trPr>
        <w:tc>
          <w:tcPr>
            <w:tcW w:type="dxa" w:w="3168"/>
            <w:vAlign w:val="top"/>
          </w:tcPr>
          <w:p>
            <w:pPr>
              <w:spacing w:after="0"/>
            </w:pPr>
            <w:r/>
            <w:r>
              <w:rPr>
                <w:b w:val="0"/>
                <w:sz w:val="16"/>
              </w:rPr>
              <w:t>Zoho CRM</w:t>
            </w:r>
          </w:p>
        </w:tc>
        <w:tc>
          <w:tcPr>
            <w:tcW w:type="dxa" w:w="1728"/>
            <w:vAlign w:val="top"/>
          </w:tcPr>
          <w:p>
            <w:pPr>
              <w:spacing w:after="0"/>
            </w:pPr>
            <w:r/>
            <w:r>
              <w:rPr>
                <w:b w:val="0"/>
                <w:sz w:val="16"/>
              </w:rPr>
              <w:t>Expand</w:t>
            </w:r>
          </w:p>
        </w:tc>
        <w:tc>
          <w:tcPr>
            <w:tcW w:type="dxa" w:w="5616"/>
            <w:vAlign w:val="top"/>
          </w:tcPr>
          <w:p>
            <w:pPr>
              <w:spacing w:after="0"/>
            </w:pPr>
            <w:r/>
            <w:r>
              <w:rPr>
                <w:b w:val="0"/>
                <w:sz w:val="16"/>
              </w:rPr>
              <w:t>Push renewal scores, sponsor health, recommended next action, campaign intelligence.</w:t>
            </w:r>
          </w:p>
        </w:tc>
      </w:tr>
      <w:tr>
        <w:trPr>
          <w:cantSplit/>
        </w:trPr>
        <w:tc>
          <w:tcPr>
            <w:tcW w:type="dxa" w:w="3168"/>
            <w:vAlign w:val="top"/>
          </w:tcPr>
          <w:p>
            <w:pPr>
              <w:spacing w:after="0"/>
            </w:pPr>
            <w:r/>
            <w:r>
              <w:rPr>
                <w:b w:val="0"/>
                <w:sz w:val="16"/>
              </w:rPr>
              <w:t>BI / Embedded Analytics</w:t>
            </w:r>
          </w:p>
        </w:tc>
        <w:tc>
          <w:tcPr>
            <w:tcW w:type="dxa" w:w="1728"/>
            <w:vAlign w:val="top"/>
          </w:tcPr>
          <w:p>
            <w:pPr>
              <w:spacing w:after="0"/>
            </w:pPr>
            <w:r/>
            <w:r>
              <w:rPr>
                <w:b w:val="0"/>
                <w:sz w:val="16"/>
              </w:rPr>
              <w:t>Optional</w:t>
            </w:r>
          </w:p>
        </w:tc>
        <w:tc>
          <w:tcPr>
            <w:tcW w:type="dxa" w:w="5616"/>
            <w:vAlign w:val="top"/>
          </w:tcPr>
          <w:p>
            <w:pPr>
              <w:spacing w:after="0"/>
            </w:pPr>
            <w:r/>
            <w:r>
              <w:rPr>
                <w:b w:val="0"/>
                <w:sz w:val="16"/>
              </w:rPr>
              <w:t>Use if faster than building every complex internal visualization in custom UI.</w:t>
            </w:r>
          </w:p>
        </w:tc>
      </w:tr>
      <w:tr>
        <w:trPr>
          <w:cantSplit/>
        </w:trPr>
        <w:tc>
          <w:tcPr>
            <w:tcW w:type="dxa" w:w="3168"/>
            <w:vAlign w:val="top"/>
          </w:tcPr>
          <w:p>
            <w:pPr>
              <w:spacing w:after="0"/>
            </w:pPr>
            <w:r/>
            <w:r>
              <w:rPr>
                <w:b w:val="0"/>
                <w:sz w:val="16"/>
              </w:rPr>
              <w:t>ML/Model Runtime</w:t>
            </w:r>
          </w:p>
        </w:tc>
        <w:tc>
          <w:tcPr>
            <w:tcW w:type="dxa" w:w="1728"/>
            <w:vAlign w:val="top"/>
          </w:tcPr>
          <w:p>
            <w:pPr>
              <w:spacing w:after="0"/>
            </w:pPr>
            <w:r/>
            <w:r>
              <w:rPr>
                <w:b w:val="0"/>
                <w:sz w:val="16"/>
              </w:rPr>
              <w:t>Optional at first</w:t>
            </w:r>
          </w:p>
        </w:tc>
        <w:tc>
          <w:tcPr>
            <w:tcW w:type="dxa" w:w="5616"/>
            <w:vAlign w:val="top"/>
          </w:tcPr>
          <w:p>
            <w:pPr>
              <w:spacing w:after="0"/>
            </w:pPr>
            <w:r/>
            <w:r>
              <w:rPr>
                <w:b w:val="0"/>
                <w:sz w:val="16"/>
              </w:rPr>
              <w:t>Rules/statistical models can launch before full ML service; add model-serving infrastructure as needed.</w:t>
            </w:r>
          </w:p>
        </w:tc>
      </w:tr>
    </w:tbl>
    <w:p/>
    <w:p>
      <w:pPr>
        <w:pStyle w:val="Heading1"/>
      </w:pPr>
      <w:r>
        <w:t>21. Phase 3 Sprint Plan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728"/>
            <w:shd w:fill="1F4E79"/>
            <w:vAlign w:val="center"/>
          </w:tcPr>
          <w:p>
            <w:pPr>
              <w:spacing w:after="0"/>
            </w:pPr>
            <w:r/>
            <w:r>
              <w:rPr>
                <w:b/>
                <w:color w:val="FFFFFF"/>
                <w:sz w:val="16"/>
              </w:rPr>
              <w:t>Sprint</w:t>
            </w:r>
          </w:p>
        </w:tc>
        <w:tc>
          <w:tcPr>
            <w:tcW w:type="dxa" w:w="1440"/>
            <w:shd w:fill="1F4E79"/>
            <w:vAlign w:val="center"/>
          </w:tcPr>
          <w:p>
            <w:pPr>
              <w:spacing w:after="0"/>
            </w:pPr>
            <w:r/>
            <w:r>
              <w:rPr>
                <w:b/>
                <w:color w:val="FFFFFF"/>
                <w:sz w:val="16"/>
              </w:rPr>
              <w:t>Duration</w:t>
            </w:r>
          </w:p>
        </w:tc>
        <w:tc>
          <w:tcPr>
            <w:tcW w:type="dxa" w:w="7344"/>
            <w:shd w:fill="1F4E79"/>
            <w:vAlign w:val="center"/>
          </w:tcPr>
          <w:p>
            <w:pPr>
              <w:spacing w:after="0"/>
            </w:pPr>
            <w:r/>
            <w:r>
              <w:rPr>
                <w:b/>
                <w:color w:val="FFFFFF"/>
                <w:sz w:val="16"/>
              </w:rPr>
              <w:t>Scope</w:t>
            </w:r>
          </w:p>
        </w:tc>
      </w:tr>
      <w:tr>
        <w:trPr>
          <w:cantSplit/>
        </w:trPr>
        <w:tc>
          <w:tcPr>
            <w:tcW w:type="dxa" w:w="1728"/>
            <w:vAlign w:val="top"/>
          </w:tcPr>
          <w:p>
            <w:pPr>
              <w:spacing w:after="0"/>
            </w:pPr>
            <w:r/>
            <w:r>
              <w:rPr>
                <w:b w:val="0"/>
                <w:sz w:val="16"/>
              </w:rPr>
              <w:t>Sprint 0</w:t>
            </w:r>
          </w:p>
        </w:tc>
        <w:tc>
          <w:tcPr>
            <w:tcW w:type="dxa" w:w="1440"/>
            <w:vAlign w:val="top"/>
          </w:tcPr>
          <w:p>
            <w:pPr>
              <w:spacing w:after="0"/>
            </w:pPr>
            <w:r/>
            <w:r>
              <w:rPr>
                <w:b w:val="0"/>
                <w:sz w:val="16"/>
              </w:rPr>
              <w:t>2 weeks</w:t>
            </w:r>
          </w:p>
        </w:tc>
        <w:tc>
          <w:tcPr>
            <w:tcW w:type="dxa" w:w="7344"/>
            <w:vAlign w:val="top"/>
          </w:tcPr>
          <w:p>
            <w:pPr>
              <w:spacing w:after="0"/>
            </w:pPr>
            <w:r/>
            <w:r>
              <w:rPr>
                <w:b w:val="0"/>
                <w:sz w:val="16"/>
              </w:rPr>
              <w:t>Analytics architecture, event taxonomy audit, warehouse schema, model governance, attribution definitions.</w:t>
            </w:r>
          </w:p>
        </w:tc>
      </w:tr>
      <w:tr>
        <w:trPr>
          <w:cantSplit/>
        </w:trPr>
        <w:tc>
          <w:tcPr>
            <w:tcW w:type="dxa" w:w="1728"/>
            <w:vAlign w:val="top"/>
          </w:tcPr>
          <w:p>
            <w:pPr>
              <w:spacing w:after="0"/>
            </w:pPr>
            <w:r/>
            <w:r>
              <w:rPr>
                <w:b w:val="0"/>
                <w:sz w:val="16"/>
              </w:rPr>
              <w:t>Sprint 1</w:t>
            </w:r>
          </w:p>
        </w:tc>
        <w:tc>
          <w:tcPr>
            <w:tcW w:type="dxa" w:w="1440"/>
            <w:vAlign w:val="top"/>
          </w:tcPr>
          <w:p>
            <w:pPr>
              <w:spacing w:after="0"/>
            </w:pPr>
            <w:r/>
            <w:r>
              <w:rPr>
                <w:b w:val="0"/>
                <w:sz w:val="16"/>
              </w:rPr>
              <w:t>2 weeks</w:t>
            </w:r>
          </w:p>
        </w:tc>
        <w:tc>
          <w:tcPr>
            <w:tcW w:type="dxa" w:w="7344"/>
            <w:vAlign w:val="top"/>
          </w:tcPr>
          <w:p>
            <w:pPr>
              <w:spacing w:after="0"/>
            </w:pPr>
            <w:r/>
            <w:r>
              <w:rPr>
                <w:b w:val="0"/>
                <w:sz w:val="16"/>
              </w:rPr>
              <w:t>Warehouse ingestion, daily facts/dimensions, benchmark pipeline.</w:t>
            </w:r>
          </w:p>
        </w:tc>
      </w:tr>
      <w:tr>
        <w:trPr>
          <w:cantSplit/>
        </w:trPr>
        <w:tc>
          <w:tcPr>
            <w:tcW w:type="dxa" w:w="1728"/>
            <w:vAlign w:val="top"/>
          </w:tcPr>
          <w:p>
            <w:pPr>
              <w:spacing w:after="0"/>
            </w:pPr>
            <w:r/>
            <w:r>
              <w:rPr>
                <w:b w:val="0"/>
                <w:sz w:val="16"/>
              </w:rPr>
              <w:t>Sprint 2</w:t>
            </w:r>
          </w:p>
        </w:tc>
        <w:tc>
          <w:tcPr>
            <w:tcW w:type="dxa" w:w="1440"/>
            <w:vAlign w:val="top"/>
          </w:tcPr>
          <w:p>
            <w:pPr>
              <w:spacing w:after="0"/>
            </w:pPr>
            <w:r/>
            <w:r>
              <w:rPr>
                <w:b w:val="0"/>
                <w:sz w:val="16"/>
              </w:rPr>
              <w:t>2 weeks</w:t>
            </w:r>
          </w:p>
        </w:tc>
        <w:tc>
          <w:tcPr>
            <w:tcW w:type="dxa" w:w="7344"/>
            <w:vAlign w:val="top"/>
          </w:tcPr>
          <w:p>
            <w:pPr>
              <w:spacing w:after="0"/>
            </w:pPr>
            <w:r/>
            <w:r>
              <w:rPr>
                <w:b w:val="0"/>
                <w:sz w:val="16"/>
              </w:rPr>
              <w:t>Dynamic CPM engine v1, pricing panel, override governance.</w:t>
            </w:r>
          </w:p>
        </w:tc>
      </w:tr>
      <w:tr>
        <w:trPr>
          <w:cantSplit/>
        </w:trPr>
        <w:tc>
          <w:tcPr>
            <w:tcW w:type="dxa" w:w="1728"/>
            <w:vAlign w:val="top"/>
          </w:tcPr>
          <w:p>
            <w:pPr>
              <w:spacing w:after="0"/>
            </w:pPr>
            <w:r/>
            <w:r>
              <w:rPr>
                <w:b w:val="0"/>
                <w:sz w:val="16"/>
              </w:rPr>
              <w:t>Sprint 3</w:t>
            </w:r>
          </w:p>
        </w:tc>
        <w:tc>
          <w:tcPr>
            <w:tcW w:type="dxa" w:w="1440"/>
            <w:vAlign w:val="top"/>
          </w:tcPr>
          <w:p>
            <w:pPr>
              <w:spacing w:after="0"/>
            </w:pPr>
            <w:r/>
            <w:r>
              <w:rPr>
                <w:b w:val="0"/>
                <w:sz w:val="16"/>
              </w:rPr>
              <w:t>2 weeks</w:t>
            </w:r>
          </w:p>
        </w:tc>
        <w:tc>
          <w:tcPr>
            <w:tcW w:type="dxa" w:w="7344"/>
            <w:vAlign w:val="top"/>
          </w:tcPr>
          <w:p>
            <w:pPr>
              <w:spacing w:after="0"/>
            </w:pPr>
            <w:r/>
            <w:r>
              <w:rPr>
                <w:b w:val="0"/>
                <w:sz w:val="16"/>
              </w:rPr>
              <w:t>Sponsor brief and match engine v1, match explorer.</w:t>
            </w:r>
          </w:p>
        </w:tc>
      </w:tr>
      <w:tr>
        <w:trPr>
          <w:cantSplit/>
        </w:trPr>
        <w:tc>
          <w:tcPr>
            <w:tcW w:type="dxa" w:w="1728"/>
            <w:vAlign w:val="top"/>
          </w:tcPr>
          <w:p>
            <w:pPr>
              <w:spacing w:after="0"/>
            </w:pPr>
            <w:r/>
            <w:r>
              <w:rPr>
                <w:b w:val="0"/>
                <w:sz w:val="16"/>
              </w:rPr>
              <w:t>Sprint 4</w:t>
            </w:r>
          </w:p>
        </w:tc>
        <w:tc>
          <w:tcPr>
            <w:tcW w:type="dxa" w:w="1440"/>
            <w:vAlign w:val="top"/>
          </w:tcPr>
          <w:p>
            <w:pPr>
              <w:spacing w:after="0"/>
            </w:pPr>
            <w:r/>
            <w:r>
              <w:rPr>
                <w:b w:val="0"/>
                <w:sz w:val="16"/>
              </w:rPr>
              <w:t>2 weeks</w:t>
            </w:r>
          </w:p>
        </w:tc>
        <w:tc>
          <w:tcPr>
            <w:tcW w:type="dxa" w:w="7344"/>
            <w:vAlign w:val="top"/>
          </w:tcPr>
          <w:p>
            <w:pPr>
              <w:spacing w:after="0"/>
            </w:pPr>
            <w:r/>
            <w:r>
              <w:rPr>
                <w:b w:val="0"/>
                <w:sz w:val="16"/>
              </w:rPr>
              <w:t>Campaign pacing + forecast v1, risk alerts.</w:t>
            </w:r>
          </w:p>
        </w:tc>
      </w:tr>
      <w:tr>
        <w:trPr>
          <w:cantSplit/>
        </w:trPr>
        <w:tc>
          <w:tcPr>
            <w:tcW w:type="dxa" w:w="1728"/>
            <w:vAlign w:val="top"/>
          </w:tcPr>
          <w:p>
            <w:pPr>
              <w:spacing w:after="0"/>
            </w:pPr>
            <w:r/>
            <w:r>
              <w:rPr>
                <w:b w:val="0"/>
                <w:sz w:val="16"/>
              </w:rPr>
              <w:t>Sprint 5</w:t>
            </w:r>
          </w:p>
        </w:tc>
        <w:tc>
          <w:tcPr>
            <w:tcW w:type="dxa" w:w="1440"/>
            <w:vAlign w:val="top"/>
          </w:tcPr>
          <w:p>
            <w:pPr>
              <w:spacing w:after="0"/>
            </w:pPr>
            <w:r/>
            <w:r>
              <w:rPr>
                <w:b w:val="0"/>
                <w:sz w:val="16"/>
              </w:rPr>
              <w:t>2 weeks</w:t>
            </w:r>
          </w:p>
        </w:tc>
        <w:tc>
          <w:tcPr>
            <w:tcW w:type="dxa" w:w="7344"/>
            <w:vAlign w:val="top"/>
          </w:tcPr>
          <w:p>
            <w:pPr>
              <w:spacing w:after="0"/>
            </w:pPr>
            <w:r/>
            <w:r>
              <w:rPr>
                <w:b w:val="0"/>
                <w:sz w:val="16"/>
              </w:rPr>
              <w:t>Make-good optimizer and approval workflow.</w:t>
            </w:r>
          </w:p>
        </w:tc>
      </w:tr>
      <w:tr>
        <w:trPr>
          <w:cantSplit/>
        </w:trPr>
        <w:tc>
          <w:tcPr>
            <w:tcW w:type="dxa" w:w="1728"/>
            <w:vAlign w:val="top"/>
          </w:tcPr>
          <w:p>
            <w:pPr>
              <w:spacing w:after="0"/>
            </w:pPr>
            <w:r/>
            <w:r>
              <w:rPr>
                <w:b w:val="0"/>
                <w:sz w:val="16"/>
              </w:rPr>
              <w:t>Sprint 6</w:t>
            </w:r>
          </w:p>
        </w:tc>
        <w:tc>
          <w:tcPr>
            <w:tcW w:type="dxa" w:w="1440"/>
            <w:vAlign w:val="top"/>
          </w:tcPr>
          <w:p>
            <w:pPr>
              <w:spacing w:after="0"/>
            </w:pPr>
            <w:r/>
            <w:r>
              <w:rPr>
                <w:b w:val="0"/>
                <w:sz w:val="16"/>
              </w:rPr>
              <w:t>2 weeks</w:t>
            </w:r>
          </w:p>
        </w:tc>
        <w:tc>
          <w:tcPr>
            <w:tcW w:type="dxa" w:w="7344"/>
            <w:vAlign w:val="top"/>
          </w:tcPr>
          <w:p>
            <w:pPr>
              <w:spacing w:after="0"/>
            </w:pPr>
            <w:r/>
            <w:r>
              <w:rPr>
                <w:b w:val="0"/>
                <w:sz w:val="16"/>
              </w:rPr>
              <w:t>Attribution adapter framework, normalized event model, reconciliation.</w:t>
            </w:r>
          </w:p>
        </w:tc>
      </w:tr>
      <w:tr>
        <w:trPr>
          <w:cantSplit/>
        </w:trPr>
        <w:tc>
          <w:tcPr>
            <w:tcW w:type="dxa" w:w="1728"/>
            <w:vAlign w:val="top"/>
          </w:tcPr>
          <w:p>
            <w:pPr>
              <w:spacing w:after="0"/>
            </w:pPr>
            <w:r/>
            <w:r>
              <w:rPr>
                <w:b w:val="0"/>
                <w:sz w:val="16"/>
              </w:rPr>
              <w:t>Sprint 7</w:t>
            </w:r>
          </w:p>
        </w:tc>
        <w:tc>
          <w:tcPr>
            <w:tcW w:type="dxa" w:w="1440"/>
            <w:vAlign w:val="top"/>
          </w:tcPr>
          <w:p>
            <w:pPr>
              <w:spacing w:after="0"/>
            </w:pPr>
            <w:r/>
            <w:r>
              <w:rPr>
                <w:b w:val="0"/>
                <w:sz w:val="16"/>
              </w:rPr>
              <w:t>2 weeks</w:t>
            </w:r>
          </w:p>
        </w:tc>
        <w:tc>
          <w:tcPr>
            <w:tcW w:type="dxa" w:w="7344"/>
            <w:vAlign w:val="top"/>
          </w:tcPr>
          <w:p>
            <w:pPr>
              <w:spacing w:after="0"/>
            </w:pPr>
            <w:r/>
            <w:r>
              <w:rPr>
                <w:b w:val="0"/>
                <w:sz w:val="16"/>
              </w:rPr>
              <w:t>Sponsor/property intelligence dashboards, scenario planner.</w:t>
            </w:r>
          </w:p>
        </w:tc>
      </w:tr>
      <w:tr>
        <w:trPr>
          <w:cantSplit/>
        </w:trPr>
        <w:tc>
          <w:tcPr>
            <w:tcW w:type="dxa" w:w="1728"/>
            <w:vAlign w:val="top"/>
          </w:tcPr>
          <w:p>
            <w:pPr>
              <w:spacing w:after="0"/>
            </w:pPr>
            <w:r/>
            <w:r>
              <w:rPr>
                <w:b w:val="0"/>
                <w:sz w:val="16"/>
              </w:rPr>
              <w:t>Sprint 8</w:t>
            </w:r>
          </w:p>
        </w:tc>
        <w:tc>
          <w:tcPr>
            <w:tcW w:type="dxa" w:w="1440"/>
            <w:vAlign w:val="top"/>
          </w:tcPr>
          <w:p>
            <w:pPr>
              <w:spacing w:after="0"/>
            </w:pPr>
            <w:r/>
            <w:r>
              <w:rPr>
                <w:b w:val="0"/>
                <w:sz w:val="16"/>
              </w:rPr>
              <w:t>2 weeks</w:t>
            </w:r>
          </w:p>
        </w:tc>
        <w:tc>
          <w:tcPr>
            <w:tcW w:type="dxa" w:w="7344"/>
            <w:vAlign w:val="top"/>
          </w:tcPr>
          <w:p>
            <w:pPr>
              <w:spacing w:after="0"/>
            </w:pPr>
            <w:r/>
            <w:r>
              <w:rPr>
                <w:b w:val="0"/>
                <w:sz w:val="16"/>
              </w:rPr>
              <w:t>Anomaly rules, data-quality console, model admin.</w:t>
            </w:r>
          </w:p>
        </w:tc>
      </w:tr>
      <w:tr>
        <w:trPr>
          <w:cantSplit/>
        </w:trPr>
        <w:tc>
          <w:tcPr>
            <w:tcW w:type="dxa" w:w="1728"/>
            <w:vAlign w:val="top"/>
          </w:tcPr>
          <w:p>
            <w:pPr>
              <w:spacing w:after="0"/>
            </w:pPr>
            <w:r/>
            <w:r>
              <w:rPr>
                <w:b w:val="0"/>
                <w:sz w:val="16"/>
              </w:rPr>
              <w:t>Sprint 9</w:t>
            </w:r>
          </w:p>
        </w:tc>
        <w:tc>
          <w:tcPr>
            <w:tcW w:type="dxa" w:w="1440"/>
            <w:vAlign w:val="top"/>
          </w:tcPr>
          <w:p>
            <w:pPr>
              <w:spacing w:after="0"/>
            </w:pPr>
            <w:r/>
            <w:r>
              <w:rPr>
                <w:b w:val="0"/>
                <w:sz w:val="16"/>
              </w:rPr>
              <w:t>2 weeks</w:t>
            </w:r>
          </w:p>
        </w:tc>
        <w:tc>
          <w:tcPr>
            <w:tcW w:type="dxa" w:w="7344"/>
            <w:vAlign w:val="top"/>
          </w:tcPr>
          <w:p>
            <w:pPr>
              <w:spacing w:after="0"/>
            </w:pPr>
            <w:r/>
            <w:r>
              <w:rPr>
                <w:b w:val="0"/>
                <w:sz w:val="16"/>
              </w:rPr>
              <w:t>Backtesting, model/benchmark validation, UAT, staged rollout, monitoring.</w:t>
            </w:r>
          </w:p>
        </w:tc>
      </w:tr>
    </w:tbl>
    <w:p/>
    <w:p>
      <w:pPr>
        <w:pStyle w:val="Heading1"/>
      </w:pPr>
      <w:r>
        <w:t>22. Phase 3 Acceptance Criteria</w:t>
      </w:r>
    </w:p>
    <w:p>
      <w:pPr>
        <w:pStyle w:val="ListBullet"/>
        <w:spacing w:after="20"/>
      </w:pPr>
      <w:r>
        <w:t>Every recommended price exposes model/rule version, confidence and factor breakdown.</w:t>
      </w:r>
    </w:p>
    <w:p>
      <w:pPr>
        <w:pStyle w:val="ListBullet"/>
        <w:spacing w:after="20"/>
      </w:pPr>
      <w:r>
        <w:t>Admin can override a price only with appropriate permission and required reason.</w:t>
      </w:r>
    </w:p>
    <w:p>
      <w:pPr>
        <w:pStyle w:val="ListBullet"/>
        <w:spacing w:after="20"/>
      </w:pPr>
      <w:r>
        <w:t>Match explorer never returns unavailable or category-conflicted inventory.</w:t>
      </w:r>
    </w:p>
    <w:p>
      <w:pPr>
        <w:pStyle w:val="ListBullet"/>
        <w:spacing w:after="20"/>
      </w:pPr>
      <w:r>
        <w:t>Sponsor brief produces ranked recommendations and explanation factors within agreed response-time target.</w:t>
      </w:r>
    </w:p>
    <w:p>
      <w:pPr>
        <w:pStyle w:val="ListBullet"/>
        <w:spacing w:after="20"/>
      </w:pPr>
      <w:r>
        <w:t>Campaign forecast refreshes automatically and persists historical forecasts.</w:t>
      </w:r>
    </w:p>
    <w:p>
      <w:pPr>
        <w:pStyle w:val="ListBullet"/>
        <w:spacing w:after="20"/>
      </w:pPr>
      <w:r>
        <w:t>At-risk campaign thresholds generate actionable alerts before campaign end.</w:t>
      </w:r>
    </w:p>
    <w:p>
      <w:pPr>
        <w:pStyle w:val="ListBullet"/>
        <w:spacing w:after="20"/>
      </w:pPr>
      <w:r>
        <w:t>Make-good recommendation respects sponsor target, availability, exclusivity, and estimated value equivalence.</w:t>
      </w:r>
    </w:p>
    <w:p>
      <w:pPr>
        <w:pStyle w:val="ListBullet"/>
        <w:spacing w:after="20"/>
      </w:pPr>
      <w:r>
        <w:t>Attribution events identify source, method and confidence; estimated/modelled revenue is never labeled as verified.</w:t>
      </w:r>
    </w:p>
    <w:p>
      <w:pPr>
        <w:pStyle w:val="ListBullet"/>
        <w:spacing w:after="20"/>
      </w:pPr>
      <w:r>
        <w:t>Warehouse metrics reconcile to transactional campaign/order/payment totals within defined tolerance.</w:t>
      </w:r>
    </w:p>
    <w:p>
      <w:pPr>
        <w:pStyle w:val="ListBullet"/>
        <w:spacing w:after="20"/>
      </w:pPr>
      <w:r>
        <w:t>Anomaly console identifies seeded duplicate/bot/redemption test patterns.</w:t>
      </w:r>
    </w:p>
    <w:p>
      <w:pPr>
        <w:pStyle w:val="ListBullet"/>
        <w:spacing w:after="20"/>
      </w:pPr>
      <w:r>
        <w:t>Model version can be activated, rolled back and compared without code deployment.</w:t>
      </w:r>
    </w:p>
    <w:p>
      <w:pPr>
        <w:pStyle w:val="ListBullet"/>
        <w:spacing w:after="20"/>
      </w:pPr>
      <w:r>
        <w:t>All intelligence features can be disabled per tenant through feature flags.</w:t>
      </w:r>
    </w:p>
    <w:p>
      <w:pPr>
        <w:pStyle w:val="Heading1"/>
      </w:pPr>
      <w:r>
        <w:t>23. Phase 3 Staffing, Timeline &amp; Budget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168"/>
            <w:shd w:fill="1F4E79"/>
            <w:vAlign w:val="center"/>
          </w:tcPr>
          <w:p>
            <w:pPr>
              <w:spacing w:after="0"/>
            </w:pPr>
            <w:r/>
            <w:r>
              <w:rPr>
                <w:b/>
                <w:color w:val="FFFFFF"/>
                <w:sz w:val="16"/>
              </w:rPr>
              <w:t>Role</w:t>
            </w:r>
          </w:p>
        </w:tc>
        <w:tc>
          <w:tcPr>
            <w:tcW w:type="dxa" w:w="2016"/>
            <w:shd w:fill="1F4E79"/>
            <w:vAlign w:val="center"/>
          </w:tcPr>
          <w:p>
            <w:pPr>
              <w:spacing w:after="0"/>
            </w:pPr>
            <w:r/>
            <w:r>
              <w:rPr>
                <w:b/>
                <w:color w:val="FFFFFF"/>
                <w:sz w:val="16"/>
              </w:rPr>
              <w:t>Suggested Allocation</w:t>
            </w:r>
          </w:p>
        </w:tc>
        <w:tc>
          <w:tcPr>
            <w:tcW w:type="dxa" w:w="5184"/>
            <w:shd w:fill="1F4E79"/>
            <w:vAlign w:val="center"/>
          </w:tcPr>
          <w:p>
            <w:pPr>
              <w:spacing w:after="0"/>
            </w:pPr>
            <w:r/>
            <w:r>
              <w:rPr>
                <w:b/>
                <w:color w:val="FFFFFF"/>
                <w:sz w:val="16"/>
              </w:rPr>
              <w:t>Responsibility</w:t>
            </w:r>
          </w:p>
        </w:tc>
      </w:tr>
      <w:tr>
        <w:trPr>
          <w:cantSplit/>
        </w:trPr>
        <w:tc>
          <w:tcPr>
            <w:tcW w:type="dxa" w:w="3168"/>
            <w:vAlign w:val="top"/>
          </w:tcPr>
          <w:p>
            <w:pPr>
              <w:spacing w:after="0"/>
            </w:pPr>
            <w:r/>
            <w:r>
              <w:rPr>
                <w:b w:val="0"/>
                <w:sz w:val="16"/>
              </w:rPr>
              <w:t>Product Manager / Analytics Lead</w:t>
            </w:r>
          </w:p>
        </w:tc>
        <w:tc>
          <w:tcPr>
            <w:tcW w:type="dxa" w:w="2016"/>
            <w:vAlign w:val="top"/>
          </w:tcPr>
          <w:p>
            <w:pPr>
              <w:spacing w:after="0"/>
            </w:pPr>
            <w:r/>
            <w:r>
              <w:rPr>
                <w:b w:val="0"/>
                <w:sz w:val="16"/>
              </w:rPr>
              <w:t>0.75-1 FTE</w:t>
            </w:r>
          </w:p>
        </w:tc>
        <w:tc>
          <w:tcPr>
            <w:tcW w:type="dxa" w:w="5184"/>
            <w:vAlign w:val="top"/>
          </w:tcPr>
          <w:p>
            <w:pPr>
              <w:spacing w:after="0"/>
            </w:pPr>
            <w:r/>
            <w:r>
              <w:rPr>
                <w:b w:val="0"/>
                <w:sz w:val="16"/>
              </w:rPr>
              <w:t>Define decision logic, metrics, attribution language, prioritization.</w:t>
            </w:r>
          </w:p>
        </w:tc>
      </w:tr>
      <w:tr>
        <w:trPr>
          <w:cantSplit/>
        </w:trPr>
        <w:tc>
          <w:tcPr>
            <w:tcW w:type="dxa" w:w="3168"/>
            <w:vAlign w:val="top"/>
          </w:tcPr>
          <w:p>
            <w:pPr>
              <w:spacing w:after="0"/>
            </w:pPr>
            <w:r/>
            <w:r>
              <w:rPr>
                <w:b w:val="0"/>
                <w:sz w:val="16"/>
              </w:rPr>
              <w:t>Technical/Data Architect</w:t>
            </w:r>
          </w:p>
        </w:tc>
        <w:tc>
          <w:tcPr>
            <w:tcW w:type="dxa" w:w="2016"/>
            <w:vAlign w:val="top"/>
          </w:tcPr>
          <w:p>
            <w:pPr>
              <w:spacing w:after="0"/>
            </w:pPr>
            <w:r/>
            <w:r>
              <w:rPr>
                <w:b w:val="0"/>
                <w:sz w:val="16"/>
              </w:rPr>
              <w:t>0.5 FTE</w:t>
            </w:r>
          </w:p>
        </w:tc>
        <w:tc>
          <w:tcPr>
            <w:tcW w:type="dxa" w:w="5184"/>
            <w:vAlign w:val="top"/>
          </w:tcPr>
          <w:p>
            <w:pPr>
              <w:spacing w:after="0"/>
            </w:pPr>
            <w:r/>
            <w:r>
              <w:rPr>
                <w:b w:val="0"/>
                <w:sz w:val="16"/>
              </w:rPr>
              <w:t>Warehouse, event model, model services, governance.</w:t>
            </w:r>
          </w:p>
        </w:tc>
      </w:tr>
      <w:tr>
        <w:trPr>
          <w:cantSplit/>
        </w:trPr>
        <w:tc>
          <w:tcPr>
            <w:tcW w:type="dxa" w:w="3168"/>
            <w:vAlign w:val="top"/>
          </w:tcPr>
          <w:p>
            <w:pPr>
              <w:spacing w:after="0"/>
            </w:pPr>
            <w:r/>
            <w:r>
              <w:rPr>
                <w:b w:val="0"/>
                <w:sz w:val="16"/>
              </w:rPr>
              <w:t>Data Engineer</w:t>
            </w:r>
          </w:p>
        </w:tc>
        <w:tc>
          <w:tcPr>
            <w:tcW w:type="dxa" w:w="2016"/>
            <w:vAlign w:val="top"/>
          </w:tcPr>
          <w:p>
            <w:pPr>
              <w:spacing w:after="0"/>
            </w:pPr>
            <w:r/>
            <w:r>
              <w:rPr>
                <w:b w:val="0"/>
                <w:sz w:val="16"/>
              </w:rPr>
              <w:t>1-2 FTE</w:t>
            </w:r>
          </w:p>
        </w:tc>
        <w:tc>
          <w:tcPr>
            <w:tcW w:type="dxa" w:w="5184"/>
            <w:vAlign w:val="top"/>
          </w:tcPr>
          <w:p>
            <w:pPr>
              <w:spacing w:after="0"/>
            </w:pPr>
            <w:r/>
            <w:r>
              <w:rPr>
                <w:b w:val="0"/>
                <w:sz w:val="16"/>
              </w:rPr>
              <w:t>Pipelines, transformations, warehouse, quality checks.</w:t>
            </w:r>
          </w:p>
        </w:tc>
      </w:tr>
      <w:tr>
        <w:trPr>
          <w:cantSplit/>
        </w:trPr>
        <w:tc>
          <w:tcPr>
            <w:tcW w:type="dxa" w:w="3168"/>
            <w:vAlign w:val="top"/>
          </w:tcPr>
          <w:p>
            <w:pPr>
              <w:spacing w:after="0"/>
            </w:pPr>
            <w:r/>
            <w:r>
              <w:rPr>
                <w:b w:val="0"/>
                <w:sz w:val="16"/>
              </w:rPr>
              <w:t>Backend Engineers</w:t>
            </w:r>
          </w:p>
        </w:tc>
        <w:tc>
          <w:tcPr>
            <w:tcW w:type="dxa" w:w="2016"/>
            <w:vAlign w:val="top"/>
          </w:tcPr>
          <w:p>
            <w:pPr>
              <w:spacing w:after="0"/>
            </w:pPr>
            <w:r/>
            <w:r>
              <w:rPr>
                <w:b w:val="0"/>
                <w:sz w:val="16"/>
              </w:rPr>
              <w:t>1-2 FTE</w:t>
            </w:r>
          </w:p>
        </w:tc>
        <w:tc>
          <w:tcPr>
            <w:tcW w:type="dxa" w:w="5184"/>
            <w:vAlign w:val="top"/>
          </w:tcPr>
          <w:p>
            <w:pPr>
              <w:spacing w:after="0"/>
            </w:pPr>
            <w:r/>
            <w:r>
              <w:rPr>
                <w:b w:val="0"/>
                <w:sz w:val="16"/>
              </w:rPr>
              <w:t>Pricing/matching/forecast APIs, attribution adapters.</w:t>
            </w:r>
          </w:p>
        </w:tc>
      </w:tr>
      <w:tr>
        <w:trPr>
          <w:cantSplit/>
        </w:trPr>
        <w:tc>
          <w:tcPr>
            <w:tcW w:type="dxa" w:w="3168"/>
            <w:vAlign w:val="top"/>
          </w:tcPr>
          <w:p>
            <w:pPr>
              <w:spacing w:after="0"/>
            </w:pPr>
            <w:r/>
            <w:r>
              <w:rPr>
                <w:b w:val="0"/>
                <w:sz w:val="16"/>
              </w:rPr>
              <w:t>Data Scientist / Applied ML</w:t>
            </w:r>
          </w:p>
        </w:tc>
        <w:tc>
          <w:tcPr>
            <w:tcW w:type="dxa" w:w="2016"/>
            <w:vAlign w:val="top"/>
          </w:tcPr>
          <w:p>
            <w:pPr>
              <w:spacing w:after="0"/>
            </w:pPr>
            <w:r/>
            <w:r>
              <w:rPr>
                <w:b w:val="0"/>
                <w:sz w:val="16"/>
              </w:rPr>
              <w:t>0.5-1 FTE</w:t>
            </w:r>
          </w:p>
        </w:tc>
        <w:tc>
          <w:tcPr>
            <w:tcW w:type="dxa" w:w="5184"/>
            <w:vAlign w:val="top"/>
          </w:tcPr>
          <w:p>
            <w:pPr>
              <w:spacing w:after="0"/>
            </w:pPr>
            <w:r/>
            <w:r>
              <w:rPr>
                <w:b w:val="0"/>
                <w:sz w:val="16"/>
              </w:rPr>
              <w:t>Pricing/matching/forecast models, validation, confidence.</w:t>
            </w:r>
          </w:p>
        </w:tc>
      </w:tr>
      <w:tr>
        <w:trPr>
          <w:cantSplit/>
        </w:trPr>
        <w:tc>
          <w:tcPr>
            <w:tcW w:type="dxa" w:w="3168"/>
            <w:vAlign w:val="top"/>
          </w:tcPr>
          <w:p>
            <w:pPr>
              <w:spacing w:after="0"/>
            </w:pPr>
            <w:r/>
            <w:r>
              <w:rPr>
                <w:b w:val="0"/>
                <w:sz w:val="16"/>
              </w:rPr>
              <w:t>Frontend Engineers</w:t>
            </w:r>
          </w:p>
        </w:tc>
        <w:tc>
          <w:tcPr>
            <w:tcW w:type="dxa" w:w="2016"/>
            <w:vAlign w:val="top"/>
          </w:tcPr>
          <w:p>
            <w:pPr>
              <w:spacing w:after="0"/>
            </w:pPr>
            <w:r/>
            <w:r>
              <w:rPr>
                <w:b w:val="0"/>
                <w:sz w:val="16"/>
              </w:rPr>
              <w:t>1-2 FTE</w:t>
            </w:r>
          </w:p>
        </w:tc>
        <w:tc>
          <w:tcPr>
            <w:tcW w:type="dxa" w:w="5184"/>
            <w:vAlign w:val="top"/>
          </w:tcPr>
          <w:p>
            <w:pPr>
              <w:spacing w:after="0"/>
            </w:pPr>
            <w:r/>
            <w:r>
              <w:rPr>
                <w:b w:val="0"/>
                <w:sz w:val="16"/>
              </w:rPr>
              <w:t>Intelligence dashboards and admin experiences.</w:t>
            </w:r>
          </w:p>
        </w:tc>
      </w:tr>
      <w:tr>
        <w:trPr>
          <w:cantSplit/>
        </w:trPr>
        <w:tc>
          <w:tcPr>
            <w:tcW w:type="dxa" w:w="3168"/>
            <w:vAlign w:val="top"/>
          </w:tcPr>
          <w:p>
            <w:pPr>
              <w:spacing w:after="0"/>
            </w:pPr>
            <w:r/>
            <w:r>
              <w:rPr>
                <w:b w:val="0"/>
                <w:sz w:val="16"/>
              </w:rPr>
              <w:t>QA/Data QA Engineer</w:t>
            </w:r>
          </w:p>
        </w:tc>
        <w:tc>
          <w:tcPr>
            <w:tcW w:type="dxa" w:w="2016"/>
            <w:vAlign w:val="top"/>
          </w:tcPr>
          <w:p>
            <w:pPr>
              <w:spacing w:after="0"/>
            </w:pPr>
            <w:r/>
            <w:r>
              <w:rPr>
                <w:b w:val="0"/>
                <w:sz w:val="16"/>
              </w:rPr>
              <w:t>1 FTE</w:t>
            </w:r>
          </w:p>
        </w:tc>
        <w:tc>
          <w:tcPr>
            <w:tcW w:type="dxa" w:w="5184"/>
            <w:vAlign w:val="top"/>
          </w:tcPr>
          <w:p>
            <w:pPr>
              <w:spacing w:after="0"/>
            </w:pPr>
            <w:r/>
            <w:r>
              <w:rPr>
                <w:b w:val="0"/>
                <w:sz w:val="16"/>
              </w:rPr>
              <w:t>Reconciliation, model test cases, regression.</w:t>
            </w:r>
          </w:p>
        </w:tc>
      </w:tr>
      <w:tr>
        <w:trPr>
          <w:cantSplit/>
        </w:trPr>
        <w:tc>
          <w:tcPr>
            <w:tcW w:type="dxa" w:w="3168"/>
            <w:vAlign w:val="top"/>
          </w:tcPr>
          <w:p>
            <w:pPr>
              <w:spacing w:after="0"/>
            </w:pPr>
            <w:r/>
            <w:r>
              <w:rPr>
                <w:b w:val="0"/>
                <w:sz w:val="16"/>
              </w:rPr>
              <w:t>DevOps/MLOps</w:t>
            </w:r>
          </w:p>
        </w:tc>
        <w:tc>
          <w:tcPr>
            <w:tcW w:type="dxa" w:w="2016"/>
            <w:vAlign w:val="top"/>
          </w:tcPr>
          <w:p>
            <w:pPr>
              <w:spacing w:after="0"/>
            </w:pPr>
            <w:r/>
            <w:r>
              <w:rPr>
                <w:b w:val="0"/>
                <w:sz w:val="16"/>
              </w:rPr>
              <w:t>0.25-0.5 FTE</w:t>
            </w:r>
          </w:p>
        </w:tc>
        <w:tc>
          <w:tcPr>
            <w:tcW w:type="dxa" w:w="5184"/>
            <w:vAlign w:val="top"/>
          </w:tcPr>
          <w:p>
            <w:pPr>
              <w:spacing w:after="0"/>
            </w:pPr>
            <w:r/>
            <w:r>
              <w:rPr>
                <w:b w:val="0"/>
                <w:sz w:val="16"/>
              </w:rPr>
              <w:t>Jobs, model deployment, monitoring, warehouse operations.</w:t>
            </w:r>
          </w:p>
        </w:tc>
      </w:tr>
      <w:tr>
        <w:trPr>
          <w:cantSplit/>
        </w:trPr>
        <w:tc>
          <w:tcPr>
            <w:tcW w:type="dxa" w:w="3168"/>
            <w:vAlign w:val="top"/>
          </w:tcPr>
          <w:p>
            <w:pPr>
              <w:spacing w:after="0"/>
            </w:pPr>
            <w:r/>
            <w:r>
              <w:rPr>
                <w:b w:val="0"/>
                <w:sz w:val="16"/>
              </w:rPr>
              <w:t>Attribution/Privacy Counsel</w:t>
            </w:r>
          </w:p>
        </w:tc>
        <w:tc>
          <w:tcPr>
            <w:tcW w:type="dxa" w:w="2016"/>
            <w:vAlign w:val="top"/>
          </w:tcPr>
          <w:p>
            <w:pPr>
              <w:spacing w:after="0"/>
            </w:pPr>
            <w:r/>
            <w:r>
              <w:rPr>
                <w:b w:val="0"/>
                <w:sz w:val="16"/>
              </w:rPr>
              <w:t>Fractional</w:t>
            </w:r>
          </w:p>
        </w:tc>
        <w:tc>
          <w:tcPr>
            <w:tcW w:type="dxa" w:w="5184"/>
            <w:vAlign w:val="top"/>
          </w:tcPr>
          <w:p>
            <w:pPr>
              <w:spacing w:after="0"/>
            </w:pPr>
            <w:r/>
            <w:r>
              <w:rPr>
                <w:b w:val="0"/>
                <w:sz w:val="16"/>
              </w:rPr>
              <w:t>Review attribution claims, consent, partner terms and reporting language.</w:t>
            </w:r>
          </w:p>
        </w:tc>
      </w:tr>
    </w:tbl>
    <w:p/>
    <w:p>
      <w:r>
        <w:t>Estimated timeline: 18-22 weeks for a disciplined v1 intelligence release; longer if multiple commerce-attribution partners are added simultaneously.</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168"/>
            <w:shd w:fill="1F4E79"/>
            <w:vAlign w:val="center"/>
          </w:tcPr>
          <w:p>
            <w:pPr>
              <w:spacing w:after="0"/>
            </w:pPr>
            <w:r/>
            <w:r>
              <w:rPr>
                <w:b/>
                <w:color w:val="FFFFFF"/>
                <w:sz w:val="16"/>
              </w:rPr>
              <w:t>Budget Scenario</w:t>
            </w:r>
          </w:p>
        </w:tc>
        <w:tc>
          <w:tcPr>
            <w:tcW w:type="dxa" w:w="3024"/>
            <w:shd w:fill="1F4E79"/>
            <w:vAlign w:val="center"/>
          </w:tcPr>
          <w:p>
            <w:pPr>
              <w:spacing w:after="0"/>
            </w:pPr>
            <w:r/>
            <w:r>
              <w:rPr>
                <w:b/>
                <w:color w:val="FFFFFF"/>
                <w:sz w:val="16"/>
              </w:rPr>
              <w:t>Estimated Phase 3 Budget</w:t>
            </w:r>
          </w:p>
        </w:tc>
        <w:tc>
          <w:tcPr>
            <w:tcW w:type="dxa" w:w="4464"/>
            <w:shd w:fill="1F4E79"/>
            <w:vAlign w:val="center"/>
          </w:tcPr>
          <w:p>
            <w:pPr>
              <w:spacing w:after="0"/>
            </w:pPr>
            <w:r/>
            <w:r>
              <w:rPr>
                <w:b/>
                <w:color w:val="FFFFFF"/>
                <w:sz w:val="16"/>
              </w:rPr>
              <w:t>Assumption</w:t>
            </w:r>
          </w:p>
        </w:tc>
      </w:tr>
      <w:tr>
        <w:trPr>
          <w:cantSplit/>
        </w:trPr>
        <w:tc>
          <w:tcPr>
            <w:tcW w:type="dxa" w:w="3168"/>
            <w:vAlign w:val="top"/>
          </w:tcPr>
          <w:p>
            <w:pPr>
              <w:spacing w:after="0"/>
            </w:pPr>
            <w:r/>
            <w:r>
              <w:rPr>
                <w:b w:val="0"/>
                <w:sz w:val="16"/>
              </w:rPr>
              <w:t>Lean analytics-first</w:t>
            </w:r>
          </w:p>
        </w:tc>
        <w:tc>
          <w:tcPr>
            <w:tcW w:type="dxa" w:w="3024"/>
            <w:vAlign w:val="top"/>
          </w:tcPr>
          <w:p>
            <w:pPr>
              <w:spacing w:after="0"/>
            </w:pPr>
            <w:r/>
            <w:r>
              <w:rPr>
                <w:b w:val="0"/>
                <w:sz w:val="16"/>
              </w:rPr>
              <w:t>$75,000-$105,000</w:t>
            </w:r>
          </w:p>
        </w:tc>
        <w:tc>
          <w:tcPr>
            <w:tcW w:type="dxa" w:w="4464"/>
            <w:vAlign w:val="top"/>
          </w:tcPr>
          <w:p>
            <w:pPr>
              <w:spacing w:after="0"/>
            </w:pPr>
            <w:r/>
            <w:r>
              <w:rPr>
                <w:b w:val="0"/>
                <w:sz w:val="16"/>
              </w:rPr>
              <w:t>Rules/statistical models first; one attribution adapter; modest warehouse scale.</w:t>
            </w:r>
          </w:p>
        </w:tc>
      </w:tr>
      <w:tr>
        <w:trPr>
          <w:cantSplit/>
        </w:trPr>
        <w:tc>
          <w:tcPr>
            <w:tcW w:type="dxa" w:w="3168"/>
            <w:vAlign w:val="top"/>
          </w:tcPr>
          <w:p>
            <w:pPr>
              <w:spacing w:after="0"/>
            </w:pPr>
            <w:r/>
            <w:r>
              <w:rPr>
                <w:b w:val="0"/>
                <w:sz w:val="16"/>
              </w:rPr>
              <w:t>Balanced production build</w:t>
            </w:r>
          </w:p>
        </w:tc>
        <w:tc>
          <w:tcPr>
            <w:tcW w:type="dxa" w:w="3024"/>
            <w:vAlign w:val="top"/>
          </w:tcPr>
          <w:p>
            <w:pPr>
              <w:spacing w:after="0"/>
            </w:pPr>
            <w:r/>
            <w:r>
              <w:rPr>
                <w:b w:val="0"/>
                <w:sz w:val="16"/>
              </w:rPr>
              <w:t>$105,000-$160,000</w:t>
            </w:r>
          </w:p>
        </w:tc>
        <w:tc>
          <w:tcPr>
            <w:tcW w:type="dxa" w:w="4464"/>
            <w:vAlign w:val="top"/>
          </w:tcPr>
          <w:p>
            <w:pPr>
              <w:spacing w:after="0"/>
            </w:pPr>
            <w:r/>
            <w:r>
              <w:rPr>
                <w:b w:val="0"/>
                <w:sz w:val="16"/>
              </w:rPr>
              <w:t>Dedicated data engineering, forecasting/matching, stronger dashboards and model governance.</w:t>
            </w:r>
          </w:p>
        </w:tc>
      </w:tr>
      <w:tr>
        <w:trPr>
          <w:cantSplit/>
        </w:trPr>
        <w:tc>
          <w:tcPr>
            <w:tcW w:type="dxa" w:w="3168"/>
            <w:vAlign w:val="top"/>
          </w:tcPr>
          <w:p>
            <w:pPr>
              <w:spacing w:after="0"/>
            </w:pPr>
            <w:r/>
            <w:r>
              <w:rPr>
                <w:b w:val="0"/>
                <w:sz w:val="16"/>
              </w:rPr>
              <w:t>Advanced intelligence build</w:t>
            </w:r>
          </w:p>
        </w:tc>
        <w:tc>
          <w:tcPr>
            <w:tcW w:type="dxa" w:w="3024"/>
            <w:vAlign w:val="top"/>
          </w:tcPr>
          <w:p>
            <w:pPr>
              <w:spacing w:after="0"/>
            </w:pPr>
            <w:r/>
            <w:r>
              <w:rPr>
                <w:b w:val="0"/>
                <w:sz w:val="16"/>
              </w:rPr>
              <w:t>$160,000-$240,000</w:t>
            </w:r>
          </w:p>
        </w:tc>
        <w:tc>
          <w:tcPr>
            <w:tcW w:type="dxa" w:w="4464"/>
            <w:vAlign w:val="top"/>
          </w:tcPr>
          <w:p>
            <w:pPr>
              <w:spacing w:after="0"/>
            </w:pPr>
            <w:r/>
            <w:r>
              <w:rPr>
                <w:b w:val="0"/>
                <w:sz w:val="16"/>
              </w:rPr>
              <w:t>Multiple attribution partners, deeper ML, near-real-time pipelines, sophisticated fraud/anomaly work.</w:t>
            </w:r>
          </w:p>
        </w:tc>
      </w:tr>
    </w:tbl>
    <w:p/>
    <w:p>
      <w:r>
        <w:br w:type="page"/>
      </w:r>
    </w:p>
    <w:tbl>
      <w:tblPr>
        <w:tblStyle w:val="TableGrid"/>
        <w:tblW w:type="auto" w:w="0"/>
        <w:tblLook w:firstColumn="1" w:firstRow="1" w:lastColumn="0" w:lastRow="0" w:noHBand="0" w:noVBand="1" w:val="04A0"/>
      </w:tblPr>
      <w:tblGrid>
        <w:gridCol w:w="10368"/>
      </w:tblGrid>
      <w:tr>
        <w:trPr>
          <w:cantSplit/>
        </w:trPr>
        <w:tc>
          <w:tcPr>
            <w:tcW w:type="dxa" w:w="10368"/>
            <w:shd w:fill="17365D"/>
          </w:tcPr>
          <w:p>
            <w:pPr>
              <w:jc w:val="center"/>
            </w:pPr>
            <w:r/>
            <w:r>
              <w:rPr>
                <w:b/>
                <w:color w:val="FFFFFF"/>
                <w:sz w:val="40"/>
              </w:rPr>
              <w:t>PHASE 4 - INFINEX WORLD INTEGRATION</w:t>
            </w:r>
          </w:p>
          <w:p>
            <w:pPr>
              <w:jc w:val="center"/>
            </w:pPr>
            <w:r>
              <w:rPr>
                <w:color w:val="FFFFFF"/>
                <w:sz w:val="21"/>
              </w:rPr>
              <w:t>Target: make virtual worlds, spaces, branded experiences, and challenges first-class SponsorX inventory.</w:t>
            </w:r>
          </w:p>
        </w:tc>
      </w:tr>
    </w:tbl>
    <w:p/>
    <w:p>
      <w:pPr>
        <w:pStyle w:val="Heading1"/>
      </w:pPr>
      <w:r>
        <w:t>24. Phase 4 Business Goal</w:t>
      </w:r>
    </w:p>
    <w:p>
      <w:r>
        <w:t>Phase 4 connects SponsorX to INFINEX World so sponsors can buy, activate, measure and renew virtual sponsorship inventory in the same campaign system used for real-world events, athletes, media and fan rewards. SponsorX remains the commercial and reporting system-of-record; INFINEX becomes an activation client that renders placements and sends verified interaction events back.</w:t>
      </w:r>
    </w:p>
    <w:p>
      <w:pPr>
        <w:pStyle w:val="Heading1"/>
      </w:pPr>
      <w:r>
        <w:t>25. Phase 4 Feature Modules</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shd w:fill="1F4E79"/>
            <w:vAlign w:val="center"/>
          </w:tcPr>
          <w:p>
            <w:pPr>
              <w:spacing w:after="0"/>
            </w:pPr>
            <w:r/>
            <w:r>
              <w:rPr>
                <w:b/>
                <w:color w:val="FFFFFF"/>
                <w:sz w:val="16"/>
              </w:rPr>
              <w:t>Module</w:t>
            </w:r>
          </w:p>
        </w:tc>
        <w:tc>
          <w:tcPr>
            <w:tcW w:type="dxa" w:w="7056"/>
            <w:shd w:fill="1F4E79"/>
            <w:vAlign w:val="center"/>
          </w:tcPr>
          <w:p>
            <w:pPr>
              <w:spacing w:after="0"/>
            </w:pPr>
            <w:r/>
            <w:r>
              <w:rPr>
                <w:b/>
                <w:color w:val="FFFFFF"/>
                <w:sz w:val="16"/>
              </w:rPr>
              <w:t>Required Capability</w:t>
            </w:r>
          </w:p>
        </w:tc>
      </w:tr>
      <w:tr>
        <w:trPr>
          <w:cantSplit/>
        </w:trPr>
        <w:tc>
          <w:tcPr>
            <w:tcW w:type="dxa" w:w="3024"/>
            <w:vAlign w:val="top"/>
          </w:tcPr>
          <w:p>
            <w:pPr>
              <w:spacing w:after="0"/>
            </w:pPr>
            <w:r/>
            <w:r>
              <w:rPr>
                <w:b w:val="0"/>
                <w:sz w:val="16"/>
              </w:rPr>
              <w:t>Virtual Property Registry</w:t>
            </w:r>
          </w:p>
        </w:tc>
        <w:tc>
          <w:tcPr>
            <w:tcW w:type="dxa" w:w="7056"/>
            <w:vAlign w:val="top"/>
          </w:tcPr>
          <w:p>
            <w:pPr>
              <w:spacing w:after="0"/>
            </w:pPr>
            <w:r/>
            <w:r>
              <w:rPr>
                <w:b w:val="0"/>
                <w:sz w:val="16"/>
              </w:rPr>
              <w:t>Map INFINEX worlds, districts, venues, zones and surfaces into SponsorX entities.</w:t>
            </w:r>
          </w:p>
        </w:tc>
      </w:tr>
      <w:tr>
        <w:trPr>
          <w:cantSplit/>
        </w:trPr>
        <w:tc>
          <w:tcPr>
            <w:tcW w:type="dxa" w:w="3024"/>
            <w:vAlign w:val="top"/>
          </w:tcPr>
          <w:p>
            <w:pPr>
              <w:spacing w:after="0"/>
            </w:pPr>
            <w:r/>
            <w:r>
              <w:rPr>
                <w:b w:val="0"/>
                <w:sz w:val="16"/>
              </w:rPr>
              <w:t>Placement Inventory Manager</w:t>
            </w:r>
          </w:p>
        </w:tc>
        <w:tc>
          <w:tcPr>
            <w:tcW w:type="dxa" w:w="7056"/>
            <w:vAlign w:val="top"/>
          </w:tcPr>
          <w:p>
            <w:pPr>
              <w:spacing w:after="0"/>
            </w:pPr>
            <w:r/>
            <w:r>
              <w:rPr>
                <w:b w:val="0"/>
                <w:sz w:val="16"/>
              </w:rPr>
              <w:t>Define billboards, LED surfaces, naming rights, branded rooms, courts, tunnels, kiosks and virtual products.</w:t>
            </w:r>
          </w:p>
        </w:tc>
      </w:tr>
      <w:tr>
        <w:trPr>
          <w:cantSplit/>
        </w:trPr>
        <w:tc>
          <w:tcPr>
            <w:tcW w:type="dxa" w:w="3024"/>
            <w:vAlign w:val="top"/>
          </w:tcPr>
          <w:p>
            <w:pPr>
              <w:spacing w:after="0"/>
            </w:pPr>
            <w:r/>
            <w:r>
              <w:rPr>
                <w:b w:val="0"/>
                <w:sz w:val="16"/>
              </w:rPr>
              <w:t>Creative Deployment</w:t>
            </w:r>
          </w:p>
        </w:tc>
        <w:tc>
          <w:tcPr>
            <w:tcW w:type="dxa" w:w="7056"/>
            <w:vAlign w:val="top"/>
          </w:tcPr>
          <w:p>
            <w:pPr>
              <w:spacing w:after="0"/>
            </w:pPr>
            <w:r/>
            <w:r>
              <w:rPr>
                <w:b w:val="0"/>
                <w:sz w:val="16"/>
              </w:rPr>
              <w:t>Associate approved sponsor assets with placements, version creative, schedule start/end, deliver signed asset URLs.</w:t>
            </w:r>
          </w:p>
        </w:tc>
      </w:tr>
      <w:tr>
        <w:trPr>
          <w:cantSplit/>
        </w:trPr>
        <w:tc>
          <w:tcPr>
            <w:tcW w:type="dxa" w:w="3024"/>
            <w:vAlign w:val="top"/>
          </w:tcPr>
          <w:p>
            <w:pPr>
              <w:spacing w:after="0"/>
            </w:pPr>
            <w:r/>
            <w:r>
              <w:rPr>
                <w:b w:val="0"/>
                <w:sz w:val="16"/>
              </w:rPr>
              <w:t>Branded Activation Builder</w:t>
            </w:r>
          </w:p>
        </w:tc>
        <w:tc>
          <w:tcPr>
            <w:tcW w:type="dxa" w:w="7056"/>
            <w:vAlign w:val="top"/>
          </w:tcPr>
          <w:p>
            <w:pPr>
              <w:spacing w:after="0"/>
            </w:pPr>
            <w:r/>
            <w:r>
              <w:rPr>
                <w:b w:val="0"/>
                <w:sz w:val="16"/>
              </w:rPr>
              <w:t>Configure challenges, quests, scavenger hunts, skill tests, product discovery, sponsor booths and gated reward triggers.</w:t>
            </w:r>
          </w:p>
        </w:tc>
      </w:tr>
      <w:tr>
        <w:trPr>
          <w:cantSplit/>
        </w:trPr>
        <w:tc>
          <w:tcPr>
            <w:tcW w:type="dxa" w:w="3024"/>
            <w:vAlign w:val="top"/>
          </w:tcPr>
          <w:p>
            <w:pPr>
              <w:spacing w:after="0"/>
            </w:pPr>
            <w:r/>
            <w:r>
              <w:rPr>
                <w:b w:val="0"/>
                <w:sz w:val="16"/>
              </w:rPr>
              <w:t>Virtual Event Measurement</w:t>
            </w:r>
          </w:p>
        </w:tc>
        <w:tc>
          <w:tcPr>
            <w:tcW w:type="dxa" w:w="7056"/>
            <w:vAlign w:val="top"/>
          </w:tcPr>
          <w:p>
            <w:pPr>
              <w:spacing w:after="0"/>
            </w:pPr>
            <w:r/>
            <w:r>
              <w:rPr>
                <w:b w:val="0"/>
                <w:sz w:val="16"/>
              </w:rPr>
              <w:t>Impressions, dwell, interactions, challenge starts/completions, visits, clicks and reward triggers.</w:t>
            </w:r>
          </w:p>
        </w:tc>
      </w:tr>
      <w:tr>
        <w:trPr>
          <w:cantSplit/>
        </w:trPr>
        <w:tc>
          <w:tcPr>
            <w:tcW w:type="dxa" w:w="3024"/>
            <w:vAlign w:val="top"/>
          </w:tcPr>
          <w:p>
            <w:pPr>
              <w:spacing w:after="0"/>
            </w:pPr>
            <w:r/>
            <w:r>
              <w:rPr>
                <w:b w:val="0"/>
                <w:sz w:val="16"/>
              </w:rPr>
              <w:t>Impression Validation</w:t>
            </w:r>
          </w:p>
        </w:tc>
        <w:tc>
          <w:tcPr>
            <w:tcW w:type="dxa" w:w="7056"/>
            <w:vAlign w:val="top"/>
          </w:tcPr>
          <w:p>
            <w:pPr>
              <w:spacing w:after="0"/>
            </w:pPr>
            <w:r/>
            <w:r>
              <w:rPr>
                <w:b w:val="0"/>
                <w:sz w:val="16"/>
              </w:rPr>
              <w:t>Viewability thresholds, dwell time, session de-duplication, anti-fraud checks.</w:t>
            </w:r>
          </w:p>
        </w:tc>
      </w:tr>
      <w:tr>
        <w:trPr>
          <w:cantSplit/>
        </w:trPr>
        <w:tc>
          <w:tcPr>
            <w:tcW w:type="dxa" w:w="3024"/>
            <w:vAlign w:val="top"/>
          </w:tcPr>
          <w:p>
            <w:pPr>
              <w:spacing w:after="0"/>
            </w:pPr>
            <w:r/>
            <w:r>
              <w:rPr>
                <w:b w:val="0"/>
                <w:sz w:val="16"/>
              </w:rPr>
              <w:t>Cross-Channel Campaigns</w:t>
            </w:r>
          </w:p>
        </w:tc>
        <w:tc>
          <w:tcPr>
            <w:tcW w:type="dxa" w:w="7056"/>
            <w:vAlign w:val="top"/>
          </w:tcPr>
          <w:p>
            <w:pPr>
              <w:spacing w:after="0"/>
            </w:pPr>
            <w:r/>
            <w:r>
              <w:rPr>
                <w:b w:val="0"/>
                <w:sz w:val="16"/>
              </w:rPr>
              <w:t>Single SponsorX campaign containing real-world, social, streaming, athlete, reward and INFINEX inventory.</w:t>
            </w:r>
          </w:p>
        </w:tc>
      </w:tr>
      <w:tr>
        <w:trPr>
          <w:cantSplit/>
        </w:trPr>
        <w:tc>
          <w:tcPr>
            <w:tcW w:type="dxa" w:w="3024"/>
            <w:vAlign w:val="top"/>
          </w:tcPr>
          <w:p>
            <w:pPr>
              <w:spacing w:after="0"/>
            </w:pPr>
            <w:r/>
            <w:r>
              <w:rPr>
                <w:b w:val="0"/>
                <w:sz w:val="16"/>
              </w:rPr>
              <w:t>Virtual Rewards</w:t>
            </w:r>
          </w:p>
        </w:tc>
        <w:tc>
          <w:tcPr>
            <w:tcW w:type="dxa" w:w="7056"/>
            <w:vAlign w:val="top"/>
          </w:tcPr>
          <w:p>
            <w:pPr>
              <w:spacing w:after="0"/>
            </w:pPr>
            <w:r/>
            <w:r>
              <w:rPr>
                <w:b w:val="0"/>
                <w:sz w:val="16"/>
              </w:rPr>
              <w:t>Complete activity → SponsorX claim/reward → wallet/coupon/partner offer.</w:t>
            </w:r>
          </w:p>
        </w:tc>
      </w:tr>
      <w:tr>
        <w:trPr>
          <w:cantSplit/>
        </w:trPr>
        <w:tc>
          <w:tcPr>
            <w:tcW w:type="dxa" w:w="3024"/>
            <w:vAlign w:val="top"/>
          </w:tcPr>
          <w:p>
            <w:pPr>
              <w:spacing w:after="0"/>
            </w:pPr>
            <w:r/>
            <w:r>
              <w:rPr>
                <w:b w:val="0"/>
                <w:sz w:val="16"/>
              </w:rPr>
              <w:t>INFINEX Sponsor Dashboard</w:t>
            </w:r>
          </w:p>
        </w:tc>
        <w:tc>
          <w:tcPr>
            <w:tcW w:type="dxa" w:w="7056"/>
            <w:vAlign w:val="top"/>
          </w:tcPr>
          <w:p>
            <w:pPr>
              <w:spacing w:after="0"/>
            </w:pPr>
            <w:r/>
            <w:r>
              <w:rPr>
                <w:b w:val="0"/>
                <w:sz w:val="16"/>
              </w:rPr>
              <w:t>Virtual performance, heatmaps/zone performance, interaction funnels, cross-channel contribution.</w:t>
            </w:r>
          </w:p>
        </w:tc>
      </w:tr>
      <w:tr>
        <w:trPr>
          <w:cantSplit/>
        </w:trPr>
        <w:tc>
          <w:tcPr>
            <w:tcW w:type="dxa" w:w="3024"/>
            <w:vAlign w:val="top"/>
          </w:tcPr>
          <w:p>
            <w:pPr>
              <w:spacing w:after="0"/>
            </w:pPr>
            <w:r/>
            <w:r>
              <w:rPr>
                <w:b w:val="0"/>
                <w:sz w:val="16"/>
              </w:rPr>
              <w:t>Dynamic Content Scheduling</w:t>
            </w:r>
          </w:p>
        </w:tc>
        <w:tc>
          <w:tcPr>
            <w:tcW w:type="dxa" w:w="7056"/>
            <w:vAlign w:val="top"/>
          </w:tcPr>
          <w:p>
            <w:pPr>
              <w:spacing w:after="0"/>
            </w:pPr>
            <w:r/>
            <w:r>
              <w:rPr>
                <w:b w:val="0"/>
                <w:sz w:val="16"/>
              </w:rPr>
              <w:t>Scheduled creative rotations, sponsor takeovers, daypart/event-based activation.</w:t>
            </w:r>
          </w:p>
        </w:tc>
      </w:tr>
      <w:tr>
        <w:trPr>
          <w:cantSplit/>
        </w:trPr>
        <w:tc>
          <w:tcPr>
            <w:tcW w:type="dxa" w:w="3024"/>
            <w:vAlign w:val="top"/>
          </w:tcPr>
          <w:p>
            <w:pPr>
              <w:spacing w:after="0"/>
            </w:pPr>
            <w:r/>
            <w:r>
              <w:rPr>
                <w:b w:val="0"/>
                <w:sz w:val="16"/>
              </w:rPr>
              <w:t>Virtual Commerce Links</w:t>
            </w:r>
          </w:p>
        </w:tc>
        <w:tc>
          <w:tcPr>
            <w:tcW w:type="dxa" w:w="7056"/>
            <w:vAlign w:val="top"/>
          </w:tcPr>
          <w:p>
            <w:pPr>
              <w:spacing w:after="0"/>
            </w:pPr>
            <w:r/>
            <w:r>
              <w:rPr>
                <w:b w:val="0"/>
                <w:sz w:val="16"/>
              </w:rPr>
              <w:t>Sponsor product/info links and partner checkout deep links; later immersive commerce if supported.</w:t>
            </w:r>
          </w:p>
        </w:tc>
      </w:tr>
      <w:tr>
        <w:trPr>
          <w:cantSplit/>
        </w:trPr>
        <w:tc>
          <w:tcPr>
            <w:tcW w:type="dxa" w:w="3024"/>
            <w:vAlign w:val="top"/>
          </w:tcPr>
          <w:p>
            <w:pPr>
              <w:spacing w:after="0"/>
            </w:pPr>
            <w:r/>
            <w:r>
              <w:rPr>
                <w:b w:val="0"/>
                <w:sz w:val="16"/>
              </w:rPr>
              <w:t>Operations / Live Control</w:t>
            </w:r>
          </w:p>
        </w:tc>
        <w:tc>
          <w:tcPr>
            <w:tcW w:type="dxa" w:w="7056"/>
            <w:vAlign w:val="top"/>
          </w:tcPr>
          <w:p>
            <w:pPr>
              <w:spacing w:after="0"/>
            </w:pPr>
            <w:r/>
            <w:r>
              <w:rPr>
                <w:b w:val="0"/>
                <w:sz w:val="16"/>
              </w:rPr>
              <w:t>Pause/replace creative, disable activation, incident handling, emergency sponsor take-down.</w:t>
            </w:r>
          </w:p>
        </w:tc>
      </w:tr>
    </w:tbl>
    <w:p/>
    <w:p>
      <w:pPr>
        <w:pStyle w:val="Heading1"/>
      </w:pPr>
      <w:r>
        <w:t>26. Phase 4 New Screens</w:t>
      </w:r>
    </w:p>
    <w:tbl>
      <w:tblPr>
        <w:tblStyle w:val="TableGrid"/>
        <w:tblW w:type="auto" w:w="0"/>
        <w:jc w:val="center"/>
        <w:tblLook w:firstColumn="1" w:firstRow="1" w:lastColumn="0" w:lastRow="0" w:noHBand="0" w:noVBand="1" w:val="04A0"/>
      </w:tblPr>
      <w:tblGrid>
        <w:gridCol w:w="5184"/>
        <w:gridCol w:w="5184"/>
      </w:tblGrid>
      <w:tr>
        <w:trPr>
          <w:cantSplit/>
        </w:trPr>
        <w:tc>
          <w:tcPr>
            <w:tcW w:type="dxa" w:w="3168"/>
            <w:shd w:fill="1F4E79"/>
            <w:vAlign w:val="center"/>
          </w:tcPr>
          <w:p>
            <w:pPr>
              <w:spacing w:after="0"/>
            </w:pPr>
            <w:r/>
            <w:r>
              <w:rPr>
                <w:b/>
                <w:color w:val="FFFFFF"/>
                <w:sz w:val="16"/>
              </w:rPr>
              <w:t>Screen ID</w:t>
            </w:r>
          </w:p>
        </w:tc>
        <w:tc>
          <w:tcPr>
            <w:tcW w:type="dxa" w:w="6912"/>
            <w:shd w:fill="1F4E79"/>
            <w:vAlign w:val="center"/>
          </w:tcPr>
          <w:p>
            <w:pPr>
              <w:spacing w:after="0"/>
            </w:pPr>
            <w:r/>
            <w:r>
              <w:rPr>
                <w:b/>
                <w:color w:val="FFFFFF"/>
                <w:sz w:val="16"/>
              </w:rPr>
              <w:t>Purpose</w:t>
            </w:r>
          </w:p>
        </w:tc>
      </w:tr>
      <w:tr>
        <w:trPr>
          <w:cantSplit/>
        </w:trPr>
        <w:tc>
          <w:tcPr>
            <w:tcW w:type="dxa" w:w="3168"/>
            <w:vAlign w:val="top"/>
          </w:tcPr>
          <w:p>
            <w:pPr>
              <w:spacing w:after="0"/>
            </w:pPr>
            <w:r/>
            <w:r>
              <w:rPr>
                <w:b w:val="0"/>
                <w:sz w:val="16"/>
              </w:rPr>
              <w:t>P4-01 INFINEX World Registry</w:t>
            </w:r>
          </w:p>
        </w:tc>
        <w:tc>
          <w:tcPr>
            <w:tcW w:type="dxa" w:w="6912"/>
            <w:vAlign w:val="top"/>
          </w:tcPr>
          <w:p>
            <w:pPr>
              <w:spacing w:after="0"/>
            </w:pPr>
            <w:r/>
            <w:r>
              <w:rPr>
                <w:b w:val="0"/>
                <w:sz w:val="16"/>
              </w:rPr>
              <w:t>Worlds, districts, venues, zones, environment IDs and operational status.</w:t>
            </w:r>
          </w:p>
        </w:tc>
      </w:tr>
      <w:tr>
        <w:trPr>
          <w:cantSplit/>
        </w:trPr>
        <w:tc>
          <w:tcPr>
            <w:tcW w:type="dxa" w:w="3168"/>
            <w:vAlign w:val="top"/>
          </w:tcPr>
          <w:p>
            <w:pPr>
              <w:spacing w:after="0"/>
            </w:pPr>
            <w:r/>
            <w:r>
              <w:rPr>
                <w:b w:val="0"/>
                <w:sz w:val="16"/>
              </w:rPr>
              <w:t>P4-02 Virtual Placement Manager</w:t>
            </w:r>
          </w:p>
        </w:tc>
        <w:tc>
          <w:tcPr>
            <w:tcW w:type="dxa" w:w="6912"/>
            <w:vAlign w:val="top"/>
          </w:tcPr>
          <w:p>
            <w:pPr>
              <w:spacing w:after="0"/>
            </w:pPr>
            <w:r/>
            <w:r>
              <w:rPr>
                <w:b w:val="0"/>
                <w:sz w:val="16"/>
              </w:rPr>
              <w:t>Map placement IDs, dimensions/type, zone, viewability rules, available dates and pricing.</w:t>
            </w:r>
          </w:p>
        </w:tc>
      </w:tr>
      <w:tr>
        <w:trPr>
          <w:cantSplit/>
        </w:trPr>
        <w:tc>
          <w:tcPr>
            <w:tcW w:type="dxa" w:w="3168"/>
            <w:vAlign w:val="top"/>
          </w:tcPr>
          <w:p>
            <w:pPr>
              <w:spacing w:after="0"/>
            </w:pPr>
            <w:r/>
            <w:r>
              <w:rPr>
                <w:b w:val="0"/>
                <w:sz w:val="16"/>
              </w:rPr>
              <w:t>P4-03 3D/Placement Preview Metadata</w:t>
            </w:r>
          </w:p>
        </w:tc>
        <w:tc>
          <w:tcPr>
            <w:tcW w:type="dxa" w:w="6912"/>
            <w:vAlign w:val="top"/>
          </w:tcPr>
          <w:p>
            <w:pPr>
              <w:spacing w:after="0"/>
            </w:pPr>
            <w:r/>
            <w:r>
              <w:rPr>
                <w:b w:val="0"/>
                <w:sz w:val="16"/>
              </w:rPr>
              <w:t>Thumbnail/preview, orientation, allowed creative types, technical constraints, placement test status.</w:t>
            </w:r>
          </w:p>
        </w:tc>
      </w:tr>
      <w:tr>
        <w:trPr>
          <w:cantSplit/>
        </w:trPr>
        <w:tc>
          <w:tcPr>
            <w:tcW w:type="dxa" w:w="3168"/>
            <w:vAlign w:val="top"/>
          </w:tcPr>
          <w:p>
            <w:pPr>
              <w:spacing w:after="0"/>
            </w:pPr>
            <w:r/>
            <w:r>
              <w:rPr>
                <w:b w:val="0"/>
                <w:sz w:val="16"/>
              </w:rPr>
              <w:t>P4-04 Virtual Campaign Builder Extension</w:t>
            </w:r>
          </w:p>
        </w:tc>
        <w:tc>
          <w:tcPr>
            <w:tcW w:type="dxa" w:w="6912"/>
            <w:vAlign w:val="top"/>
          </w:tcPr>
          <w:p>
            <w:pPr>
              <w:spacing w:after="0"/>
            </w:pPr>
            <w:r/>
            <w:r>
              <w:rPr>
                <w:b w:val="0"/>
                <w:sz w:val="16"/>
              </w:rPr>
              <w:t>Add INFINEX placements/activations to existing campaign builder.</w:t>
            </w:r>
          </w:p>
        </w:tc>
      </w:tr>
      <w:tr>
        <w:trPr>
          <w:cantSplit/>
        </w:trPr>
        <w:tc>
          <w:tcPr>
            <w:tcW w:type="dxa" w:w="3168"/>
            <w:vAlign w:val="top"/>
          </w:tcPr>
          <w:p>
            <w:pPr>
              <w:spacing w:after="0"/>
            </w:pPr>
            <w:r/>
            <w:r>
              <w:rPr>
                <w:b w:val="0"/>
                <w:sz w:val="16"/>
              </w:rPr>
              <w:t>P4-05 Creative Deployment Console</w:t>
            </w:r>
          </w:p>
        </w:tc>
        <w:tc>
          <w:tcPr>
            <w:tcW w:type="dxa" w:w="6912"/>
            <w:vAlign w:val="top"/>
          </w:tcPr>
          <w:p>
            <w:pPr>
              <w:spacing w:after="0"/>
            </w:pPr>
            <w:r/>
            <w:r>
              <w:rPr>
                <w:b w:val="0"/>
                <w:sz w:val="16"/>
              </w:rPr>
              <w:t>Assign creative version, approve, schedule, publish, rollback.</w:t>
            </w:r>
          </w:p>
        </w:tc>
      </w:tr>
      <w:tr>
        <w:trPr>
          <w:cantSplit/>
        </w:trPr>
        <w:tc>
          <w:tcPr>
            <w:tcW w:type="dxa" w:w="3168"/>
            <w:vAlign w:val="top"/>
          </w:tcPr>
          <w:p>
            <w:pPr>
              <w:spacing w:after="0"/>
            </w:pPr>
            <w:r/>
            <w:r>
              <w:rPr>
                <w:b w:val="0"/>
                <w:sz w:val="16"/>
              </w:rPr>
              <w:t>P4-06 Activation Builder</w:t>
            </w:r>
          </w:p>
        </w:tc>
        <w:tc>
          <w:tcPr>
            <w:tcW w:type="dxa" w:w="6912"/>
            <w:vAlign w:val="top"/>
          </w:tcPr>
          <w:p>
            <w:pPr>
              <w:spacing w:after="0"/>
            </w:pPr>
            <w:r/>
            <w:r>
              <w:rPr>
                <w:b w:val="0"/>
                <w:sz w:val="16"/>
              </w:rPr>
              <w:t>Challenge/quest rules, start condition, completion criteria, reward trigger, sponsor content.</w:t>
            </w:r>
          </w:p>
        </w:tc>
      </w:tr>
      <w:tr>
        <w:trPr>
          <w:cantSplit/>
        </w:trPr>
        <w:tc>
          <w:tcPr>
            <w:tcW w:type="dxa" w:w="3168"/>
            <w:vAlign w:val="top"/>
          </w:tcPr>
          <w:p>
            <w:pPr>
              <w:spacing w:after="0"/>
            </w:pPr>
            <w:r/>
            <w:r>
              <w:rPr>
                <w:b w:val="0"/>
                <w:sz w:val="16"/>
              </w:rPr>
              <w:t>P4-07 Virtual Metrics Dashboard</w:t>
            </w:r>
          </w:p>
        </w:tc>
        <w:tc>
          <w:tcPr>
            <w:tcW w:type="dxa" w:w="6912"/>
            <w:vAlign w:val="top"/>
          </w:tcPr>
          <w:p>
            <w:pPr>
              <w:spacing w:after="0"/>
            </w:pPr>
            <w:r/>
            <w:r>
              <w:rPr>
                <w:b w:val="0"/>
                <w:sz w:val="16"/>
              </w:rPr>
              <w:t>Visits, impressions, viewable impressions, dwell, interactions, completion, reward funnel.</w:t>
            </w:r>
          </w:p>
        </w:tc>
      </w:tr>
      <w:tr>
        <w:trPr>
          <w:cantSplit/>
        </w:trPr>
        <w:tc>
          <w:tcPr>
            <w:tcW w:type="dxa" w:w="3168"/>
            <w:vAlign w:val="top"/>
          </w:tcPr>
          <w:p>
            <w:pPr>
              <w:spacing w:after="0"/>
            </w:pPr>
            <w:r/>
            <w:r>
              <w:rPr>
                <w:b w:val="0"/>
                <w:sz w:val="16"/>
              </w:rPr>
              <w:t>P4-08 Cross-Channel Campaign Dashboard</w:t>
            </w:r>
          </w:p>
        </w:tc>
        <w:tc>
          <w:tcPr>
            <w:tcW w:type="dxa" w:w="6912"/>
            <w:vAlign w:val="top"/>
          </w:tcPr>
          <w:p>
            <w:pPr>
              <w:spacing w:after="0"/>
            </w:pPr>
            <w:r/>
            <w:r>
              <w:rPr>
                <w:b w:val="0"/>
                <w:sz w:val="16"/>
              </w:rPr>
              <w:t>Compare INFINEX with social, streaming, event and athlete inventory.</w:t>
            </w:r>
          </w:p>
        </w:tc>
      </w:tr>
      <w:tr>
        <w:trPr>
          <w:cantSplit/>
        </w:trPr>
        <w:tc>
          <w:tcPr>
            <w:tcW w:type="dxa" w:w="3168"/>
            <w:vAlign w:val="top"/>
          </w:tcPr>
          <w:p>
            <w:pPr>
              <w:spacing w:after="0"/>
            </w:pPr>
            <w:r/>
            <w:r>
              <w:rPr>
                <w:b w:val="0"/>
                <w:sz w:val="16"/>
              </w:rPr>
              <w:t>P4-09 INFINEX Operations Console</w:t>
            </w:r>
          </w:p>
        </w:tc>
        <w:tc>
          <w:tcPr>
            <w:tcW w:type="dxa" w:w="6912"/>
            <w:vAlign w:val="top"/>
          </w:tcPr>
          <w:p>
            <w:pPr>
              <w:spacing w:after="0"/>
            </w:pPr>
            <w:r/>
            <w:r>
              <w:rPr>
                <w:b w:val="0"/>
                <w:sz w:val="16"/>
              </w:rPr>
              <w:t>Health, event lag, placement failures, creative mismatch, kill switch, incident log.</w:t>
            </w:r>
          </w:p>
        </w:tc>
      </w:tr>
      <w:tr>
        <w:trPr>
          <w:cantSplit/>
        </w:trPr>
        <w:tc>
          <w:tcPr>
            <w:tcW w:type="dxa" w:w="3168"/>
            <w:vAlign w:val="top"/>
          </w:tcPr>
          <w:p>
            <w:pPr>
              <w:spacing w:after="0"/>
            </w:pPr>
            <w:r/>
            <w:r>
              <w:rPr>
                <w:b w:val="0"/>
                <w:sz w:val="16"/>
              </w:rPr>
              <w:t>P4-10 Virtual Inventory Pricing Panel</w:t>
            </w:r>
          </w:p>
        </w:tc>
        <w:tc>
          <w:tcPr>
            <w:tcW w:type="dxa" w:w="6912"/>
            <w:vAlign w:val="top"/>
          </w:tcPr>
          <w:p>
            <w:pPr>
              <w:spacing w:after="0"/>
            </w:pPr>
            <w:r/>
            <w:r>
              <w:rPr>
                <w:b w:val="0"/>
                <w:sz w:val="16"/>
              </w:rPr>
              <w:t>Recommended price/CPM-like rate based on traffic, viewability, dwell, exclusivity and scarcity.</w:t>
            </w:r>
          </w:p>
        </w:tc>
      </w:tr>
      <w:tr>
        <w:trPr>
          <w:cantSplit/>
        </w:trPr>
        <w:tc>
          <w:tcPr>
            <w:tcW w:type="dxa" w:w="3168"/>
            <w:vAlign w:val="top"/>
          </w:tcPr>
          <w:p>
            <w:pPr>
              <w:spacing w:after="0"/>
            </w:pPr>
            <w:r/>
            <w:r>
              <w:rPr>
                <w:b w:val="0"/>
                <w:sz w:val="16"/>
              </w:rPr>
              <w:t>P4-11 Sponsor Activation Report</w:t>
            </w:r>
          </w:p>
        </w:tc>
        <w:tc>
          <w:tcPr>
            <w:tcW w:type="dxa" w:w="6912"/>
            <w:vAlign w:val="top"/>
          </w:tcPr>
          <w:p>
            <w:pPr>
              <w:spacing w:after="0"/>
            </w:pPr>
            <w:r/>
            <w:r>
              <w:rPr>
                <w:b w:val="0"/>
                <w:sz w:val="16"/>
              </w:rPr>
              <w:t>Virtual activation summary with content, engagement, rewards, screenshots/proofs and next actions.</w:t>
            </w:r>
          </w:p>
        </w:tc>
      </w:tr>
      <w:tr>
        <w:trPr>
          <w:cantSplit/>
        </w:trPr>
        <w:tc>
          <w:tcPr>
            <w:tcW w:type="dxa" w:w="3168"/>
            <w:vAlign w:val="top"/>
          </w:tcPr>
          <w:p>
            <w:pPr>
              <w:spacing w:after="0"/>
            </w:pPr>
            <w:r/>
            <w:r>
              <w:rPr>
                <w:b w:val="0"/>
                <w:sz w:val="16"/>
              </w:rPr>
              <w:t>P4-12 World Heatmap / Zone Insights</w:t>
            </w:r>
          </w:p>
        </w:tc>
        <w:tc>
          <w:tcPr>
            <w:tcW w:type="dxa" w:w="6912"/>
            <w:vAlign w:val="top"/>
          </w:tcPr>
          <w:p>
            <w:pPr>
              <w:spacing w:after="0"/>
            </w:pPr>
            <w:r/>
            <w:r>
              <w:rPr>
                <w:b w:val="0"/>
                <w:sz w:val="16"/>
              </w:rPr>
              <w:t>Aggregated zone traffic and engagement visualization when supported by INFINEX telemetry.</w:t>
            </w:r>
          </w:p>
        </w:tc>
      </w:tr>
    </w:tbl>
    <w:p/>
    <w:p>
      <w:pPr>
        <w:pStyle w:val="Heading1"/>
      </w:pPr>
      <w:r>
        <w:t>27. Phase 4 Core Workflows</w:t>
      </w:r>
    </w:p>
    <w:p>
      <w:pPr>
        <w:pStyle w:val="Heading2"/>
      </w:pPr>
      <w:r>
        <w:t>27.1 Virtual Placement Setup</w:t>
      </w:r>
    </w:p>
    <w:p>
      <w:pPr>
        <w:pStyle w:val="ListNumber"/>
        <w:spacing w:after="20"/>
      </w:pPr>
      <w:r>
        <w:t>INFINEX environment/world is registered with stable world_id and environment version.</w:t>
      </w:r>
    </w:p>
    <w:p>
      <w:pPr>
        <w:pStyle w:val="ListNumber"/>
        <w:spacing w:after="20"/>
      </w:pPr>
      <w:r>
        <w:t>Developer or operations user registers placement surfaces using stable placement_id values.</w:t>
      </w:r>
    </w:p>
    <w:p>
      <w:pPr>
        <w:pStyle w:val="ListNumber"/>
        <w:spacing w:after="20"/>
      </w:pPr>
      <w:r>
        <w:t>SponsorX stores zone, placement type, technical creative constraints, viewability rule, allowed campaign types, capacity and availability.</w:t>
      </w:r>
    </w:p>
    <w:p>
      <w:pPr>
        <w:pStyle w:val="ListNumber"/>
        <w:spacing w:after="20"/>
      </w:pPr>
      <w:r>
        <w:t>Placement is mapped to a sellable SponsorX inventory record.</w:t>
      </w:r>
    </w:p>
    <w:p>
      <w:pPr>
        <w:pStyle w:val="ListNumber"/>
        <w:spacing w:after="20"/>
      </w:pPr>
      <w:r>
        <w:t>Placement passes staging test and is marked AVAILABLE.</w:t>
      </w:r>
    </w:p>
    <w:p>
      <w:pPr>
        <w:pStyle w:val="Heading2"/>
      </w:pPr>
      <w:r>
        <w:t>27.2 Campaign Creative Deployment</w:t>
      </w:r>
    </w:p>
    <w:p>
      <w:pPr>
        <w:pStyle w:val="ListNumber"/>
        <w:spacing w:after="20"/>
      </w:pPr>
      <w:r>
        <w:t>Campaign manager adds virtual placement inventory to campaign.</w:t>
      </w:r>
    </w:p>
    <w:p>
      <w:pPr>
        <w:pStyle w:val="ListNumber"/>
        <w:spacing w:after="20"/>
      </w:pPr>
      <w:r>
        <w:t>Creative asset is uploaded and validated against placement requirements.</w:t>
      </w:r>
    </w:p>
    <w:p>
      <w:pPr>
        <w:pStyle w:val="ListNumber"/>
        <w:spacing w:after="20"/>
      </w:pPr>
      <w:r>
        <w:t>Creative goes through sponsor/BTG approval workflow.</w:t>
      </w:r>
    </w:p>
    <w:p>
      <w:pPr>
        <w:pStyle w:val="ListNumber"/>
        <w:spacing w:after="20"/>
      </w:pPr>
      <w:r>
        <w:t>SponsorX creates deployment record with start/end, asset version and placement IDs.</w:t>
      </w:r>
    </w:p>
    <w:p>
      <w:pPr>
        <w:pStyle w:val="ListNumber"/>
        <w:spacing w:after="20"/>
      </w:pPr>
      <w:r>
        <w:t>INFINEX client or content service requests active deployment manifest.</w:t>
      </w:r>
    </w:p>
    <w:p>
      <w:pPr>
        <w:pStyle w:val="ListNumber"/>
        <w:spacing w:after="20"/>
      </w:pPr>
      <w:r>
        <w:t>Client renders approved asset and records deployment version.</w:t>
      </w:r>
    </w:p>
    <w:p>
      <w:pPr>
        <w:pStyle w:val="ListNumber"/>
        <w:spacing w:after="20"/>
      </w:pPr>
      <w:r>
        <w:t>If rollback or emergency pause occurs, SponsorX updates manifest and invalidates prior asset/deployment state.</w:t>
      </w:r>
    </w:p>
    <w:p>
      <w:pPr>
        <w:pStyle w:val="ListNumber"/>
        <w:spacing w:after="20"/>
      </w:pPr>
      <w:r>
        <w:t>All deployment changes are audit logged.</w:t>
      </w:r>
    </w:p>
    <w:p>
      <w:pPr>
        <w:pStyle w:val="Heading2"/>
      </w:pPr>
      <w:r>
        <w:t>27.3 Virtual Impression / Interaction Measurement</w:t>
      </w:r>
    </w:p>
    <w:p>
      <w:pPr>
        <w:pStyle w:val="ListNumber"/>
        <w:spacing w:after="20"/>
      </w:pPr>
      <w:r>
        <w:t>INFINEX client produces telemetry events using a shared event schema.</w:t>
      </w:r>
    </w:p>
    <w:p>
      <w:pPr>
        <w:pStyle w:val="ListNumber"/>
        <w:spacing w:after="20"/>
      </w:pPr>
      <w:r>
        <w:t>Events are batched and sent to SponsorX ingestion endpoint using service authentication.</w:t>
      </w:r>
    </w:p>
    <w:p>
      <w:pPr>
        <w:pStyle w:val="ListNumber"/>
        <w:spacing w:after="20"/>
      </w:pPr>
      <w:r>
        <w:t>Server validates schema, timestamp, placement/campaign relationship, signature/token and replay/duplicate indicators.</w:t>
      </w:r>
    </w:p>
    <w:p>
      <w:pPr>
        <w:pStyle w:val="ListNumber"/>
        <w:spacing w:after="20"/>
      </w:pPr>
      <w:r>
        <w:t>Raw events are written to durable event stream/storage.</w:t>
      </w:r>
    </w:p>
    <w:p>
      <w:pPr>
        <w:pStyle w:val="ListNumber"/>
        <w:spacing w:after="20"/>
      </w:pPr>
      <w:r>
        <w:t>Aggregation job calculates visits, gross impressions, viewable impressions, dwell, interactions, challenge metrics and unique/session-level metrics.</w:t>
      </w:r>
    </w:p>
    <w:p>
      <w:pPr>
        <w:pStyle w:val="ListNumber"/>
        <w:spacing w:after="20"/>
      </w:pPr>
      <w:r>
        <w:t>Sponsor dashboards read aggregates rather than raw telemetry.</w:t>
      </w:r>
    </w:p>
    <w:p>
      <w:pPr>
        <w:pStyle w:val="ListNumber"/>
        <w:spacing w:after="20"/>
      </w:pPr>
      <w:r>
        <w:t>Fraud/data-quality service flags invalid or suspicious event patterns.</w:t>
      </w:r>
    </w:p>
    <w:p>
      <w:pPr>
        <w:pStyle w:val="Heading2"/>
      </w:pPr>
      <w:r>
        <w:t>27.4 Activation → Reward Workflow</w:t>
      </w:r>
    </w:p>
    <w:p>
      <w:pPr>
        <w:pStyle w:val="ListNumber"/>
        <w:spacing w:after="20"/>
      </w:pPr>
      <w:r>
        <w:t>Sponsor configures activation completion criteria in SponsorX.</w:t>
      </w:r>
    </w:p>
    <w:p>
      <w:pPr>
        <w:pStyle w:val="ListNumber"/>
        <w:spacing w:after="20"/>
      </w:pPr>
      <w:r>
        <w:t>INFINEX sends activation_started and activation_completed events.</w:t>
      </w:r>
    </w:p>
    <w:p>
      <w:pPr>
        <w:pStyle w:val="ListNumber"/>
        <w:spacing w:after="20"/>
      </w:pPr>
      <w:r>
        <w:t>SponsorX validates completion against activation/session/user constraints.</w:t>
      </w:r>
    </w:p>
    <w:p>
      <w:pPr>
        <w:pStyle w:val="ListNumber"/>
        <w:spacing w:after="20"/>
      </w:pPr>
      <w:r>
        <w:t>If eligible, SponsorX creates reward claim token and returns claim response/deep link.</w:t>
      </w:r>
    </w:p>
    <w:p>
      <w:pPr>
        <w:pStyle w:val="ListNumber"/>
        <w:spacing w:after="20"/>
      </w:pPr>
      <w:r>
        <w:t>Fan receives in-world confirmation and optional Wallet/SMS/email reward delivery.</w:t>
      </w:r>
    </w:p>
    <w:p>
      <w:pPr>
        <w:pStyle w:val="ListNumber"/>
        <w:spacing w:after="20"/>
      </w:pPr>
      <w:r>
        <w:t>Reward redemption feeds back into the cross-channel SponsorX campaign report.</w:t>
      </w:r>
    </w:p>
    <w:p>
      <w:pPr>
        <w:pStyle w:val="Heading1"/>
      </w:pPr>
      <w:r>
        <w:t>28. Phase 4 API Contract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872"/>
            <w:shd w:fill="1F4E79"/>
            <w:vAlign w:val="center"/>
          </w:tcPr>
          <w:p>
            <w:pPr>
              <w:spacing w:after="0"/>
            </w:pPr>
            <w:r/>
            <w:r>
              <w:rPr>
                <w:b/>
                <w:color w:val="FFFFFF"/>
                <w:sz w:val="16"/>
              </w:rPr>
              <w:t>Domain</w:t>
            </w:r>
          </w:p>
        </w:tc>
        <w:tc>
          <w:tcPr>
            <w:tcW w:type="dxa" w:w="5328"/>
            <w:shd w:fill="1F4E79"/>
            <w:vAlign w:val="center"/>
          </w:tcPr>
          <w:p>
            <w:pPr>
              <w:spacing w:after="0"/>
            </w:pPr>
            <w:r/>
            <w:r>
              <w:rPr>
                <w:b/>
                <w:color w:val="FFFFFF"/>
                <w:sz w:val="16"/>
              </w:rPr>
              <w:t>Example Endpoints</w:t>
            </w:r>
          </w:p>
        </w:tc>
        <w:tc>
          <w:tcPr>
            <w:tcW w:type="dxa" w:w="3168"/>
            <w:shd w:fill="1F4E79"/>
            <w:vAlign w:val="center"/>
          </w:tcPr>
          <w:p>
            <w:pPr>
              <w:spacing w:after="0"/>
            </w:pPr>
            <w:r/>
            <w:r>
              <w:rPr>
                <w:b/>
                <w:color w:val="FFFFFF"/>
                <w:sz w:val="16"/>
              </w:rPr>
              <w:t>Purpose</w:t>
            </w:r>
          </w:p>
        </w:tc>
      </w:tr>
      <w:tr>
        <w:trPr>
          <w:cantSplit/>
        </w:trPr>
        <w:tc>
          <w:tcPr>
            <w:tcW w:type="dxa" w:w="1872"/>
            <w:vAlign w:val="top"/>
          </w:tcPr>
          <w:p>
            <w:pPr>
              <w:spacing w:after="0"/>
            </w:pPr>
            <w:r/>
            <w:r>
              <w:rPr>
                <w:b w:val="0"/>
                <w:sz w:val="16"/>
              </w:rPr>
              <w:t>World Registry</w:t>
            </w:r>
          </w:p>
        </w:tc>
        <w:tc>
          <w:tcPr>
            <w:tcW w:type="dxa" w:w="5328"/>
            <w:vAlign w:val="top"/>
          </w:tcPr>
          <w:p>
            <w:pPr>
              <w:spacing w:after="0"/>
            </w:pPr>
            <w:r/>
            <w:r>
              <w:rPr>
                <w:b w:val="0"/>
                <w:sz w:val="16"/>
              </w:rPr>
              <w:t>POST /v1/infinex/worlds; GET /v1/infinex/worlds/{id}</w:t>
            </w:r>
          </w:p>
        </w:tc>
        <w:tc>
          <w:tcPr>
            <w:tcW w:type="dxa" w:w="3168"/>
            <w:vAlign w:val="top"/>
          </w:tcPr>
          <w:p>
            <w:pPr>
              <w:spacing w:after="0"/>
            </w:pPr>
            <w:r/>
            <w:r>
              <w:rPr>
                <w:b w:val="0"/>
                <w:sz w:val="16"/>
              </w:rPr>
              <w:t>Register worlds/environments.</w:t>
            </w:r>
          </w:p>
        </w:tc>
      </w:tr>
      <w:tr>
        <w:trPr>
          <w:cantSplit/>
        </w:trPr>
        <w:tc>
          <w:tcPr>
            <w:tcW w:type="dxa" w:w="1872"/>
            <w:vAlign w:val="top"/>
          </w:tcPr>
          <w:p>
            <w:pPr>
              <w:spacing w:after="0"/>
            </w:pPr>
            <w:r/>
            <w:r>
              <w:rPr>
                <w:b w:val="0"/>
                <w:sz w:val="16"/>
              </w:rPr>
              <w:t>Zones</w:t>
            </w:r>
          </w:p>
        </w:tc>
        <w:tc>
          <w:tcPr>
            <w:tcW w:type="dxa" w:w="5328"/>
            <w:vAlign w:val="top"/>
          </w:tcPr>
          <w:p>
            <w:pPr>
              <w:spacing w:after="0"/>
            </w:pPr>
            <w:r/>
            <w:r>
              <w:rPr>
                <w:b w:val="0"/>
                <w:sz w:val="16"/>
              </w:rPr>
              <w:t>POST /v1/infinex/worlds/{id}/zones</w:t>
            </w:r>
          </w:p>
        </w:tc>
        <w:tc>
          <w:tcPr>
            <w:tcW w:type="dxa" w:w="3168"/>
            <w:vAlign w:val="top"/>
          </w:tcPr>
          <w:p>
            <w:pPr>
              <w:spacing w:after="0"/>
            </w:pPr>
            <w:r/>
            <w:r>
              <w:rPr>
                <w:b w:val="0"/>
                <w:sz w:val="16"/>
              </w:rPr>
              <w:t>Register districts/venues/zones.</w:t>
            </w:r>
          </w:p>
        </w:tc>
      </w:tr>
      <w:tr>
        <w:trPr>
          <w:cantSplit/>
        </w:trPr>
        <w:tc>
          <w:tcPr>
            <w:tcW w:type="dxa" w:w="1872"/>
            <w:vAlign w:val="top"/>
          </w:tcPr>
          <w:p>
            <w:pPr>
              <w:spacing w:after="0"/>
            </w:pPr>
            <w:r/>
            <w:r>
              <w:rPr>
                <w:b w:val="0"/>
                <w:sz w:val="16"/>
              </w:rPr>
              <w:t>Placements</w:t>
            </w:r>
          </w:p>
        </w:tc>
        <w:tc>
          <w:tcPr>
            <w:tcW w:type="dxa" w:w="5328"/>
            <w:vAlign w:val="top"/>
          </w:tcPr>
          <w:p>
            <w:pPr>
              <w:spacing w:after="0"/>
            </w:pPr>
            <w:r/>
            <w:r>
              <w:rPr>
                <w:b w:val="0"/>
                <w:sz w:val="16"/>
              </w:rPr>
              <w:t>POST /v1/infinex/placements; PATCH /v1/infinex/placements/{id}</w:t>
            </w:r>
          </w:p>
        </w:tc>
        <w:tc>
          <w:tcPr>
            <w:tcW w:type="dxa" w:w="3168"/>
            <w:vAlign w:val="top"/>
          </w:tcPr>
          <w:p>
            <w:pPr>
              <w:spacing w:after="0"/>
            </w:pPr>
            <w:r/>
            <w:r>
              <w:rPr>
                <w:b w:val="0"/>
                <w:sz w:val="16"/>
              </w:rPr>
              <w:t>Virtual inventory surfaces.</w:t>
            </w:r>
          </w:p>
        </w:tc>
      </w:tr>
      <w:tr>
        <w:trPr>
          <w:cantSplit/>
        </w:trPr>
        <w:tc>
          <w:tcPr>
            <w:tcW w:type="dxa" w:w="1872"/>
            <w:vAlign w:val="top"/>
          </w:tcPr>
          <w:p>
            <w:pPr>
              <w:spacing w:after="0"/>
            </w:pPr>
            <w:r/>
            <w:r>
              <w:rPr>
                <w:b w:val="0"/>
                <w:sz w:val="16"/>
              </w:rPr>
              <w:t>Active Manifest</w:t>
            </w:r>
          </w:p>
        </w:tc>
        <w:tc>
          <w:tcPr>
            <w:tcW w:type="dxa" w:w="5328"/>
            <w:vAlign w:val="top"/>
          </w:tcPr>
          <w:p>
            <w:pPr>
              <w:spacing w:after="0"/>
            </w:pPr>
            <w:r/>
            <w:r>
              <w:rPr>
                <w:b w:val="0"/>
                <w:sz w:val="16"/>
              </w:rPr>
              <w:t>GET /v1/infinex/worlds/{worldId}/manifest?at=...</w:t>
            </w:r>
          </w:p>
        </w:tc>
        <w:tc>
          <w:tcPr>
            <w:tcW w:type="dxa" w:w="3168"/>
            <w:vAlign w:val="top"/>
          </w:tcPr>
          <w:p>
            <w:pPr>
              <w:spacing w:after="0"/>
            </w:pPr>
            <w:r/>
            <w:r>
              <w:rPr>
                <w:b w:val="0"/>
                <w:sz w:val="16"/>
              </w:rPr>
              <w:t>Return active placements/creative/activation config.</w:t>
            </w:r>
          </w:p>
        </w:tc>
      </w:tr>
      <w:tr>
        <w:trPr>
          <w:cantSplit/>
        </w:trPr>
        <w:tc>
          <w:tcPr>
            <w:tcW w:type="dxa" w:w="1872"/>
            <w:vAlign w:val="top"/>
          </w:tcPr>
          <w:p>
            <w:pPr>
              <w:spacing w:after="0"/>
            </w:pPr>
            <w:r/>
            <w:r>
              <w:rPr>
                <w:b w:val="0"/>
                <w:sz w:val="16"/>
              </w:rPr>
              <w:t>Creative</w:t>
            </w:r>
          </w:p>
        </w:tc>
        <w:tc>
          <w:tcPr>
            <w:tcW w:type="dxa" w:w="5328"/>
            <w:vAlign w:val="top"/>
          </w:tcPr>
          <w:p>
            <w:pPr>
              <w:spacing w:after="0"/>
            </w:pPr>
            <w:r/>
            <w:r>
              <w:rPr>
                <w:b w:val="0"/>
                <w:sz w:val="16"/>
              </w:rPr>
              <w:t>GET /v1/infinex/creative/{deploymentId}</w:t>
            </w:r>
          </w:p>
        </w:tc>
        <w:tc>
          <w:tcPr>
            <w:tcW w:type="dxa" w:w="3168"/>
            <w:vAlign w:val="top"/>
          </w:tcPr>
          <w:p>
            <w:pPr>
              <w:spacing w:after="0"/>
            </w:pPr>
            <w:r/>
            <w:r>
              <w:rPr>
                <w:b w:val="0"/>
                <w:sz w:val="16"/>
              </w:rPr>
              <w:t>Return signed metadata/asset reference.</w:t>
            </w:r>
          </w:p>
        </w:tc>
      </w:tr>
      <w:tr>
        <w:trPr>
          <w:cantSplit/>
        </w:trPr>
        <w:tc>
          <w:tcPr>
            <w:tcW w:type="dxa" w:w="1872"/>
            <w:vAlign w:val="top"/>
          </w:tcPr>
          <w:p>
            <w:pPr>
              <w:spacing w:after="0"/>
            </w:pPr>
            <w:r/>
            <w:r>
              <w:rPr>
                <w:b w:val="0"/>
                <w:sz w:val="16"/>
              </w:rPr>
              <w:t>Telemetry</w:t>
            </w:r>
          </w:p>
        </w:tc>
        <w:tc>
          <w:tcPr>
            <w:tcW w:type="dxa" w:w="5328"/>
            <w:vAlign w:val="top"/>
          </w:tcPr>
          <w:p>
            <w:pPr>
              <w:spacing w:after="0"/>
            </w:pPr>
            <w:r/>
            <w:r>
              <w:rPr>
                <w:b w:val="0"/>
                <w:sz w:val="16"/>
              </w:rPr>
              <w:t>POST /v1/infinex/events/batch</w:t>
            </w:r>
          </w:p>
        </w:tc>
        <w:tc>
          <w:tcPr>
            <w:tcW w:type="dxa" w:w="3168"/>
            <w:vAlign w:val="top"/>
          </w:tcPr>
          <w:p>
            <w:pPr>
              <w:spacing w:after="0"/>
            </w:pPr>
            <w:r/>
            <w:r>
              <w:rPr>
                <w:b w:val="0"/>
                <w:sz w:val="16"/>
              </w:rPr>
              <w:t>Batch impressions/interactions.</w:t>
            </w:r>
          </w:p>
        </w:tc>
      </w:tr>
      <w:tr>
        <w:trPr>
          <w:cantSplit/>
        </w:trPr>
        <w:tc>
          <w:tcPr>
            <w:tcW w:type="dxa" w:w="1872"/>
            <w:vAlign w:val="top"/>
          </w:tcPr>
          <w:p>
            <w:pPr>
              <w:spacing w:after="0"/>
            </w:pPr>
            <w:r/>
            <w:r>
              <w:rPr>
                <w:b w:val="0"/>
                <w:sz w:val="16"/>
              </w:rPr>
              <w:t>Activation</w:t>
            </w:r>
          </w:p>
        </w:tc>
        <w:tc>
          <w:tcPr>
            <w:tcW w:type="dxa" w:w="5328"/>
            <w:vAlign w:val="top"/>
          </w:tcPr>
          <w:p>
            <w:pPr>
              <w:spacing w:after="0"/>
            </w:pPr>
            <w:r/>
            <w:r>
              <w:rPr>
                <w:b w:val="0"/>
                <w:sz w:val="16"/>
              </w:rPr>
              <w:t>POST /v1/infinex/activations/{id}/start; POST /v1/infinex/activations/{id}/complete</w:t>
            </w:r>
          </w:p>
        </w:tc>
        <w:tc>
          <w:tcPr>
            <w:tcW w:type="dxa" w:w="3168"/>
            <w:vAlign w:val="top"/>
          </w:tcPr>
          <w:p>
            <w:pPr>
              <w:spacing w:after="0"/>
            </w:pPr>
            <w:r/>
            <w:r>
              <w:rPr>
                <w:b w:val="0"/>
                <w:sz w:val="16"/>
              </w:rPr>
              <w:t>Interactive campaign flow.</w:t>
            </w:r>
          </w:p>
        </w:tc>
      </w:tr>
      <w:tr>
        <w:trPr>
          <w:cantSplit/>
        </w:trPr>
        <w:tc>
          <w:tcPr>
            <w:tcW w:type="dxa" w:w="1872"/>
            <w:vAlign w:val="top"/>
          </w:tcPr>
          <w:p>
            <w:pPr>
              <w:spacing w:after="0"/>
            </w:pPr>
            <w:r/>
            <w:r>
              <w:rPr>
                <w:b w:val="0"/>
                <w:sz w:val="16"/>
              </w:rPr>
              <w:t>Reward Trigger</w:t>
            </w:r>
          </w:p>
        </w:tc>
        <w:tc>
          <w:tcPr>
            <w:tcW w:type="dxa" w:w="5328"/>
            <w:vAlign w:val="top"/>
          </w:tcPr>
          <w:p>
            <w:pPr>
              <w:spacing w:after="0"/>
            </w:pPr>
            <w:r/>
            <w:r>
              <w:rPr>
                <w:b w:val="0"/>
                <w:sz w:val="16"/>
              </w:rPr>
              <w:t>POST /v1/infinex/activations/{id}/reward</w:t>
            </w:r>
          </w:p>
        </w:tc>
        <w:tc>
          <w:tcPr>
            <w:tcW w:type="dxa" w:w="3168"/>
            <w:vAlign w:val="top"/>
          </w:tcPr>
          <w:p>
            <w:pPr>
              <w:spacing w:after="0"/>
            </w:pPr>
            <w:r/>
            <w:r>
              <w:rPr>
                <w:b w:val="0"/>
                <w:sz w:val="16"/>
              </w:rPr>
              <w:t>Issue SponsorX reward.</w:t>
            </w:r>
          </w:p>
        </w:tc>
      </w:tr>
      <w:tr>
        <w:trPr>
          <w:cantSplit/>
        </w:trPr>
        <w:tc>
          <w:tcPr>
            <w:tcW w:type="dxa" w:w="1872"/>
            <w:vAlign w:val="top"/>
          </w:tcPr>
          <w:p>
            <w:pPr>
              <w:spacing w:after="0"/>
            </w:pPr>
            <w:r/>
            <w:r>
              <w:rPr>
                <w:b w:val="0"/>
                <w:sz w:val="16"/>
              </w:rPr>
              <w:t>Health</w:t>
            </w:r>
          </w:p>
        </w:tc>
        <w:tc>
          <w:tcPr>
            <w:tcW w:type="dxa" w:w="5328"/>
            <w:vAlign w:val="top"/>
          </w:tcPr>
          <w:p>
            <w:pPr>
              <w:spacing w:after="0"/>
            </w:pPr>
            <w:r/>
            <w:r>
              <w:rPr>
                <w:b w:val="0"/>
                <w:sz w:val="16"/>
              </w:rPr>
              <w:t>POST /v1/infinex/clients/heartbeat</w:t>
            </w:r>
          </w:p>
        </w:tc>
        <w:tc>
          <w:tcPr>
            <w:tcW w:type="dxa" w:w="3168"/>
            <w:vAlign w:val="top"/>
          </w:tcPr>
          <w:p>
            <w:pPr>
              <w:spacing w:after="0"/>
            </w:pPr>
            <w:r/>
            <w:r>
              <w:rPr>
                <w:b w:val="0"/>
                <w:sz w:val="16"/>
              </w:rPr>
              <w:t>Operational client health.</w:t>
            </w:r>
          </w:p>
        </w:tc>
      </w:tr>
      <w:tr>
        <w:trPr>
          <w:cantSplit/>
        </w:trPr>
        <w:tc>
          <w:tcPr>
            <w:tcW w:type="dxa" w:w="1872"/>
            <w:vAlign w:val="top"/>
          </w:tcPr>
          <w:p>
            <w:pPr>
              <w:spacing w:after="0"/>
            </w:pPr>
            <w:r/>
            <w:r>
              <w:rPr>
                <w:b w:val="0"/>
                <w:sz w:val="16"/>
              </w:rPr>
              <w:t>Config</w:t>
            </w:r>
          </w:p>
        </w:tc>
        <w:tc>
          <w:tcPr>
            <w:tcW w:type="dxa" w:w="5328"/>
            <w:vAlign w:val="top"/>
          </w:tcPr>
          <w:p>
            <w:pPr>
              <w:spacing w:after="0"/>
            </w:pPr>
            <w:r/>
            <w:r>
              <w:rPr>
                <w:b w:val="0"/>
                <w:sz w:val="16"/>
              </w:rPr>
              <w:t>GET /v1/infinex/config</w:t>
            </w:r>
          </w:p>
        </w:tc>
        <w:tc>
          <w:tcPr>
            <w:tcW w:type="dxa" w:w="3168"/>
            <w:vAlign w:val="top"/>
          </w:tcPr>
          <w:p>
            <w:pPr>
              <w:spacing w:after="0"/>
            </w:pPr>
            <w:r/>
            <w:r>
              <w:rPr>
                <w:b w:val="0"/>
                <w:sz w:val="16"/>
              </w:rPr>
              <w:t>Feature flags, telemetry limits, schema versions.</w:t>
            </w:r>
          </w:p>
        </w:tc>
      </w:tr>
      <w:tr>
        <w:trPr>
          <w:cantSplit/>
        </w:trPr>
        <w:tc>
          <w:tcPr>
            <w:tcW w:type="dxa" w:w="1872"/>
            <w:vAlign w:val="top"/>
          </w:tcPr>
          <w:p>
            <w:pPr>
              <w:spacing w:after="0"/>
            </w:pPr>
            <w:r/>
            <w:r>
              <w:rPr>
                <w:b w:val="0"/>
                <w:sz w:val="16"/>
              </w:rPr>
              <w:t>Admin Operations</w:t>
            </w:r>
          </w:p>
        </w:tc>
        <w:tc>
          <w:tcPr>
            <w:tcW w:type="dxa" w:w="5328"/>
            <w:vAlign w:val="top"/>
          </w:tcPr>
          <w:p>
            <w:pPr>
              <w:spacing w:after="0"/>
            </w:pPr>
            <w:r/>
            <w:r>
              <w:rPr>
                <w:b w:val="0"/>
                <w:sz w:val="16"/>
              </w:rPr>
              <w:t>POST /v1/admin/infinex/deployments/{id}/pause; /rollback</w:t>
            </w:r>
          </w:p>
        </w:tc>
        <w:tc>
          <w:tcPr>
            <w:tcW w:type="dxa" w:w="3168"/>
            <w:vAlign w:val="top"/>
          </w:tcPr>
          <w:p>
            <w:pPr>
              <w:spacing w:after="0"/>
            </w:pPr>
            <w:r/>
            <w:r>
              <w:rPr>
                <w:b w:val="0"/>
                <w:sz w:val="16"/>
              </w:rPr>
              <w:t>Emergency control.</w:t>
            </w:r>
          </w:p>
        </w:tc>
      </w:tr>
      <w:tr>
        <w:trPr>
          <w:cantSplit/>
        </w:trPr>
        <w:tc>
          <w:tcPr>
            <w:tcW w:type="dxa" w:w="1872"/>
            <w:vAlign w:val="top"/>
          </w:tcPr>
          <w:p>
            <w:pPr>
              <w:spacing w:after="0"/>
            </w:pPr>
            <w:r/>
            <w:r>
              <w:rPr>
                <w:b w:val="0"/>
                <w:sz w:val="16"/>
              </w:rPr>
              <w:t>Analytics</w:t>
            </w:r>
          </w:p>
        </w:tc>
        <w:tc>
          <w:tcPr>
            <w:tcW w:type="dxa" w:w="5328"/>
            <w:vAlign w:val="top"/>
          </w:tcPr>
          <w:p>
            <w:pPr>
              <w:spacing w:after="0"/>
            </w:pPr>
            <w:r/>
            <w:r>
              <w:rPr>
                <w:b w:val="0"/>
                <w:sz w:val="16"/>
              </w:rPr>
              <w:t>GET /v1/campaigns/{id}/infinex-metrics</w:t>
            </w:r>
          </w:p>
        </w:tc>
        <w:tc>
          <w:tcPr>
            <w:tcW w:type="dxa" w:w="3168"/>
            <w:vAlign w:val="top"/>
          </w:tcPr>
          <w:p>
            <w:pPr>
              <w:spacing w:after="0"/>
            </w:pPr>
            <w:r/>
            <w:r>
              <w:rPr>
                <w:b w:val="0"/>
                <w:sz w:val="16"/>
              </w:rPr>
              <w:t>Virtual analytics query.</w:t>
            </w:r>
          </w:p>
        </w:tc>
      </w:tr>
    </w:tbl>
    <w:p/>
    <w:p>
      <w:pPr>
        <w:pStyle w:val="Heading1"/>
      </w:pPr>
      <w:r>
        <w:t>29. INFINEX Event Schema</w:t>
      </w:r>
    </w:p>
    <w:p>
      <w:r>
        <w:t>Minimum event payload:</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592"/>
            <w:shd w:fill="1F4E79"/>
            <w:vAlign w:val="center"/>
          </w:tcPr>
          <w:p>
            <w:pPr>
              <w:spacing w:after="0"/>
            </w:pPr>
            <w:r/>
            <w:r>
              <w:rPr>
                <w:b/>
                <w:color w:val="FFFFFF"/>
                <w:sz w:val="16"/>
              </w:rPr>
              <w:t>Field</w:t>
            </w:r>
          </w:p>
        </w:tc>
        <w:tc>
          <w:tcPr>
            <w:tcW w:type="dxa" w:w="1440"/>
            <w:shd w:fill="1F4E79"/>
            <w:vAlign w:val="center"/>
          </w:tcPr>
          <w:p>
            <w:pPr>
              <w:spacing w:after="0"/>
            </w:pPr>
            <w:r/>
            <w:r>
              <w:rPr>
                <w:b/>
                <w:color w:val="FFFFFF"/>
                <w:sz w:val="16"/>
              </w:rPr>
              <w:t>Required</w:t>
            </w:r>
          </w:p>
        </w:tc>
        <w:tc>
          <w:tcPr>
            <w:tcW w:type="dxa" w:w="6192"/>
            <w:shd w:fill="1F4E79"/>
            <w:vAlign w:val="center"/>
          </w:tcPr>
          <w:p>
            <w:pPr>
              <w:spacing w:after="0"/>
            </w:pPr>
            <w:r/>
            <w:r>
              <w:rPr>
                <w:b/>
                <w:color w:val="FFFFFF"/>
                <w:sz w:val="16"/>
              </w:rPr>
              <w:t>Notes</w:t>
            </w:r>
          </w:p>
        </w:tc>
      </w:tr>
      <w:tr>
        <w:trPr>
          <w:cantSplit/>
        </w:trPr>
        <w:tc>
          <w:tcPr>
            <w:tcW w:type="dxa" w:w="2592"/>
            <w:vAlign w:val="top"/>
          </w:tcPr>
          <w:p>
            <w:pPr>
              <w:spacing w:after="0"/>
            </w:pPr>
            <w:r/>
            <w:r>
              <w:rPr>
                <w:b w:val="0"/>
                <w:sz w:val="16"/>
              </w:rPr>
              <w:t>event_id</w:t>
            </w:r>
          </w:p>
        </w:tc>
        <w:tc>
          <w:tcPr>
            <w:tcW w:type="dxa" w:w="1440"/>
            <w:vAlign w:val="top"/>
          </w:tcPr>
          <w:p>
            <w:pPr>
              <w:spacing w:after="0"/>
            </w:pPr>
            <w:r/>
            <w:r>
              <w:rPr>
                <w:b w:val="0"/>
                <w:sz w:val="16"/>
              </w:rPr>
              <w:t>Yes</w:t>
            </w:r>
          </w:p>
        </w:tc>
        <w:tc>
          <w:tcPr>
            <w:tcW w:type="dxa" w:w="6192"/>
            <w:vAlign w:val="top"/>
          </w:tcPr>
          <w:p>
            <w:pPr>
              <w:spacing w:after="0"/>
            </w:pPr>
            <w:r/>
            <w:r>
              <w:rPr>
                <w:b w:val="0"/>
                <w:sz w:val="16"/>
              </w:rPr>
              <w:t>Globally unique UUID for idempotency.</w:t>
            </w:r>
          </w:p>
        </w:tc>
      </w:tr>
      <w:tr>
        <w:trPr>
          <w:cantSplit/>
        </w:trPr>
        <w:tc>
          <w:tcPr>
            <w:tcW w:type="dxa" w:w="2592"/>
            <w:vAlign w:val="top"/>
          </w:tcPr>
          <w:p>
            <w:pPr>
              <w:spacing w:after="0"/>
            </w:pPr>
            <w:r/>
            <w:r>
              <w:rPr>
                <w:b w:val="0"/>
                <w:sz w:val="16"/>
              </w:rPr>
              <w:t>schema_version</w:t>
            </w:r>
          </w:p>
        </w:tc>
        <w:tc>
          <w:tcPr>
            <w:tcW w:type="dxa" w:w="1440"/>
            <w:vAlign w:val="top"/>
          </w:tcPr>
          <w:p>
            <w:pPr>
              <w:spacing w:after="0"/>
            </w:pPr>
            <w:r/>
            <w:r>
              <w:rPr>
                <w:b w:val="0"/>
                <w:sz w:val="16"/>
              </w:rPr>
              <w:t>Yes</w:t>
            </w:r>
          </w:p>
        </w:tc>
        <w:tc>
          <w:tcPr>
            <w:tcW w:type="dxa" w:w="6192"/>
            <w:vAlign w:val="top"/>
          </w:tcPr>
          <w:p>
            <w:pPr>
              <w:spacing w:after="0"/>
            </w:pPr>
            <w:r/>
            <w:r>
              <w:rPr>
                <w:b w:val="0"/>
                <w:sz w:val="16"/>
              </w:rPr>
              <w:t>Allows client/server evolution.</w:t>
            </w:r>
          </w:p>
        </w:tc>
      </w:tr>
      <w:tr>
        <w:trPr>
          <w:cantSplit/>
        </w:trPr>
        <w:tc>
          <w:tcPr>
            <w:tcW w:type="dxa" w:w="2592"/>
            <w:vAlign w:val="top"/>
          </w:tcPr>
          <w:p>
            <w:pPr>
              <w:spacing w:after="0"/>
            </w:pPr>
            <w:r/>
            <w:r>
              <w:rPr>
                <w:b w:val="0"/>
                <w:sz w:val="16"/>
              </w:rPr>
              <w:t>event_type</w:t>
            </w:r>
          </w:p>
        </w:tc>
        <w:tc>
          <w:tcPr>
            <w:tcW w:type="dxa" w:w="1440"/>
            <w:vAlign w:val="top"/>
          </w:tcPr>
          <w:p>
            <w:pPr>
              <w:spacing w:after="0"/>
            </w:pPr>
            <w:r/>
            <w:r>
              <w:rPr>
                <w:b w:val="0"/>
                <w:sz w:val="16"/>
              </w:rPr>
              <w:t>Yes</w:t>
            </w:r>
          </w:p>
        </w:tc>
        <w:tc>
          <w:tcPr>
            <w:tcW w:type="dxa" w:w="6192"/>
            <w:vAlign w:val="top"/>
          </w:tcPr>
          <w:p>
            <w:pPr>
              <w:spacing w:after="0"/>
            </w:pPr>
            <w:r/>
            <w:r>
              <w:rPr>
                <w:b w:val="0"/>
                <w:sz w:val="16"/>
              </w:rPr>
              <w:t>world_visit, placement_impression, placement_viewable, interaction, activation_started, activation_completed, reward_triggered, etc.</w:t>
            </w:r>
          </w:p>
        </w:tc>
      </w:tr>
      <w:tr>
        <w:trPr>
          <w:cantSplit/>
        </w:trPr>
        <w:tc>
          <w:tcPr>
            <w:tcW w:type="dxa" w:w="2592"/>
            <w:vAlign w:val="top"/>
          </w:tcPr>
          <w:p>
            <w:pPr>
              <w:spacing w:after="0"/>
            </w:pPr>
            <w:r/>
            <w:r>
              <w:rPr>
                <w:b w:val="0"/>
                <w:sz w:val="16"/>
              </w:rPr>
              <w:t>occurred_at</w:t>
            </w:r>
          </w:p>
        </w:tc>
        <w:tc>
          <w:tcPr>
            <w:tcW w:type="dxa" w:w="1440"/>
            <w:vAlign w:val="top"/>
          </w:tcPr>
          <w:p>
            <w:pPr>
              <w:spacing w:after="0"/>
            </w:pPr>
            <w:r/>
            <w:r>
              <w:rPr>
                <w:b w:val="0"/>
                <w:sz w:val="16"/>
              </w:rPr>
              <w:t>Yes</w:t>
            </w:r>
          </w:p>
        </w:tc>
        <w:tc>
          <w:tcPr>
            <w:tcW w:type="dxa" w:w="6192"/>
            <w:vAlign w:val="top"/>
          </w:tcPr>
          <w:p>
            <w:pPr>
              <w:spacing w:after="0"/>
            </w:pPr>
            <w:r/>
            <w:r>
              <w:rPr>
                <w:b w:val="0"/>
                <w:sz w:val="16"/>
              </w:rPr>
              <w:t>UTC timestamp from client/server.</w:t>
            </w:r>
          </w:p>
        </w:tc>
      </w:tr>
      <w:tr>
        <w:trPr>
          <w:cantSplit/>
        </w:trPr>
        <w:tc>
          <w:tcPr>
            <w:tcW w:type="dxa" w:w="2592"/>
            <w:vAlign w:val="top"/>
          </w:tcPr>
          <w:p>
            <w:pPr>
              <w:spacing w:after="0"/>
            </w:pPr>
            <w:r/>
            <w:r>
              <w:rPr>
                <w:b w:val="0"/>
                <w:sz w:val="16"/>
              </w:rPr>
              <w:t>received_at</w:t>
            </w:r>
          </w:p>
        </w:tc>
        <w:tc>
          <w:tcPr>
            <w:tcW w:type="dxa" w:w="1440"/>
            <w:vAlign w:val="top"/>
          </w:tcPr>
          <w:p>
            <w:pPr>
              <w:spacing w:after="0"/>
            </w:pPr>
            <w:r/>
            <w:r>
              <w:rPr>
                <w:b w:val="0"/>
                <w:sz w:val="16"/>
              </w:rPr>
              <w:t>Server</w:t>
            </w:r>
          </w:p>
        </w:tc>
        <w:tc>
          <w:tcPr>
            <w:tcW w:type="dxa" w:w="6192"/>
            <w:vAlign w:val="top"/>
          </w:tcPr>
          <w:p>
            <w:pPr>
              <w:spacing w:after="0"/>
            </w:pPr>
            <w:r/>
            <w:r>
              <w:rPr>
                <w:b w:val="0"/>
                <w:sz w:val="16"/>
              </w:rPr>
              <w:t>Server timestamp.</w:t>
            </w:r>
          </w:p>
        </w:tc>
      </w:tr>
      <w:tr>
        <w:trPr>
          <w:cantSplit/>
        </w:trPr>
        <w:tc>
          <w:tcPr>
            <w:tcW w:type="dxa" w:w="2592"/>
            <w:vAlign w:val="top"/>
          </w:tcPr>
          <w:p>
            <w:pPr>
              <w:spacing w:after="0"/>
            </w:pPr>
            <w:r/>
            <w:r>
              <w:rPr>
                <w:b w:val="0"/>
                <w:sz w:val="16"/>
              </w:rPr>
              <w:t>world_id / zone_id</w:t>
            </w:r>
          </w:p>
        </w:tc>
        <w:tc>
          <w:tcPr>
            <w:tcW w:type="dxa" w:w="1440"/>
            <w:vAlign w:val="top"/>
          </w:tcPr>
          <w:p>
            <w:pPr>
              <w:spacing w:after="0"/>
            </w:pPr>
            <w:r/>
            <w:r>
              <w:rPr>
                <w:b w:val="0"/>
                <w:sz w:val="16"/>
              </w:rPr>
              <w:t>Yes as applicable</w:t>
            </w:r>
          </w:p>
        </w:tc>
        <w:tc>
          <w:tcPr>
            <w:tcW w:type="dxa" w:w="6192"/>
            <w:vAlign w:val="top"/>
          </w:tcPr>
          <w:p>
            <w:pPr>
              <w:spacing w:after="0"/>
            </w:pPr>
            <w:r/>
            <w:r>
              <w:rPr>
                <w:b w:val="0"/>
                <w:sz w:val="16"/>
              </w:rPr>
              <w:t>Stable INFINEX IDs.</w:t>
            </w:r>
          </w:p>
        </w:tc>
      </w:tr>
      <w:tr>
        <w:trPr>
          <w:cantSplit/>
        </w:trPr>
        <w:tc>
          <w:tcPr>
            <w:tcW w:type="dxa" w:w="2592"/>
            <w:vAlign w:val="top"/>
          </w:tcPr>
          <w:p>
            <w:pPr>
              <w:spacing w:after="0"/>
            </w:pPr>
            <w:r/>
            <w:r>
              <w:rPr>
                <w:b w:val="0"/>
                <w:sz w:val="16"/>
              </w:rPr>
              <w:t>placement_id</w:t>
            </w:r>
          </w:p>
        </w:tc>
        <w:tc>
          <w:tcPr>
            <w:tcW w:type="dxa" w:w="1440"/>
            <w:vAlign w:val="top"/>
          </w:tcPr>
          <w:p>
            <w:pPr>
              <w:spacing w:after="0"/>
            </w:pPr>
            <w:r/>
            <w:r>
              <w:rPr>
                <w:b w:val="0"/>
                <w:sz w:val="16"/>
              </w:rPr>
              <w:t>For placement events</w:t>
            </w:r>
          </w:p>
        </w:tc>
        <w:tc>
          <w:tcPr>
            <w:tcW w:type="dxa" w:w="6192"/>
            <w:vAlign w:val="top"/>
          </w:tcPr>
          <w:p>
            <w:pPr>
              <w:spacing w:after="0"/>
            </w:pPr>
            <w:r/>
            <w:r>
              <w:rPr>
                <w:b w:val="0"/>
                <w:sz w:val="16"/>
              </w:rPr>
              <w:t>Must map to active SponsorX placement.</w:t>
            </w:r>
          </w:p>
        </w:tc>
      </w:tr>
      <w:tr>
        <w:trPr>
          <w:cantSplit/>
        </w:trPr>
        <w:tc>
          <w:tcPr>
            <w:tcW w:type="dxa" w:w="2592"/>
            <w:vAlign w:val="top"/>
          </w:tcPr>
          <w:p>
            <w:pPr>
              <w:spacing w:after="0"/>
            </w:pPr>
            <w:r/>
            <w:r>
              <w:rPr>
                <w:b w:val="0"/>
                <w:sz w:val="16"/>
              </w:rPr>
              <w:t>campaign_id / deployment_id</w:t>
            </w:r>
          </w:p>
        </w:tc>
        <w:tc>
          <w:tcPr>
            <w:tcW w:type="dxa" w:w="1440"/>
            <w:vAlign w:val="top"/>
          </w:tcPr>
          <w:p>
            <w:pPr>
              <w:spacing w:after="0"/>
            </w:pPr>
            <w:r/>
            <w:r>
              <w:rPr>
                <w:b w:val="0"/>
                <w:sz w:val="16"/>
              </w:rPr>
              <w:t>For sponsored events</w:t>
            </w:r>
          </w:p>
        </w:tc>
        <w:tc>
          <w:tcPr>
            <w:tcW w:type="dxa" w:w="6192"/>
            <w:vAlign w:val="top"/>
          </w:tcPr>
          <w:p>
            <w:pPr>
              <w:spacing w:after="0"/>
            </w:pPr>
            <w:r/>
            <w:r>
              <w:rPr>
                <w:b w:val="0"/>
                <w:sz w:val="16"/>
              </w:rPr>
              <w:t>Resolve current campaign asset.</w:t>
            </w:r>
          </w:p>
        </w:tc>
      </w:tr>
      <w:tr>
        <w:trPr>
          <w:cantSplit/>
        </w:trPr>
        <w:tc>
          <w:tcPr>
            <w:tcW w:type="dxa" w:w="2592"/>
            <w:vAlign w:val="top"/>
          </w:tcPr>
          <w:p>
            <w:pPr>
              <w:spacing w:after="0"/>
            </w:pPr>
            <w:r/>
            <w:r>
              <w:rPr>
                <w:b w:val="0"/>
                <w:sz w:val="16"/>
              </w:rPr>
              <w:t>session_id</w:t>
            </w:r>
          </w:p>
        </w:tc>
        <w:tc>
          <w:tcPr>
            <w:tcW w:type="dxa" w:w="1440"/>
            <w:vAlign w:val="top"/>
          </w:tcPr>
          <w:p>
            <w:pPr>
              <w:spacing w:after="0"/>
            </w:pPr>
            <w:r/>
            <w:r>
              <w:rPr>
                <w:b w:val="0"/>
                <w:sz w:val="16"/>
              </w:rPr>
              <w:t>Yes</w:t>
            </w:r>
          </w:p>
        </w:tc>
        <w:tc>
          <w:tcPr>
            <w:tcW w:type="dxa" w:w="6192"/>
            <w:vAlign w:val="top"/>
          </w:tcPr>
          <w:p>
            <w:pPr>
              <w:spacing w:after="0"/>
            </w:pPr>
            <w:r/>
            <w:r>
              <w:rPr>
                <w:b w:val="0"/>
                <w:sz w:val="16"/>
              </w:rPr>
              <w:t>Pseudonymous session identifier.</w:t>
            </w:r>
          </w:p>
        </w:tc>
      </w:tr>
      <w:tr>
        <w:trPr>
          <w:cantSplit/>
        </w:trPr>
        <w:tc>
          <w:tcPr>
            <w:tcW w:type="dxa" w:w="2592"/>
            <w:vAlign w:val="top"/>
          </w:tcPr>
          <w:p>
            <w:pPr>
              <w:spacing w:after="0"/>
            </w:pPr>
            <w:r/>
            <w:r>
              <w:rPr>
                <w:b w:val="0"/>
                <w:sz w:val="16"/>
              </w:rPr>
              <w:t>user_id</w:t>
            </w:r>
          </w:p>
        </w:tc>
        <w:tc>
          <w:tcPr>
            <w:tcW w:type="dxa" w:w="1440"/>
            <w:vAlign w:val="top"/>
          </w:tcPr>
          <w:p>
            <w:pPr>
              <w:spacing w:after="0"/>
            </w:pPr>
            <w:r/>
            <w:r>
              <w:rPr>
                <w:b w:val="0"/>
                <w:sz w:val="16"/>
              </w:rPr>
              <w:t>Optional</w:t>
            </w:r>
          </w:p>
        </w:tc>
        <w:tc>
          <w:tcPr>
            <w:tcW w:type="dxa" w:w="6192"/>
            <w:vAlign w:val="top"/>
          </w:tcPr>
          <w:p>
            <w:pPr>
              <w:spacing w:after="0"/>
            </w:pPr>
            <w:r/>
            <w:r>
              <w:rPr>
                <w:b w:val="0"/>
                <w:sz w:val="16"/>
              </w:rPr>
              <w:t>Only when authenticated/appropriate; do not require for measurement.</w:t>
            </w:r>
          </w:p>
        </w:tc>
      </w:tr>
      <w:tr>
        <w:trPr>
          <w:cantSplit/>
        </w:trPr>
        <w:tc>
          <w:tcPr>
            <w:tcW w:type="dxa" w:w="2592"/>
            <w:vAlign w:val="top"/>
          </w:tcPr>
          <w:p>
            <w:pPr>
              <w:spacing w:after="0"/>
            </w:pPr>
            <w:r/>
            <w:r>
              <w:rPr>
                <w:b w:val="0"/>
                <w:sz w:val="16"/>
              </w:rPr>
              <w:t>device/client_id</w:t>
            </w:r>
          </w:p>
        </w:tc>
        <w:tc>
          <w:tcPr>
            <w:tcW w:type="dxa" w:w="1440"/>
            <w:vAlign w:val="top"/>
          </w:tcPr>
          <w:p>
            <w:pPr>
              <w:spacing w:after="0"/>
            </w:pPr>
            <w:r/>
            <w:r>
              <w:rPr>
                <w:b w:val="0"/>
                <w:sz w:val="16"/>
              </w:rPr>
              <w:t>Optional</w:t>
            </w:r>
          </w:p>
        </w:tc>
        <w:tc>
          <w:tcPr>
            <w:tcW w:type="dxa" w:w="6192"/>
            <w:vAlign w:val="top"/>
          </w:tcPr>
          <w:p>
            <w:pPr>
              <w:spacing w:after="0"/>
            </w:pPr>
            <w:r/>
            <w:r>
              <w:rPr>
                <w:b w:val="0"/>
                <w:sz w:val="16"/>
              </w:rPr>
              <w:t>Pseudonymous anti-fraud/diagnostic identifier.</w:t>
            </w:r>
          </w:p>
        </w:tc>
      </w:tr>
      <w:tr>
        <w:trPr>
          <w:cantSplit/>
        </w:trPr>
        <w:tc>
          <w:tcPr>
            <w:tcW w:type="dxa" w:w="2592"/>
            <w:vAlign w:val="top"/>
          </w:tcPr>
          <w:p>
            <w:pPr>
              <w:spacing w:after="0"/>
            </w:pPr>
            <w:r/>
            <w:r>
              <w:rPr>
                <w:b w:val="0"/>
                <w:sz w:val="16"/>
              </w:rPr>
              <w:t>dwell_ms</w:t>
            </w:r>
          </w:p>
        </w:tc>
        <w:tc>
          <w:tcPr>
            <w:tcW w:type="dxa" w:w="1440"/>
            <w:vAlign w:val="top"/>
          </w:tcPr>
          <w:p>
            <w:pPr>
              <w:spacing w:after="0"/>
            </w:pPr>
            <w:r/>
            <w:r>
              <w:rPr>
                <w:b w:val="0"/>
                <w:sz w:val="16"/>
              </w:rPr>
              <w:t>When applicable</w:t>
            </w:r>
          </w:p>
        </w:tc>
        <w:tc>
          <w:tcPr>
            <w:tcW w:type="dxa" w:w="6192"/>
            <w:vAlign w:val="top"/>
          </w:tcPr>
          <w:p>
            <w:pPr>
              <w:spacing w:after="0"/>
            </w:pPr>
            <w:r/>
            <w:r>
              <w:rPr>
                <w:b w:val="0"/>
                <w:sz w:val="16"/>
              </w:rPr>
              <w:t>For viewability/engagement.</w:t>
            </w:r>
          </w:p>
        </w:tc>
      </w:tr>
      <w:tr>
        <w:trPr>
          <w:cantSplit/>
        </w:trPr>
        <w:tc>
          <w:tcPr>
            <w:tcW w:type="dxa" w:w="2592"/>
            <w:vAlign w:val="top"/>
          </w:tcPr>
          <w:p>
            <w:pPr>
              <w:spacing w:after="0"/>
            </w:pPr>
            <w:r/>
            <w:r>
              <w:rPr>
                <w:b w:val="0"/>
                <w:sz w:val="16"/>
              </w:rPr>
              <w:t>interaction_type</w:t>
            </w:r>
          </w:p>
        </w:tc>
        <w:tc>
          <w:tcPr>
            <w:tcW w:type="dxa" w:w="1440"/>
            <w:vAlign w:val="top"/>
          </w:tcPr>
          <w:p>
            <w:pPr>
              <w:spacing w:after="0"/>
            </w:pPr>
            <w:r/>
            <w:r>
              <w:rPr>
                <w:b w:val="0"/>
                <w:sz w:val="16"/>
              </w:rPr>
              <w:t>When applicable</w:t>
            </w:r>
          </w:p>
        </w:tc>
        <w:tc>
          <w:tcPr>
            <w:tcW w:type="dxa" w:w="6192"/>
            <w:vAlign w:val="top"/>
          </w:tcPr>
          <w:p>
            <w:pPr>
              <w:spacing w:after="0"/>
            </w:pPr>
            <w:r/>
            <w:r>
              <w:rPr>
                <w:b w:val="0"/>
                <w:sz w:val="16"/>
              </w:rPr>
              <w:t>click, open, enter, pickup, start, complete.</w:t>
            </w:r>
          </w:p>
        </w:tc>
      </w:tr>
      <w:tr>
        <w:trPr>
          <w:cantSplit/>
        </w:trPr>
        <w:tc>
          <w:tcPr>
            <w:tcW w:type="dxa" w:w="2592"/>
            <w:vAlign w:val="top"/>
          </w:tcPr>
          <w:p>
            <w:pPr>
              <w:spacing w:after="0"/>
            </w:pPr>
            <w:r/>
            <w:r>
              <w:rPr>
                <w:b w:val="0"/>
                <w:sz w:val="16"/>
              </w:rPr>
              <w:t>metadata</w:t>
            </w:r>
          </w:p>
        </w:tc>
        <w:tc>
          <w:tcPr>
            <w:tcW w:type="dxa" w:w="1440"/>
            <w:vAlign w:val="top"/>
          </w:tcPr>
          <w:p>
            <w:pPr>
              <w:spacing w:after="0"/>
            </w:pPr>
            <w:r/>
            <w:r>
              <w:rPr>
                <w:b w:val="0"/>
                <w:sz w:val="16"/>
              </w:rPr>
              <w:t>Optional</w:t>
            </w:r>
          </w:p>
        </w:tc>
        <w:tc>
          <w:tcPr>
            <w:tcW w:type="dxa" w:w="6192"/>
            <w:vAlign w:val="top"/>
          </w:tcPr>
          <w:p>
            <w:pPr>
              <w:spacing w:after="0"/>
            </w:pPr>
            <w:r/>
            <w:r>
              <w:rPr>
                <w:b w:val="0"/>
                <w:sz w:val="16"/>
              </w:rPr>
              <w:t>Small versioned JSON payload.</w:t>
            </w:r>
          </w:p>
        </w:tc>
      </w:tr>
      <w:tr>
        <w:trPr>
          <w:cantSplit/>
        </w:trPr>
        <w:tc>
          <w:tcPr>
            <w:tcW w:type="dxa" w:w="2592"/>
            <w:vAlign w:val="top"/>
          </w:tcPr>
          <w:p>
            <w:pPr>
              <w:spacing w:after="0"/>
            </w:pPr>
            <w:r/>
            <w:r>
              <w:rPr>
                <w:b w:val="0"/>
                <w:sz w:val="16"/>
              </w:rPr>
              <w:t>signature/token context</w:t>
            </w:r>
          </w:p>
        </w:tc>
        <w:tc>
          <w:tcPr>
            <w:tcW w:type="dxa" w:w="1440"/>
            <w:vAlign w:val="top"/>
          </w:tcPr>
          <w:p>
            <w:pPr>
              <w:spacing w:after="0"/>
            </w:pPr>
            <w:r/>
            <w:r>
              <w:rPr>
                <w:b w:val="0"/>
                <w:sz w:val="16"/>
              </w:rPr>
              <w:t>Yes at transport level</w:t>
            </w:r>
          </w:p>
        </w:tc>
        <w:tc>
          <w:tcPr>
            <w:tcW w:type="dxa" w:w="6192"/>
            <w:vAlign w:val="top"/>
          </w:tcPr>
          <w:p>
            <w:pPr>
              <w:spacing w:after="0"/>
            </w:pPr>
            <w:r/>
            <w:r>
              <w:rPr>
                <w:b w:val="0"/>
                <w:sz w:val="16"/>
              </w:rPr>
              <w:t>Used to authenticate trusted client/service.</w:t>
            </w:r>
          </w:p>
        </w:tc>
      </w:tr>
    </w:tbl>
    <w:p/>
    <w:p>
      <w:pPr>
        <w:pStyle w:val="Heading1"/>
      </w:pPr>
      <w:r>
        <w:t>30. Phase 4 Database Additions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2880"/>
            <w:shd w:fill="1F4E79"/>
            <w:vAlign w:val="center"/>
          </w:tcPr>
          <w:p>
            <w:pPr>
              <w:spacing w:after="0"/>
            </w:pPr>
            <w:r/>
            <w:r>
              <w:rPr>
                <w:b/>
                <w:color w:val="FFFFFF"/>
                <w:sz w:val="16"/>
              </w:rPr>
              <w:t>Table</w:t>
            </w:r>
          </w:p>
        </w:tc>
        <w:tc>
          <w:tcPr>
            <w:tcW w:type="dxa" w:w="5040"/>
            <w:shd w:fill="1F4E79"/>
            <w:vAlign w:val="center"/>
          </w:tcPr>
          <w:p>
            <w:pPr>
              <w:spacing w:after="0"/>
            </w:pPr>
            <w:r/>
            <w:r>
              <w:rPr>
                <w:b/>
                <w:color w:val="FFFFFF"/>
                <w:sz w:val="16"/>
              </w:rPr>
              <w:t>Key Fields</w:t>
            </w:r>
          </w:p>
        </w:tc>
        <w:tc>
          <w:tcPr>
            <w:tcW w:type="dxa" w:w="2448"/>
            <w:shd w:fill="1F4E79"/>
            <w:vAlign w:val="center"/>
          </w:tcPr>
          <w:p>
            <w:pPr>
              <w:spacing w:after="0"/>
            </w:pPr>
            <w:r/>
            <w:r>
              <w:rPr>
                <w:b/>
                <w:color w:val="FFFFFF"/>
                <w:sz w:val="16"/>
              </w:rPr>
              <w:t>Purpose</w:t>
            </w:r>
          </w:p>
        </w:tc>
      </w:tr>
      <w:tr>
        <w:trPr>
          <w:cantSplit/>
        </w:trPr>
        <w:tc>
          <w:tcPr>
            <w:tcW w:type="dxa" w:w="2880"/>
            <w:vAlign w:val="top"/>
          </w:tcPr>
          <w:p>
            <w:pPr>
              <w:spacing w:after="0"/>
            </w:pPr>
            <w:r/>
            <w:r>
              <w:rPr>
                <w:b w:val="0"/>
                <w:sz w:val="16"/>
              </w:rPr>
              <w:t>infinex_worlds</w:t>
            </w:r>
          </w:p>
        </w:tc>
        <w:tc>
          <w:tcPr>
            <w:tcW w:type="dxa" w:w="5040"/>
            <w:vAlign w:val="top"/>
          </w:tcPr>
          <w:p>
            <w:pPr>
              <w:spacing w:after="0"/>
            </w:pPr>
            <w:r/>
            <w:r>
              <w:rPr>
                <w:b w:val="0"/>
                <w:sz w:val="16"/>
              </w:rPr>
              <w:t>id, tenant_id, external_world_id, name, environment, version, status</w:t>
            </w:r>
          </w:p>
        </w:tc>
        <w:tc>
          <w:tcPr>
            <w:tcW w:type="dxa" w:w="2448"/>
            <w:vAlign w:val="top"/>
          </w:tcPr>
          <w:p>
            <w:pPr>
              <w:spacing w:after="0"/>
            </w:pPr>
            <w:r/>
            <w:r>
              <w:rPr>
                <w:b w:val="0"/>
                <w:sz w:val="16"/>
              </w:rPr>
              <w:t>World registry.</w:t>
            </w:r>
          </w:p>
        </w:tc>
      </w:tr>
      <w:tr>
        <w:trPr>
          <w:cantSplit/>
        </w:trPr>
        <w:tc>
          <w:tcPr>
            <w:tcW w:type="dxa" w:w="2880"/>
            <w:vAlign w:val="top"/>
          </w:tcPr>
          <w:p>
            <w:pPr>
              <w:spacing w:after="0"/>
            </w:pPr>
            <w:r/>
            <w:r>
              <w:rPr>
                <w:b w:val="0"/>
                <w:sz w:val="16"/>
              </w:rPr>
              <w:t>infinex_zones</w:t>
            </w:r>
          </w:p>
        </w:tc>
        <w:tc>
          <w:tcPr>
            <w:tcW w:type="dxa" w:w="5040"/>
            <w:vAlign w:val="top"/>
          </w:tcPr>
          <w:p>
            <w:pPr>
              <w:spacing w:after="0"/>
            </w:pPr>
            <w:r/>
            <w:r>
              <w:rPr>
                <w:b w:val="0"/>
                <w:sz w:val="16"/>
              </w:rPr>
              <w:t>id, world_id, external_zone_id, type, name</w:t>
            </w:r>
          </w:p>
        </w:tc>
        <w:tc>
          <w:tcPr>
            <w:tcW w:type="dxa" w:w="2448"/>
            <w:vAlign w:val="top"/>
          </w:tcPr>
          <w:p>
            <w:pPr>
              <w:spacing w:after="0"/>
            </w:pPr>
            <w:r/>
            <w:r>
              <w:rPr>
                <w:b w:val="0"/>
                <w:sz w:val="16"/>
              </w:rPr>
              <w:t>District/venue/zone mapping.</w:t>
            </w:r>
          </w:p>
        </w:tc>
      </w:tr>
      <w:tr>
        <w:trPr>
          <w:cantSplit/>
        </w:trPr>
        <w:tc>
          <w:tcPr>
            <w:tcW w:type="dxa" w:w="2880"/>
            <w:vAlign w:val="top"/>
          </w:tcPr>
          <w:p>
            <w:pPr>
              <w:spacing w:after="0"/>
            </w:pPr>
            <w:r/>
            <w:r>
              <w:rPr>
                <w:b w:val="0"/>
                <w:sz w:val="16"/>
              </w:rPr>
              <w:t>virtual_placements</w:t>
            </w:r>
          </w:p>
        </w:tc>
        <w:tc>
          <w:tcPr>
            <w:tcW w:type="dxa" w:w="5040"/>
            <w:vAlign w:val="top"/>
          </w:tcPr>
          <w:p>
            <w:pPr>
              <w:spacing w:after="0"/>
            </w:pPr>
            <w:r/>
            <w:r>
              <w:rPr>
                <w:b w:val="0"/>
                <w:sz w:val="16"/>
              </w:rPr>
              <w:t>id, zone_id, external_placement_id, type, specs_json, viewability_rule_id, status</w:t>
            </w:r>
          </w:p>
        </w:tc>
        <w:tc>
          <w:tcPr>
            <w:tcW w:type="dxa" w:w="2448"/>
            <w:vAlign w:val="top"/>
          </w:tcPr>
          <w:p>
            <w:pPr>
              <w:spacing w:after="0"/>
            </w:pPr>
            <w:r/>
            <w:r>
              <w:rPr>
                <w:b w:val="0"/>
                <w:sz w:val="16"/>
              </w:rPr>
              <w:t>Virtual inventory surface.</w:t>
            </w:r>
          </w:p>
        </w:tc>
      </w:tr>
      <w:tr>
        <w:trPr>
          <w:cantSplit/>
        </w:trPr>
        <w:tc>
          <w:tcPr>
            <w:tcW w:type="dxa" w:w="2880"/>
            <w:vAlign w:val="top"/>
          </w:tcPr>
          <w:p>
            <w:pPr>
              <w:spacing w:after="0"/>
            </w:pPr>
            <w:r/>
            <w:r>
              <w:rPr>
                <w:b w:val="0"/>
                <w:sz w:val="16"/>
              </w:rPr>
              <w:t>placement_availability</w:t>
            </w:r>
          </w:p>
        </w:tc>
        <w:tc>
          <w:tcPr>
            <w:tcW w:type="dxa" w:w="5040"/>
            <w:vAlign w:val="top"/>
          </w:tcPr>
          <w:p>
            <w:pPr>
              <w:spacing w:after="0"/>
            </w:pPr>
            <w:r/>
            <w:r>
              <w:rPr>
                <w:b w:val="0"/>
                <w:sz w:val="16"/>
              </w:rPr>
              <w:t>placement_id, start/end, capacity, status</w:t>
            </w:r>
          </w:p>
        </w:tc>
        <w:tc>
          <w:tcPr>
            <w:tcW w:type="dxa" w:w="2448"/>
            <w:vAlign w:val="top"/>
          </w:tcPr>
          <w:p>
            <w:pPr>
              <w:spacing w:after="0"/>
            </w:pPr>
            <w:r/>
            <w:r>
              <w:rPr>
                <w:b w:val="0"/>
                <w:sz w:val="16"/>
              </w:rPr>
              <w:t>Sellable time windows.</w:t>
            </w:r>
          </w:p>
        </w:tc>
      </w:tr>
      <w:tr>
        <w:trPr>
          <w:cantSplit/>
        </w:trPr>
        <w:tc>
          <w:tcPr>
            <w:tcW w:type="dxa" w:w="2880"/>
            <w:vAlign w:val="top"/>
          </w:tcPr>
          <w:p>
            <w:pPr>
              <w:spacing w:after="0"/>
            </w:pPr>
            <w:r/>
            <w:r>
              <w:rPr>
                <w:b w:val="0"/>
                <w:sz w:val="16"/>
              </w:rPr>
              <w:t>creative_deployments</w:t>
            </w:r>
          </w:p>
        </w:tc>
        <w:tc>
          <w:tcPr>
            <w:tcW w:type="dxa" w:w="5040"/>
            <w:vAlign w:val="top"/>
          </w:tcPr>
          <w:p>
            <w:pPr>
              <w:spacing w:after="0"/>
            </w:pPr>
            <w:r/>
            <w:r>
              <w:rPr>
                <w:b w:val="0"/>
                <w:sz w:val="16"/>
              </w:rPr>
              <w:t>id, campaign_id, placement_id, asset_id, version, start/end, status</w:t>
            </w:r>
          </w:p>
        </w:tc>
        <w:tc>
          <w:tcPr>
            <w:tcW w:type="dxa" w:w="2448"/>
            <w:vAlign w:val="top"/>
          </w:tcPr>
          <w:p>
            <w:pPr>
              <w:spacing w:after="0"/>
            </w:pPr>
            <w:r/>
            <w:r>
              <w:rPr>
                <w:b w:val="0"/>
                <w:sz w:val="16"/>
              </w:rPr>
              <w:t>Scheduled creative.</w:t>
            </w:r>
          </w:p>
        </w:tc>
      </w:tr>
      <w:tr>
        <w:trPr>
          <w:cantSplit/>
        </w:trPr>
        <w:tc>
          <w:tcPr>
            <w:tcW w:type="dxa" w:w="2880"/>
            <w:vAlign w:val="top"/>
          </w:tcPr>
          <w:p>
            <w:pPr>
              <w:spacing w:after="0"/>
            </w:pPr>
            <w:r/>
            <w:r>
              <w:rPr>
                <w:b w:val="0"/>
                <w:sz w:val="16"/>
              </w:rPr>
              <w:t>activation_definitions</w:t>
            </w:r>
          </w:p>
        </w:tc>
        <w:tc>
          <w:tcPr>
            <w:tcW w:type="dxa" w:w="5040"/>
            <w:vAlign w:val="top"/>
          </w:tcPr>
          <w:p>
            <w:pPr>
              <w:spacing w:after="0"/>
            </w:pPr>
            <w:r/>
            <w:r>
              <w:rPr>
                <w:b w:val="0"/>
                <w:sz w:val="16"/>
              </w:rPr>
              <w:t>id, campaign_id, world/zone, type, rules_json, reward_id, status</w:t>
            </w:r>
          </w:p>
        </w:tc>
        <w:tc>
          <w:tcPr>
            <w:tcW w:type="dxa" w:w="2448"/>
            <w:vAlign w:val="top"/>
          </w:tcPr>
          <w:p>
            <w:pPr>
              <w:spacing w:after="0"/>
            </w:pPr>
            <w:r/>
            <w:r>
              <w:rPr>
                <w:b w:val="0"/>
                <w:sz w:val="16"/>
              </w:rPr>
              <w:t>Quest/challenge rules.</w:t>
            </w:r>
          </w:p>
        </w:tc>
      </w:tr>
      <w:tr>
        <w:trPr>
          <w:cantSplit/>
        </w:trPr>
        <w:tc>
          <w:tcPr>
            <w:tcW w:type="dxa" w:w="2880"/>
            <w:vAlign w:val="top"/>
          </w:tcPr>
          <w:p>
            <w:pPr>
              <w:spacing w:after="0"/>
            </w:pPr>
            <w:r/>
            <w:r>
              <w:rPr>
                <w:b w:val="0"/>
                <w:sz w:val="16"/>
              </w:rPr>
              <w:t>virtual_event_raw</w:t>
            </w:r>
          </w:p>
        </w:tc>
        <w:tc>
          <w:tcPr>
            <w:tcW w:type="dxa" w:w="5040"/>
            <w:vAlign w:val="top"/>
          </w:tcPr>
          <w:p>
            <w:pPr>
              <w:spacing w:after="0"/>
            </w:pPr>
            <w:r/>
            <w:r>
              <w:rPr>
                <w:b w:val="0"/>
                <w:sz w:val="16"/>
              </w:rPr>
              <w:t>event_id, event_type, world/zone/placement/campaign, session, occurred_at, metadata</w:t>
            </w:r>
          </w:p>
        </w:tc>
        <w:tc>
          <w:tcPr>
            <w:tcW w:type="dxa" w:w="2448"/>
            <w:vAlign w:val="top"/>
          </w:tcPr>
          <w:p>
            <w:pPr>
              <w:spacing w:after="0"/>
            </w:pPr>
            <w:r/>
            <w:r>
              <w:rPr>
                <w:b w:val="0"/>
                <w:sz w:val="16"/>
              </w:rPr>
              <w:t>Raw telemetry.</w:t>
            </w:r>
          </w:p>
        </w:tc>
      </w:tr>
      <w:tr>
        <w:trPr>
          <w:cantSplit/>
        </w:trPr>
        <w:tc>
          <w:tcPr>
            <w:tcW w:type="dxa" w:w="2880"/>
            <w:vAlign w:val="top"/>
          </w:tcPr>
          <w:p>
            <w:pPr>
              <w:spacing w:after="0"/>
            </w:pPr>
            <w:r/>
            <w:r>
              <w:rPr>
                <w:b w:val="0"/>
                <w:sz w:val="16"/>
              </w:rPr>
              <w:t>virtual_metric_aggregates</w:t>
            </w:r>
          </w:p>
        </w:tc>
        <w:tc>
          <w:tcPr>
            <w:tcW w:type="dxa" w:w="5040"/>
            <w:vAlign w:val="top"/>
          </w:tcPr>
          <w:p>
            <w:pPr>
              <w:spacing w:after="0"/>
            </w:pPr>
            <w:r/>
            <w:r>
              <w:rPr>
                <w:b w:val="0"/>
                <w:sz w:val="16"/>
              </w:rPr>
              <w:t>date/hour, dimensions, metric, value</w:t>
            </w:r>
          </w:p>
        </w:tc>
        <w:tc>
          <w:tcPr>
            <w:tcW w:type="dxa" w:w="2448"/>
            <w:vAlign w:val="top"/>
          </w:tcPr>
          <w:p>
            <w:pPr>
              <w:spacing w:after="0"/>
            </w:pPr>
            <w:r/>
            <w:r>
              <w:rPr>
                <w:b w:val="0"/>
                <w:sz w:val="16"/>
              </w:rPr>
              <w:t>Reporting aggregates.</w:t>
            </w:r>
          </w:p>
        </w:tc>
      </w:tr>
      <w:tr>
        <w:trPr>
          <w:cantSplit/>
        </w:trPr>
        <w:tc>
          <w:tcPr>
            <w:tcW w:type="dxa" w:w="2880"/>
            <w:vAlign w:val="top"/>
          </w:tcPr>
          <w:p>
            <w:pPr>
              <w:spacing w:after="0"/>
            </w:pPr>
            <w:r/>
            <w:r>
              <w:rPr>
                <w:b w:val="0"/>
                <w:sz w:val="16"/>
              </w:rPr>
              <w:t>viewability_rules</w:t>
            </w:r>
          </w:p>
        </w:tc>
        <w:tc>
          <w:tcPr>
            <w:tcW w:type="dxa" w:w="5040"/>
            <w:vAlign w:val="top"/>
          </w:tcPr>
          <w:p>
            <w:pPr>
              <w:spacing w:after="0"/>
            </w:pPr>
            <w:r/>
            <w:r>
              <w:rPr>
                <w:b w:val="0"/>
                <w:sz w:val="16"/>
              </w:rPr>
              <w:t>id, placement_type, min_visible_pct, min_dwell_ms, version</w:t>
            </w:r>
          </w:p>
        </w:tc>
        <w:tc>
          <w:tcPr>
            <w:tcW w:type="dxa" w:w="2448"/>
            <w:vAlign w:val="top"/>
          </w:tcPr>
          <w:p>
            <w:pPr>
              <w:spacing w:after="0"/>
            </w:pPr>
            <w:r/>
            <w:r>
              <w:rPr>
                <w:b w:val="0"/>
                <w:sz w:val="16"/>
              </w:rPr>
              <w:t>Impression qualification.</w:t>
            </w:r>
          </w:p>
        </w:tc>
      </w:tr>
      <w:tr>
        <w:trPr>
          <w:cantSplit/>
        </w:trPr>
        <w:tc>
          <w:tcPr>
            <w:tcW w:type="dxa" w:w="2880"/>
            <w:vAlign w:val="top"/>
          </w:tcPr>
          <w:p>
            <w:pPr>
              <w:spacing w:after="0"/>
            </w:pPr>
            <w:r/>
            <w:r>
              <w:rPr>
                <w:b w:val="0"/>
                <w:sz w:val="16"/>
              </w:rPr>
              <w:t>infinex_client_registry</w:t>
            </w:r>
          </w:p>
        </w:tc>
        <w:tc>
          <w:tcPr>
            <w:tcW w:type="dxa" w:w="5040"/>
            <w:vAlign w:val="top"/>
          </w:tcPr>
          <w:p>
            <w:pPr>
              <w:spacing w:after="0"/>
            </w:pPr>
            <w:r/>
            <w:r>
              <w:rPr>
                <w:b w:val="0"/>
                <w:sz w:val="16"/>
              </w:rPr>
              <w:t>id, world_id, client_key_ref, version, status, last_heartbeat</w:t>
            </w:r>
          </w:p>
        </w:tc>
        <w:tc>
          <w:tcPr>
            <w:tcW w:type="dxa" w:w="2448"/>
            <w:vAlign w:val="top"/>
          </w:tcPr>
          <w:p>
            <w:pPr>
              <w:spacing w:after="0"/>
            </w:pPr>
            <w:r/>
            <w:r>
              <w:rPr>
                <w:b w:val="0"/>
                <w:sz w:val="16"/>
              </w:rPr>
              <w:t>Trusted client/service.</w:t>
            </w:r>
          </w:p>
        </w:tc>
      </w:tr>
      <w:tr>
        <w:trPr>
          <w:cantSplit/>
        </w:trPr>
        <w:tc>
          <w:tcPr>
            <w:tcW w:type="dxa" w:w="2880"/>
            <w:vAlign w:val="top"/>
          </w:tcPr>
          <w:p>
            <w:pPr>
              <w:spacing w:after="0"/>
            </w:pPr>
            <w:r/>
            <w:r>
              <w:rPr>
                <w:b w:val="0"/>
                <w:sz w:val="16"/>
              </w:rPr>
              <w:t>deployment_incidents</w:t>
            </w:r>
          </w:p>
        </w:tc>
        <w:tc>
          <w:tcPr>
            <w:tcW w:type="dxa" w:w="5040"/>
            <w:vAlign w:val="top"/>
          </w:tcPr>
          <w:p>
            <w:pPr>
              <w:spacing w:after="0"/>
            </w:pPr>
            <w:r/>
            <w:r>
              <w:rPr>
                <w:b w:val="0"/>
                <w:sz w:val="16"/>
              </w:rPr>
              <w:t>id, deployment_id, type, severity, opened/closed, notes</w:t>
            </w:r>
          </w:p>
        </w:tc>
        <w:tc>
          <w:tcPr>
            <w:tcW w:type="dxa" w:w="2448"/>
            <w:vAlign w:val="top"/>
          </w:tcPr>
          <w:p>
            <w:pPr>
              <w:spacing w:after="0"/>
            </w:pPr>
            <w:r/>
            <w:r>
              <w:rPr>
                <w:b w:val="0"/>
                <w:sz w:val="16"/>
              </w:rPr>
              <w:t>Ops history.</w:t>
            </w:r>
          </w:p>
        </w:tc>
      </w:tr>
      <w:tr>
        <w:trPr>
          <w:cantSplit/>
        </w:trPr>
        <w:tc>
          <w:tcPr>
            <w:tcW w:type="dxa" w:w="2880"/>
            <w:vAlign w:val="top"/>
          </w:tcPr>
          <w:p>
            <w:pPr>
              <w:spacing w:after="0"/>
            </w:pPr>
            <w:r/>
            <w:r>
              <w:rPr>
                <w:b w:val="0"/>
                <w:sz w:val="16"/>
              </w:rPr>
              <w:t>world_traffic_benchmarks</w:t>
            </w:r>
          </w:p>
        </w:tc>
        <w:tc>
          <w:tcPr>
            <w:tcW w:type="dxa" w:w="5040"/>
            <w:vAlign w:val="top"/>
          </w:tcPr>
          <w:p>
            <w:pPr>
              <w:spacing w:after="0"/>
            </w:pPr>
            <w:r/>
            <w:r>
              <w:rPr>
                <w:b w:val="0"/>
                <w:sz w:val="16"/>
              </w:rPr>
              <w:t>world/zone/date, visits, dwell, interaction baselines</w:t>
            </w:r>
          </w:p>
        </w:tc>
        <w:tc>
          <w:tcPr>
            <w:tcW w:type="dxa" w:w="2448"/>
            <w:vAlign w:val="top"/>
          </w:tcPr>
          <w:p>
            <w:pPr>
              <w:spacing w:after="0"/>
            </w:pPr>
            <w:r/>
            <w:r>
              <w:rPr>
                <w:b w:val="0"/>
                <w:sz w:val="16"/>
              </w:rPr>
              <w:t>Pricing/forecast support.</w:t>
            </w:r>
          </w:p>
        </w:tc>
      </w:tr>
    </w:tbl>
    <w:p/>
    <w:p>
      <w:pPr>
        <w:pStyle w:val="Heading1"/>
      </w:pPr>
      <w:r>
        <w:t>31. Phase 4 Integrations</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312"/>
            <w:shd w:fill="1F4E79"/>
            <w:vAlign w:val="center"/>
          </w:tcPr>
          <w:p>
            <w:pPr>
              <w:spacing w:after="0"/>
            </w:pPr>
            <w:r/>
            <w:r>
              <w:rPr>
                <w:b/>
                <w:color w:val="FFFFFF"/>
                <w:sz w:val="16"/>
              </w:rPr>
              <w:t>Integration</w:t>
            </w:r>
          </w:p>
        </w:tc>
        <w:tc>
          <w:tcPr>
            <w:tcW w:type="dxa" w:w="1872"/>
            <w:shd w:fill="1F4E79"/>
            <w:vAlign w:val="center"/>
          </w:tcPr>
          <w:p>
            <w:pPr>
              <w:spacing w:after="0"/>
            </w:pPr>
            <w:r/>
            <w:r>
              <w:rPr>
                <w:b/>
                <w:color w:val="FFFFFF"/>
                <w:sz w:val="16"/>
              </w:rPr>
              <w:t>Priority</w:t>
            </w:r>
          </w:p>
        </w:tc>
        <w:tc>
          <w:tcPr>
            <w:tcW w:type="dxa" w:w="5328"/>
            <w:shd w:fill="1F4E79"/>
            <w:vAlign w:val="center"/>
          </w:tcPr>
          <w:p>
            <w:pPr>
              <w:spacing w:after="0"/>
            </w:pPr>
            <w:r/>
            <w:r>
              <w:rPr>
                <w:b/>
                <w:color w:val="FFFFFF"/>
                <w:sz w:val="16"/>
              </w:rPr>
              <w:t>Purpose</w:t>
            </w:r>
          </w:p>
        </w:tc>
      </w:tr>
      <w:tr>
        <w:trPr>
          <w:cantSplit/>
        </w:trPr>
        <w:tc>
          <w:tcPr>
            <w:tcW w:type="dxa" w:w="3312"/>
            <w:vAlign w:val="top"/>
          </w:tcPr>
          <w:p>
            <w:pPr>
              <w:spacing w:after="0"/>
            </w:pPr>
            <w:r/>
            <w:r>
              <w:rPr>
                <w:b w:val="0"/>
                <w:sz w:val="16"/>
              </w:rPr>
              <w:t>INFINEX Runtime / Game Engine</w:t>
            </w:r>
          </w:p>
        </w:tc>
        <w:tc>
          <w:tcPr>
            <w:tcW w:type="dxa" w:w="1872"/>
            <w:vAlign w:val="top"/>
          </w:tcPr>
          <w:p>
            <w:pPr>
              <w:spacing w:after="0"/>
            </w:pPr>
            <w:r/>
            <w:r>
              <w:rPr>
                <w:b w:val="0"/>
                <w:sz w:val="16"/>
              </w:rPr>
              <w:t>Required</w:t>
            </w:r>
          </w:p>
        </w:tc>
        <w:tc>
          <w:tcPr>
            <w:tcW w:type="dxa" w:w="5328"/>
            <w:vAlign w:val="top"/>
          </w:tcPr>
          <w:p>
            <w:pPr>
              <w:spacing w:after="0"/>
            </w:pPr>
            <w:r/>
            <w:r>
              <w:rPr>
                <w:b w:val="0"/>
                <w:sz w:val="16"/>
              </w:rPr>
              <w:t>Render placement manifests, emit telemetry, run activations, receive reward response.</w:t>
            </w:r>
          </w:p>
        </w:tc>
      </w:tr>
      <w:tr>
        <w:trPr>
          <w:cantSplit/>
        </w:trPr>
        <w:tc>
          <w:tcPr>
            <w:tcW w:type="dxa" w:w="3312"/>
            <w:vAlign w:val="top"/>
          </w:tcPr>
          <w:p>
            <w:pPr>
              <w:spacing w:after="0"/>
            </w:pPr>
            <w:r/>
            <w:r>
              <w:rPr>
                <w:b w:val="0"/>
                <w:sz w:val="16"/>
              </w:rPr>
              <w:t>SponsorX Asset CDN</w:t>
            </w:r>
          </w:p>
        </w:tc>
        <w:tc>
          <w:tcPr>
            <w:tcW w:type="dxa" w:w="1872"/>
            <w:vAlign w:val="top"/>
          </w:tcPr>
          <w:p>
            <w:pPr>
              <w:spacing w:after="0"/>
            </w:pPr>
            <w:r/>
            <w:r>
              <w:rPr>
                <w:b w:val="0"/>
                <w:sz w:val="16"/>
              </w:rPr>
              <w:t>Required</w:t>
            </w:r>
          </w:p>
        </w:tc>
        <w:tc>
          <w:tcPr>
            <w:tcW w:type="dxa" w:w="5328"/>
            <w:vAlign w:val="top"/>
          </w:tcPr>
          <w:p>
            <w:pPr>
              <w:spacing w:after="0"/>
            </w:pPr>
            <w:r/>
            <w:r>
              <w:rPr>
                <w:b w:val="0"/>
                <w:sz w:val="16"/>
              </w:rPr>
              <w:t>Fast signed delivery of approved creative.</w:t>
            </w:r>
          </w:p>
        </w:tc>
      </w:tr>
      <w:tr>
        <w:trPr>
          <w:cantSplit/>
        </w:trPr>
        <w:tc>
          <w:tcPr>
            <w:tcW w:type="dxa" w:w="3312"/>
            <w:vAlign w:val="top"/>
          </w:tcPr>
          <w:p>
            <w:pPr>
              <w:spacing w:after="0"/>
            </w:pPr>
            <w:r/>
            <w:r>
              <w:rPr>
                <w:b w:val="0"/>
                <w:sz w:val="16"/>
              </w:rPr>
              <w:t>Event Streaming / Queue</w:t>
            </w:r>
          </w:p>
        </w:tc>
        <w:tc>
          <w:tcPr>
            <w:tcW w:type="dxa" w:w="1872"/>
            <w:vAlign w:val="top"/>
          </w:tcPr>
          <w:p>
            <w:pPr>
              <w:spacing w:after="0"/>
            </w:pPr>
            <w:r/>
            <w:r>
              <w:rPr>
                <w:b w:val="0"/>
                <w:sz w:val="16"/>
              </w:rPr>
              <w:t>Required</w:t>
            </w:r>
          </w:p>
        </w:tc>
        <w:tc>
          <w:tcPr>
            <w:tcW w:type="dxa" w:w="5328"/>
            <w:vAlign w:val="top"/>
          </w:tcPr>
          <w:p>
            <w:pPr>
              <w:spacing w:after="0"/>
            </w:pPr>
            <w:r/>
            <w:r>
              <w:rPr>
                <w:b w:val="0"/>
                <w:sz w:val="16"/>
              </w:rPr>
              <w:t>Reliable high-volume telemetry ingestion and buffering.</w:t>
            </w:r>
          </w:p>
        </w:tc>
      </w:tr>
      <w:tr>
        <w:trPr>
          <w:cantSplit/>
        </w:trPr>
        <w:tc>
          <w:tcPr>
            <w:tcW w:type="dxa" w:w="3312"/>
            <w:vAlign w:val="top"/>
          </w:tcPr>
          <w:p>
            <w:pPr>
              <w:spacing w:after="0"/>
            </w:pPr>
            <w:r/>
            <w:r>
              <w:rPr>
                <w:b w:val="0"/>
                <w:sz w:val="16"/>
              </w:rPr>
              <w:t>Analytics Warehouse</w:t>
            </w:r>
          </w:p>
        </w:tc>
        <w:tc>
          <w:tcPr>
            <w:tcW w:type="dxa" w:w="1872"/>
            <w:vAlign w:val="top"/>
          </w:tcPr>
          <w:p>
            <w:pPr>
              <w:spacing w:after="0"/>
            </w:pPr>
            <w:r/>
            <w:r>
              <w:rPr>
                <w:b w:val="0"/>
                <w:sz w:val="16"/>
              </w:rPr>
              <w:t>Required</w:t>
            </w:r>
          </w:p>
        </w:tc>
        <w:tc>
          <w:tcPr>
            <w:tcW w:type="dxa" w:w="5328"/>
            <w:vAlign w:val="top"/>
          </w:tcPr>
          <w:p>
            <w:pPr>
              <w:spacing w:after="0"/>
            </w:pPr>
            <w:r/>
            <w:r>
              <w:rPr>
                <w:b w:val="0"/>
                <w:sz w:val="16"/>
              </w:rPr>
              <w:t>Virtual event aggregation and cross-channel reporting.</w:t>
            </w:r>
          </w:p>
        </w:tc>
      </w:tr>
      <w:tr>
        <w:trPr>
          <w:cantSplit/>
        </w:trPr>
        <w:tc>
          <w:tcPr>
            <w:tcW w:type="dxa" w:w="3312"/>
            <w:vAlign w:val="top"/>
          </w:tcPr>
          <w:p>
            <w:pPr>
              <w:spacing w:after="0"/>
            </w:pPr>
            <w:r/>
            <w:r>
              <w:rPr>
                <w:b w:val="0"/>
                <w:sz w:val="16"/>
              </w:rPr>
              <w:t>Reward/Wallet Service</w:t>
            </w:r>
          </w:p>
        </w:tc>
        <w:tc>
          <w:tcPr>
            <w:tcW w:type="dxa" w:w="1872"/>
            <w:vAlign w:val="top"/>
          </w:tcPr>
          <w:p>
            <w:pPr>
              <w:spacing w:after="0"/>
            </w:pPr>
            <w:r/>
            <w:r>
              <w:rPr>
                <w:b w:val="0"/>
                <w:sz w:val="16"/>
              </w:rPr>
              <w:t>Existing</w:t>
            </w:r>
          </w:p>
        </w:tc>
        <w:tc>
          <w:tcPr>
            <w:tcW w:type="dxa" w:w="5328"/>
            <w:vAlign w:val="top"/>
          </w:tcPr>
          <w:p>
            <w:pPr>
              <w:spacing w:after="0"/>
            </w:pPr>
            <w:r/>
            <w:r>
              <w:rPr>
                <w:b w:val="0"/>
                <w:sz w:val="16"/>
              </w:rPr>
              <w:t>Issue fan rewards from in-world actions.</w:t>
            </w:r>
          </w:p>
        </w:tc>
      </w:tr>
      <w:tr>
        <w:trPr>
          <w:cantSplit/>
        </w:trPr>
        <w:tc>
          <w:tcPr>
            <w:tcW w:type="dxa" w:w="3312"/>
            <w:vAlign w:val="top"/>
          </w:tcPr>
          <w:p>
            <w:pPr>
              <w:spacing w:after="0"/>
            </w:pPr>
            <w:r/>
            <w:r>
              <w:rPr>
                <w:b w:val="0"/>
                <w:sz w:val="16"/>
              </w:rPr>
              <w:t>Authentication / Identity</w:t>
            </w:r>
          </w:p>
        </w:tc>
        <w:tc>
          <w:tcPr>
            <w:tcW w:type="dxa" w:w="1872"/>
            <w:vAlign w:val="top"/>
          </w:tcPr>
          <w:p>
            <w:pPr>
              <w:spacing w:after="0"/>
            </w:pPr>
            <w:r/>
            <w:r>
              <w:rPr>
                <w:b w:val="0"/>
                <w:sz w:val="16"/>
              </w:rPr>
              <w:t>Required</w:t>
            </w:r>
          </w:p>
        </w:tc>
        <w:tc>
          <w:tcPr>
            <w:tcW w:type="dxa" w:w="5328"/>
            <w:vAlign w:val="top"/>
          </w:tcPr>
          <w:p>
            <w:pPr>
              <w:spacing w:after="0"/>
            </w:pPr>
            <w:r/>
            <w:r>
              <w:rPr>
                <w:b w:val="0"/>
                <w:sz w:val="16"/>
              </w:rPr>
              <w:t>Session/token model for trusted client and optional authenticated users.</w:t>
            </w:r>
          </w:p>
        </w:tc>
      </w:tr>
      <w:tr>
        <w:trPr>
          <w:cantSplit/>
        </w:trPr>
        <w:tc>
          <w:tcPr>
            <w:tcW w:type="dxa" w:w="3312"/>
            <w:vAlign w:val="top"/>
          </w:tcPr>
          <w:p>
            <w:pPr>
              <w:spacing w:after="0"/>
            </w:pPr>
            <w:r/>
            <w:r>
              <w:rPr>
                <w:b w:val="0"/>
                <w:sz w:val="16"/>
              </w:rPr>
              <w:t>Observability</w:t>
            </w:r>
          </w:p>
        </w:tc>
        <w:tc>
          <w:tcPr>
            <w:tcW w:type="dxa" w:w="1872"/>
            <w:vAlign w:val="top"/>
          </w:tcPr>
          <w:p>
            <w:pPr>
              <w:spacing w:after="0"/>
            </w:pPr>
            <w:r/>
            <w:r>
              <w:rPr>
                <w:b w:val="0"/>
                <w:sz w:val="16"/>
              </w:rPr>
              <w:t>Required</w:t>
            </w:r>
          </w:p>
        </w:tc>
        <w:tc>
          <w:tcPr>
            <w:tcW w:type="dxa" w:w="5328"/>
            <w:vAlign w:val="top"/>
          </w:tcPr>
          <w:p>
            <w:pPr>
              <w:spacing w:after="0"/>
            </w:pPr>
            <w:r/>
            <w:r>
              <w:rPr>
                <w:b w:val="0"/>
                <w:sz w:val="16"/>
              </w:rPr>
              <w:t>Client heartbeat, event lag, deployment errors, schema mismatch, alerting.</w:t>
            </w:r>
          </w:p>
        </w:tc>
      </w:tr>
      <w:tr>
        <w:trPr>
          <w:cantSplit/>
        </w:trPr>
        <w:tc>
          <w:tcPr>
            <w:tcW w:type="dxa" w:w="3312"/>
            <w:vAlign w:val="top"/>
          </w:tcPr>
          <w:p>
            <w:pPr>
              <w:spacing w:after="0"/>
            </w:pPr>
            <w:r/>
            <w:r>
              <w:rPr>
                <w:b w:val="0"/>
                <w:sz w:val="16"/>
              </w:rPr>
              <w:t>Zoho CRM</w:t>
            </w:r>
          </w:p>
        </w:tc>
        <w:tc>
          <w:tcPr>
            <w:tcW w:type="dxa" w:w="1872"/>
            <w:vAlign w:val="top"/>
          </w:tcPr>
          <w:p>
            <w:pPr>
              <w:spacing w:after="0"/>
            </w:pPr>
            <w:r/>
            <w:r>
              <w:rPr>
                <w:b w:val="0"/>
                <w:sz w:val="16"/>
              </w:rPr>
              <w:t>Optional extension</w:t>
            </w:r>
          </w:p>
        </w:tc>
        <w:tc>
          <w:tcPr>
            <w:tcW w:type="dxa" w:w="5328"/>
            <w:vAlign w:val="top"/>
          </w:tcPr>
          <w:p>
            <w:pPr>
              <w:spacing w:after="0"/>
            </w:pPr>
            <w:r/>
            <w:r>
              <w:rPr>
                <w:b w:val="0"/>
                <w:sz w:val="16"/>
              </w:rPr>
              <w:t>Include INFINEX inventory and results in sponsor renewal/opportunity context.</w:t>
            </w:r>
          </w:p>
        </w:tc>
      </w:tr>
      <w:tr>
        <w:trPr>
          <w:cantSplit/>
        </w:trPr>
        <w:tc>
          <w:tcPr>
            <w:tcW w:type="dxa" w:w="3312"/>
            <w:vAlign w:val="top"/>
          </w:tcPr>
          <w:p>
            <w:pPr>
              <w:spacing w:after="0"/>
            </w:pPr>
            <w:r/>
            <w:r>
              <w:rPr>
                <w:b w:val="0"/>
                <w:sz w:val="16"/>
              </w:rPr>
              <w:t>3D Content Pipeline</w:t>
            </w:r>
          </w:p>
        </w:tc>
        <w:tc>
          <w:tcPr>
            <w:tcW w:type="dxa" w:w="1872"/>
            <w:vAlign w:val="top"/>
          </w:tcPr>
          <w:p>
            <w:pPr>
              <w:spacing w:after="0"/>
            </w:pPr>
            <w:r/>
            <w:r>
              <w:rPr>
                <w:b w:val="0"/>
                <w:sz w:val="16"/>
              </w:rPr>
              <w:t>Depends on INFINEX stack</w:t>
            </w:r>
          </w:p>
        </w:tc>
        <w:tc>
          <w:tcPr>
            <w:tcW w:type="dxa" w:w="5328"/>
            <w:vAlign w:val="top"/>
          </w:tcPr>
          <w:p>
            <w:pPr>
              <w:spacing w:after="0"/>
            </w:pPr>
            <w:r/>
            <w:r>
              <w:rPr>
                <w:b w:val="0"/>
                <w:sz w:val="16"/>
              </w:rPr>
              <w:t>If branded assets require model/texture packaging, approval and versioning.</w:t>
            </w:r>
          </w:p>
        </w:tc>
      </w:tr>
    </w:tbl>
    <w:p/>
    <w:p>
      <w:pPr>
        <w:pStyle w:val="Heading1"/>
      </w:pPr>
      <w:r>
        <w:t>32. Phase 4 Virtual Pricing Model</w:t>
      </w:r>
    </w:p>
    <w:p>
      <w:r>
        <w:t>Virtual pricing should initially be transparent and rules-based. SponsorX can later train recommendations from actual traffic and sponsor demand.</w:t>
      </w:r>
    </w:p>
    <w:p>
      <w:r>
        <w:t>Recommended Virtual Rate = Base Placement Rate × Traffic Multiplier × Viewability × Dwell/Engagement × Scarcity × Exclusivity × Event/Seasonality × Brand Integration Depth</w:t>
      </w:r>
      <w:r>
        <w:br w:type="page"/>
      </w:r>
    </w:p>
    <w:tbl>
      <w:tblPr>
        <w:tblStyle w:val="TableGrid"/>
        <w:tblW w:type="auto" w:w="0"/>
        <w:jc w:val="center"/>
        <w:tblLook w:firstColumn="1" w:firstRow="1" w:lastColumn="0" w:lastRow="0" w:noHBand="0" w:noVBand="1" w:val="04A0"/>
      </w:tblPr>
      <w:tblGrid>
        <w:gridCol w:w="5184"/>
        <w:gridCol w:w="5184"/>
      </w:tblGrid>
      <w:tr>
        <w:trPr>
          <w:cantSplit/>
        </w:trPr>
        <w:tc>
          <w:tcPr>
            <w:tcW w:type="dxa" w:w="2880"/>
            <w:shd w:fill="1F4E79"/>
            <w:vAlign w:val="center"/>
          </w:tcPr>
          <w:p>
            <w:pPr>
              <w:spacing w:after="0"/>
            </w:pPr>
            <w:r/>
            <w:r>
              <w:rPr>
                <w:b/>
                <w:color w:val="FFFFFF"/>
                <w:sz w:val="16"/>
              </w:rPr>
              <w:t>Factor</w:t>
            </w:r>
          </w:p>
        </w:tc>
        <w:tc>
          <w:tcPr>
            <w:tcW w:type="dxa" w:w="7344"/>
            <w:shd w:fill="1F4E79"/>
            <w:vAlign w:val="center"/>
          </w:tcPr>
          <w:p>
            <w:pPr>
              <w:spacing w:after="0"/>
            </w:pPr>
            <w:r/>
            <w:r>
              <w:rPr>
                <w:b/>
                <w:color w:val="FFFFFF"/>
                <w:sz w:val="16"/>
              </w:rPr>
              <w:t>Example Inputs</w:t>
            </w:r>
          </w:p>
        </w:tc>
      </w:tr>
      <w:tr>
        <w:trPr>
          <w:cantSplit/>
        </w:trPr>
        <w:tc>
          <w:tcPr>
            <w:tcW w:type="dxa" w:w="2880"/>
            <w:vAlign w:val="top"/>
          </w:tcPr>
          <w:p>
            <w:pPr>
              <w:spacing w:after="0"/>
            </w:pPr>
            <w:r/>
            <w:r>
              <w:rPr>
                <w:b w:val="0"/>
                <w:sz w:val="16"/>
              </w:rPr>
              <w:t>Traffic</w:t>
            </w:r>
          </w:p>
        </w:tc>
        <w:tc>
          <w:tcPr>
            <w:tcW w:type="dxa" w:w="7344"/>
            <w:vAlign w:val="top"/>
          </w:tcPr>
          <w:p>
            <w:pPr>
              <w:spacing w:after="0"/>
            </w:pPr>
            <w:r/>
            <w:r>
              <w:rPr>
                <w:b w:val="0"/>
                <w:sz w:val="16"/>
              </w:rPr>
              <w:t>Average visits/session count for world/zone.</w:t>
            </w:r>
          </w:p>
        </w:tc>
      </w:tr>
      <w:tr>
        <w:trPr>
          <w:cantSplit/>
        </w:trPr>
        <w:tc>
          <w:tcPr>
            <w:tcW w:type="dxa" w:w="2880"/>
            <w:vAlign w:val="top"/>
          </w:tcPr>
          <w:p>
            <w:pPr>
              <w:spacing w:after="0"/>
            </w:pPr>
            <w:r/>
            <w:r>
              <w:rPr>
                <w:b w:val="0"/>
                <w:sz w:val="16"/>
              </w:rPr>
              <w:t>Viewability</w:t>
            </w:r>
          </w:p>
        </w:tc>
        <w:tc>
          <w:tcPr>
            <w:tcW w:type="dxa" w:w="7344"/>
            <w:vAlign w:val="top"/>
          </w:tcPr>
          <w:p>
            <w:pPr>
              <w:spacing w:after="0"/>
            </w:pPr>
            <w:r/>
            <w:r>
              <w:rPr>
                <w:b w:val="0"/>
                <w:sz w:val="16"/>
              </w:rPr>
              <w:t>Qualified viewable impression rate based on placement geometry/telemetry.</w:t>
            </w:r>
          </w:p>
        </w:tc>
      </w:tr>
      <w:tr>
        <w:trPr>
          <w:cantSplit/>
        </w:trPr>
        <w:tc>
          <w:tcPr>
            <w:tcW w:type="dxa" w:w="2880"/>
            <w:vAlign w:val="top"/>
          </w:tcPr>
          <w:p>
            <w:pPr>
              <w:spacing w:after="0"/>
            </w:pPr>
            <w:r/>
            <w:r>
              <w:rPr>
                <w:b w:val="0"/>
                <w:sz w:val="16"/>
              </w:rPr>
              <w:t>Dwell</w:t>
            </w:r>
          </w:p>
        </w:tc>
        <w:tc>
          <w:tcPr>
            <w:tcW w:type="dxa" w:w="7344"/>
            <w:vAlign w:val="top"/>
          </w:tcPr>
          <w:p>
            <w:pPr>
              <w:spacing w:after="0"/>
            </w:pPr>
            <w:r/>
            <w:r>
              <w:rPr>
                <w:b w:val="0"/>
                <w:sz w:val="16"/>
              </w:rPr>
              <w:t>Average seconds near or engaging with placement.</w:t>
            </w:r>
          </w:p>
        </w:tc>
      </w:tr>
      <w:tr>
        <w:trPr>
          <w:cantSplit/>
        </w:trPr>
        <w:tc>
          <w:tcPr>
            <w:tcW w:type="dxa" w:w="2880"/>
            <w:vAlign w:val="top"/>
          </w:tcPr>
          <w:p>
            <w:pPr>
              <w:spacing w:after="0"/>
            </w:pPr>
            <w:r/>
            <w:r>
              <w:rPr>
                <w:b w:val="0"/>
                <w:sz w:val="16"/>
              </w:rPr>
              <w:t>Scarcity</w:t>
            </w:r>
          </w:p>
        </w:tc>
        <w:tc>
          <w:tcPr>
            <w:tcW w:type="dxa" w:w="7344"/>
            <w:vAlign w:val="top"/>
          </w:tcPr>
          <w:p>
            <w:pPr>
              <w:spacing w:after="0"/>
            </w:pPr>
            <w:r/>
            <w:r>
              <w:rPr>
                <w:b w:val="0"/>
                <w:sz w:val="16"/>
              </w:rPr>
              <w:t>Number of comparable placements and sell-through.</w:t>
            </w:r>
          </w:p>
        </w:tc>
      </w:tr>
      <w:tr>
        <w:trPr>
          <w:cantSplit/>
        </w:trPr>
        <w:tc>
          <w:tcPr>
            <w:tcW w:type="dxa" w:w="2880"/>
            <w:vAlign w:val="top"/>
          </w:tcPr>
          <w:p>
            <w:pPr>
              <w:spacing w:after="0"/>
            </w:pPr>
            <w:r/>
            <w:r>
              <w:rPr>
                <w:b w:val="0"/>
                <w:sz w:val="16"/>
              </w:rPr>
              <w:t>Exclusivity</w:t>
            </w:r>
          </w:p>
        </w:tc>
        <w:tc>
          <w:tcPr>
            <w:tcW w:type="dxa" w:w="7344"/>
            <w:vAlign w:val="top"/>
          </w:tcPr>
          <w:p>
            <w:pPr>
              <w:spacing w:after="0"/>
            </w:pPr>
            <w:r/>
            <w:r>
              <w:rPr>
                <w:b w:val="0"/>
                <w:sz w:val="16"/>
              </w:rPr>
              <w:t>Category-exclusive takeover vs rotating/non-exclusive placement.</w:t>
            </w:r>
          </w:p>
        </w:tc>
      </w:tr>
      <w:tr>
        <w:trPr>
          <w:cantSplit/>
        </w:trPr>
        <w:tc>
          <w:tcPr>
            <w:tcW w:type="dxa" w:w="2880"/>
            <w:vAlign w:val="top"/>
          </w:tcPr>
          <w:p>
            <w:pPr>
              <w:spacing w:after="0"/>
            </w:pPr>
            <w:r/>
            <w:r>
              <w:rPr>
                <w:b w:val="0"/>
                <w:sz w:val="16"/>
              </w:rPr>
              <w:t>Seasonality</w:t>
            </w:r>
          </w:p>
        </w:tc>
        <w:tc>
          <w:tcPr>
            <w:tcW w:type="dxa" w:w="7344"/>
            <w:vAlign w:val="top"/>
          </w:tcPr>
          <w:p>
            <w:pPr>
              <w:spacing w:after="0"/>
            </w:pPr>
            <w:r/>
            <w:r>
              <w:rPr>
                <w:b w:val="0"/>
                <w:sz w:val="16"/>
              </w:rPr>
              <w:t>Major event, tournament, campaign launch, holiday, school season.</w:t>
            </w:r>
          </w:p>
        </w:tc>
      </w:tr>
      <w:tr>
        <w:trPr>
          <w:cantSplit/>
        </w:trPr>
        <w:tc>
          <w:tcPr>
            <w:tcW w:type="dxa" w:w="2880"/>
            <w:vAlign w:val="top"/>
          </w:tcPr>
          <w:p>
            <w:pPr>
              <w:spacing w:after="0"/>
            </w:pPr>
            <w:r/>
            <w:r>
              <w:rPr>
                <w:b w:val="0"/>
                <w:sz w:val="16"/>
              </w:rPr>
              <w:t>Integration Depth</w:t>
            </w:r>
          </w:p>
        </w:tc>
        <w:tc>
          <w:tcPr>
            <w:tcW w:type="dxa" w:w="7344"/>
            <w:vAlign w:val="top"/>
          </w:tcPr>
          <w:p>
            <w:pPr>
              <w:spacing w:after="0"/>
            </w:pPr>
            <w:r/>
            <w:r>
              <w:rPr>
                <w:b w:val="0"/>
                <w:sz w:val="16"/>
              </w:rPr>
              <w:t>Passive billboard vs named venue vs interactive branded challenge.</w:t>
            </w:r>
          </w:p>
        </w:tc>
      </w:tr>
      <w:tr>
        <w:trPr>
          <w:cantSplit/>
        </w:trPr>
        <w:tc>
          <w:tcPr>
            <w:tcW w:type="dxa" w:w="2880"/>
            <w:vAlign w:val="top"/>
          </w:tcPr>
          <w:p>
            <w:pPr>
              <w:spacing w:after="0"/>
            </w:pPr>
            <w:r/>
            <w:r>
              <w:rPr>
                <w:b w:val="0"/>
                <w:sz w:val="16"/>
              </w:rPr>
              <w:t>Cross-Channel Bundle</w:t>
            </w:r>
          </w:p>
        </w:tc>
        <w:tc>
          <w:tcPr>
            <w:tcW w:type="dxa" w:w="7344"/>
            <w:vAlign w:val="top"/>
          </w:tcPr>
          <w:p>
            <w:pPr>
              <w:spacing w:after="0"/>
            </w:pPr>
            <w:r/>
            <w:r>
              <w:rPr>
                <w:b w:val="0"/>
                <w:sz w:val="16"/>
              </w:rPr>
              <w:t>Discount/premium depending inclusion with social, event, iMC or athlete assets.</w:t>
            </w:r>
          </w:p>
        </w:tc>
      </w:tr>
    </w:tbl>
    <w:p/>
    <w:p>
      <w:pPr>
        <w:pStyle w:val="Heading1"/>
      </w:pPr>
      <w:r>
        <w:t>33. Phase 4 Sprint Plan</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1728"/>
            <w:shd w:fill="1F4E79"/>
            <w:vAlign w:val="center"/>
          </w:tcPr>
          <w:p>
            <w:pPr>
              <w:spacing w:after="0"/>
            </w:pPr>
            <w:r/>
            <w:r>
              <w:rPr>
                <w:b/>
                <w:color w:val="FFFFFF"/>
                <w:sz w:val="16"/>
              </w:rPr>
              <w:t>Sprint</w:t>
            </w:r>
          </w:p>
        </w:tc>
        <w:tc>
          <w:tcPr>
            <w:tcW w:type="dxa" w:w="1440"/>
            <w:shd w:fill="1F4E79"/>
            <w:vAlign w:val="center"/>
          </w:tcPr>
          <w:p>
            <w:pPr>
              <w:spacing w:after="0"/>
            </w:pPr>
            <w:r/>
            <w:r>
              <w:rPr>
                <w:b/>
                <w:color w:val="FFFFFF"/>
                <w:sz w:val="16"/>
              </w:rPr>
              <w:t>Duration</w:t>
            </w:r>
          </w:p>
        </w:tc>
        <w:tc>
          <w:tcPr>
            <w:tcW w:type="dxa" w:w="7344"/>
            <w:shd w:fill="1F4E79"/>
            <w:vAlign w:val="center"/>
          </w:tcPr>
          <w:p>
            <w:pPr>
              <w:spacing w:after="0"/>
            </w:pPr>
            <w:r/>
            <w:r>
              <w:rPr>
                <w:b/>
                <w:color w:val="FFFFFF"/>
                <w:sz w:val="16"/>
              </w:rPr>
              <w:t>Scope</w:t>
            </w:r>
          </w:p>
        </w:tc>
      </w:tr>
      <w:tr>
        <w:trPr>
          <w:cantSplit/>
        </w:trPr>
        <w:tc>
          <w:tcPr>
            <w:tcW w:type="dxa" w:w="1728"/>
            <w:vAlign w:val="top"/>
          </w:tcPr>
          <w:p>
            <w:pPr>
              <w:spacing w:after="0"/>
            </w:pPr>
            <w:r/>
            <w:r>
              <w:rPr>
                <w:b w:val="0"/>
                <w:sz w:val="16"/>
              </w:rPr>
              <w:t>Sprint 0</w:t>
            </w:r>
          </w:p>
        </w:tc>
        <w:tc>
          <w:tcPr>
            <w:tcW w:type="dxa" w:w="1440"/>
            <w:vAlign w:val="top"/>
          </w:tcPr>
          <w:p>
            <w:pPr>
              <w:spacing w:after="0"/>
            </w:pPr>
            <w:r/>
            <w:r>
              <w:rPr>
                <w:b w:val="0"/>
                <w:sz w:val="16"/>
              </w:rPr>
              <w:t>2 weeks</w:t>
            </w:r>
          </w:p>
        </w:tc>
        <w:tc>
          <w:tcPr>
            <w:tcW w:type="dxa" w:w="7344"/>
            <w:vAlign w:val="top"/>
          </w:tcPr>
          <w:p>
            <w:pPr>
              <w:spacing w:after="0"/>
            </w:pPr>
            <w:r/>
            <w:r>
              <w:rPr>
                <w:b w:val="0"/>
                <w:sz w:val="16"/>
              </w:rPr>
              <w:t>Confirm INFINEX runtime, identity model, telemetry volume assumptions, world/placement taxonomy, API contract.</w:t>
            </w:r>
          </w:p>
        </w:tc>
      </w:tr>
      <w:tr>
        <w:trPr>
          <w:cantSplit/>
        </w:trPr>
        <w:tc>
          <w:tcPr>
            <w:tcW w:type="dxa" w:w="1728"/>
            <w:vAlign w:val="top"/>
          </w:tcPr>
          <w:p>
            <w:pPr>
              <w:spacing w:after="0"/>
            </w:pPr>
            <w:r/>
            <w:r>
              <w:rPr>
                <w:b w:val="0"/>
                <w:sz w:val="16"/>
              </w:rPr>
              <w:t>Sprint 1</w:t>
            </w:r>
          </w:p>
        </w:tc>
        <w:tc>
          <w:tcPr>
            <w:tcW w:type="dxa" w:w="1440"/>
            <w:vAlign w:val="top"/>
          </w:tcPr>
          <w:p>
            <w:pPr>
              <w:spacing w:after="0"/>
            </w:pPr>
            <w:r/>
            <w:r>
              <w:rPr>
                <w:b w:val="0"/>
                <w:sz w:val="16"/>
              </w:rPr>
              <w:t>2 weeks</w:t>
            </w:r>
          </w:p>
        </w:tc>
        <w:tc>
          <w:tcPr>
            <w:tcW w:type="dxa" w:w="7344"/>
            <w:vAlign w:val="top"/>
          </w:tcPr>
          <w:p>
            <w:pPr>
              <w:spacing w:after="0"/>
            </w:pPr>
            <w:r/>
            <w:r>
              <w:rPr>
                <w:b w:val="0"/>
                <w:sz w:val="16"/>
              </w:rPr>
              <w:t>World/zone/placement registry, admin screens, inventory mapping.</w:t>
            </w:r>
          </w:p>
        </w:tc>
      </w:tr>
      <w:tr>
        <w:trPr>
          <w:cantSplit/>
        </w:trPr>
        <w:tc>
          <w:tcPr>
            <w:tcW w:type="dxa" w:w="1728"/>
            <w:vAlign w:val="top"/>
          </w:tcPr>
          <w:p>
            <w:pPr>
              <w:spacing w:after="0"/>
            </w:pPr>
            <w:r/>
            <w:r>
              <w:rPr>
                <w:b w:val="0"/>
                <w:sz w:val="16"/>
              </w:rPr>
              <w:t>Sprint 2</w:t>
            </w:r>
          </w:p>
        </w:tc>
        <w:tc>
          <w:tcPr>
            <w:tcW w:type="dxa" w:w="1440"/>
            <w:vAlign w:val="top"/>
          </w:tcPr>
          <w:p>
            <w:pPr>
              <w:spacing w:after="0"/>
            </w:pPr>
            <w:r/>
            <w:r>
              <w:rPr>
                <w:b w:val="0"/>
                <w:sz w:val="16"/>
              </w:rPr>
              <w:t>2 weeks</w:t>
            </w:r>
          </w:p>
        </w:tc>
        <w:tc>
          <w:tcPr>
            <w:tcW w:type="dxa" w:w="7344"/>
            <w:vAlign w:val="top"/>
          </w:tcPr>
          <w:p>
            <w:pPr>
              <w:spacing w:after="0"/>
            </w:pPr>
            <w:r/>
            <w:r>
              <w:rPr>
                <w:b w:val="0"/>
                <w:sz w:val="16"/>
              </w:rPr>
              <w:t>Placement manifest and creative deployment service, signed assets, staging tests.</w:t>
            </w:r>
          </w:p>
        </w:tc>
      </w:tr>
      <w:tr>
        <w:trPr>
          <w:cantSplit/>
        </w:trPr>
        <w:tc>
          <w:tcPr>
            <w:tcW w:type="dxa" w:w="1728"/>
            <w:vAlign w:val="top"/>
          </w:tcPr>
          <w:p>
            <w:pPr>
              <w:spacing w:after="0"/>
            </w:pPr>
            <w:r/>
            <w:r>
              <w:rPr>
                <w:b w:val="0"/>
                <w:sz w:val="16"/>
              </w:rPr>
              <w:t>Sprint 3</w:t>
            </w:r>
          </w:p>
        </w:tc>
        <w:tc>
          <w:tcPr>
            <w:tcW w:type="dxa" w:w="1440"/>
            <w:vAlign w:val="top"/>
          </w:tcPr>
          <w:p>
            <w:pPr>
              <w:spacing w:after="0"/>
            </w:pPr>
            <w:r/>
            <w:r>
              <w:rPr>
                <w:b w:val="0"/>
                <w:sz w:val="16"/>
              </w:rPr>
              <w:t>2 weeks</w:t>
            </w:r>
          </w:p>
        </w:tc>
        <w:tc>
          <w:tcPr>
            <w:tcW w:type="dxa" w:w="7344"/>
            <w:vAlign w:val="top"/>
          </w:tcPr>
          <w:p>
            <w:pPr>
              <w:spacing w:after="0"/>
            </w:pPr>
            <w:r/>
            <w:r>
              <w:rPr>
                <w:b w:val="0"/>
                <w:sz w:val="16"/>
              </w:rPr>
              <w:t>INFINEX client integration: manifest consumption, placement rendering hooks, heartbeat.</w:t>
            </w:r>
          </w:p>
        </w:tc>
      </w:tr>
      <w:tr>
        <w:trPr>
          <w:cantSplit/>
        </w:trPr>
        <w:tc>
          <w:tcPr>
            <w:tcW w:type="dxa" w:w="1728"/>
            <w:vAlign w:val="top"/>
          </w:tcPr>
          <w:p>
            <w:pPr>
              <w:spacing w:after="0"/>
            </w:pPr>
            <w:r/>
            <w:r>
              <w:rPr>
                <w:b w:val="0"/>
                <w:sz w:val="16"/>
              </w:rPr>
              <w:t>Sprint 4</w:t>
            </w:r>
          </w:p>
        </w:tc>
        <w:tc>
          <w:tcPr>
            <w:tcW w:type="dxa" w:w="1440"/>
            <w:vAlign w:val="top"/>
          </w:tcPr>
          <w:p>
            <w:pPr>
              <w:spacing w:after="0"/>
            </w:pPr>
            <w:r/>
            <w:r>
              <w:rPr>
                <w:b w:val="0"/>
                <w:sz w:val="16"/>
              </w:rPr>
              <w:t>2 weeks</w:t>
            </w:r>
          </w:p>
        </w:tc>
        <w:tc>
          <w:tcPr>
            <w:tcW w:type="dxa" w:w="7344"/>
            <w:vAlign w:val="top"/>
          </w:tcPr>
          <w:p>
            <w:pPr>
              <w:spacing w:after="0"/>
            </w:pPr>
            <w:r/>
            <w:r>
              <w:rPr>
                <w:b w:val="0"/>
                <w:sz w:val="16"/>
              </w:rPr>
              <w:t>Telemetry event SDK/service, batch ingestion, raw event storage, de-duplication.</w:t>
            </w:r>
          </w:p>
        </w:tc>
      </w:tr>
      <w:tr>
        <w:trPr>
          <w:cantSplit/>
        </w:trPr>
        <w:tc>
          <w:tcPr>
            <w:tcW w:type="dxa" w:w="1728"/>
            <w:vAlign w:val="top"/>
          </w:tcPr>
          <w:p>
            <w:pPr>
              <w:spacing w:after="0"/>
            </w:pPr>
            <w:r/>
            <w:r>
              <w:rPr>
                <w:b w:val="0"/>
                <w:sz w:val="16"/>
              </w:rPr>
              <w:t>Sprint 5</w:t>
            </w:r>
          </w:p>
        </w:tc>
        <w:tc>
          <w:tcPr>
            <w:tcW w:type="dxa" w:w="1440"/>
            <w:vAlign w:val="top"/>
          </w:tcPr>
          <w:p>
            <w:pPr>
              <w:spacing w:after="0"/>
            </w:pPr>
            <w:r/>
            <w:r>
              <w:rPr>
                <w:b w:val="0"/>
                <w:sz w:val="16"/>
              </w:rPr>
              <w:t>2 weeks</w:t>
            </w:r>
          </w:p>
        </w:tc>
        <w:tc>
          <w:tcPr>
            <w:tcW w:type="dxa" w:w="7344"/>
            <w:vAlign w:val="top"/>
          </w:tcPr>
          <w:p>
            <w:pPr>
              <w:spacing w:after="0"/>
            </w:pPr>
            <w:r/>
            <w:r>
              <w:rPr>
                <w:b w:val="0"/>
                <w:sz w:val="16"/>
              </w:rPr>
              <w:t>Viewability qualification, aggregates, virtual metrics dashboard.</w:t>
            </w:r>
          </w:p>
        </w:tc>
      </w:tr>
      <w:tr>
        <w:trPr>
          <w:cantSplit/>
        </w:trPr>
        <w:tc>
          <w:tcPr>
            <w:tcW w:type="dxa" w:w="1728"/>
            <w:vAlign w:val="top"/>
          </w:tcPr>
          <w:p>
            <w:pPr>
              <w:spacing w:after="0"/>
            </w:pPr>
            <w:r/>
            <w:r>
              <w:rPr>
                <w:b w:val="0"/>
                <w:sz w:val="16"/>
              </w:rPr>
              <w:t>Sprint 6</w:t>
            </w:r>
          </w:p>
        </w:tc>
        <w:tc>
          <w:tcPr>
            <w:tcW w:type="dxa" w:w="1440"/>
            <w:vAlign w:val="top"/>
          </w:tcPr>
          <w:p>
            <w:pPr>
              <w:spacing w:after="0"/>
            </w:pPr>
            <w:r/>
            <w:r>
              <w:rPr>
                <w:b w:val="0"/>
                <w:sz w:val="16"/>
              </w:rPr>
              <w:t>2 weeks</w:t>
            </w:r>
          </w:p>
        </w:tc>
        <w:tc>
          <w:tcPr>
            <w:tcW w:type="dxa" w:w="7344"/>
            <w:vAlign w:val="top"/>
          </w:tcPr>
          <w:p>
            <w:pPr>
              <w:spacing w:after="0"/>
            </w:pPr>
            <w:r/>
            <w:r>
              <w:rPr>
                <w:b w:val="0"/>
                <w:sz w:val="16"/>
              </w:rPr>
              <w:t>Activation builder, start/complete flow, reward trigger integration.</w:t>
            </w:r>
          </w:p>
        </w:tc>
      </w:tr>
      <w:tr>
        <w:trPr>
          <w:cantSplit/>
        </w:trPr>
        <w:tc>
          <w:tcPr>
            <w:tcW w:type="dxa" w:w="1728"/>
            <w:vAlign w:val="top"/>
          </w:tcPr>
          <w:p>
            <w:pPr>
              <w:spacing w:after="0"/>
            </w:pPr>
            <w:r/>
            <w:r>
              <w:rPr>
                <w:b w:val="0"/>
                <w:sz w:val="16"/>
              </w:rPr>
              <w:t>Sprint 7</w:t>
            </w:r>
          </w:p>
        </w:tc>
        <w:tc>
          <w:tcPr>
            <w:tcW w:type="dxa" w:w="1440"/>
            <w:vAlign w:val="top"/>
          </w:tcPr>
          <w:p>
            <w:pPr>
              <w:spacing w:after="0"/>
            </w:pPr>
            <w:r/>
            <w:r>
              <w:rPr>
                <w:b w:val="0"/>
                <w:sz w:val="16"/>
              </w:rPr>
              <w:t>2 weeks</w:t>
            </w:r>
          </w:p>
        </w:tc>
        <w:tc>
          <w:tcPr>
            <w:tcW w:type="dxa" w:w="7344"/>
            <w:vAlign w:val="top"/>
          </w:tcPr>
          <w:p>
            <w:pPr>
              <w:spacing w:after="0"/>
            </w:pPr>
            <w:r/>
            <w:r>
              <w:rPr>
                <w:b w:val="0"/>
                <w:sz w:val="16"/>
              </w:rPr>
              <w:t>Cross-channel campaign dashboard and sponsor activation reporting.</w:t>
            </w:r>
          </w:p>
        </w:tc>
      </w:tr>
      <w:tr>
        <w:trPr>
          <w:cantSplit/>
        </w:trPr>
        <w:tc>
          <w:tcPr>
            <w:tcW w:type="dxa" w:w="1728"/>
            <w:vAlign w:val="top"/>
          </w:tcPr>
          <w:p>
            <w:pPr>
              <w:spacing w:after="0"/>
            </w:pPr>
            <w:r/>
            <w:r>
              <w:rPr>
                <w:b w:val="0"/>
                <w:sz w:val="16"/>
              </w:rPr>
              <w:t>Sprint 8</w:t>
            </w:r>
          </w:p>
        </w:tc>
        <w:tc>
          <w:tcPr>
            <w:tcW w:type="dxa" w:w="1440"/>
            <w:vAlign w:val="top"/>
          </w:tcPr>
          <w:p>
            <w:pPr>
              <w:spacing w:after="0"/>
            </w:pPr>
            <w:r/>
            <w:r>
              <w:rPr>
                <w:b w:val="0"/>
                <w:sz w:val="16"/>
              </w:rPr>
              <w:t>2 weeks</w:t>
            </w:r>
          </w:p>
        </w:tc>
        <w:tc>
          <w:tcPr>
            <w:tcW w:type="dxa" w:w="7344"/>
            <w:vAlign w:val="top"/>
          </w:tcPr>
          <w:p>
            <w:pPr>
              <w:spacing w:after="0"/>
            </w:pPr>
            <w:r/>
            <w:r>
              <w:rPr>
                <w:b w:val="0"/>
                <w:sz w:val="16"/>
              </w:rPr>
              <w:t>Operations console, pause/rollback, anomaly monitoring, load testing.</w:t>
            </w:r>
          </w:p>
        </w:tc>
      </w:tr>
      <w:tr>
        <w:trPr>
          <w:cantSplit/>
        </w:trPr>
        <w:tc>
          <w:tcPr>
            <w:tcW w:type="dxa" w:w="1728"/>
            <w:vAlign w:val="top"/>
          </w:tcPr>
          <w:p>
            <w:pPr>
              <w:spacing w:after="0"/>
            </w:pPr>
            <w:r/>
            <w:r>
              <w:rPr>
                <w:b w:val="0"/>
                <w:sz w:val="16"/>
              </w:rPr>
              <w:t>Sprint 9</w:t>
            </w:r>
          </w:p>
        </w:tc>
        <w:tc>
          <w:tcPr>
            <w:tcW w:type="dxa" w:w="1440"/>
            <w:vAlign w:val="top"/>
          </w:tcPr>
          <w:p>
            <w:pPr>
              <w:spacing w:after="0"/>
            </w:pPr>
            <w:r/>
            <w:r>
              <w:rPr>
                <w:b w:val="0"/>
                <w:sz w:val="16"/>
              </w:rPr>
              <w:t>2 weeks</w:t>
            </w:r>
          </w:p>
        </w:tc>
        <w:tc>
          <w:tcPr>
            <w:tcW w:type="dxa" w:w="7344"/>
            <w:vAlign w:val="top"/>
          </w:tcPr>
          <w:p>
            <w:pPr>
              <w:spacing w:after="0"/>
            </w:pPr>
            <w:r/>
            <w:r>
              <w:rPr>
                <w:b w:val="0"/>
                <w:sz w:val="16"/>
              </w:rPr>
              <w:t>Pilot world launch, sponsor UAT, telemetry validation, pricing calibration, production rollout.</w:t>
            </w:r>
          </w:p>
        </w:tc>
      </w:tr>
    </w:tbl>
    <w:p/>
    <w:p>
      <w:pPr>
        <w:pStyle w:val="Heading1"/>
      </w:pPr>
      <w:r>
        <w:t>34. Phase 4 Acceptance Criteria</w:t>
      </w:r>
    </w:p>
    <w:p>
      <w:pPr>
        <w:pStyle w:val="ListBullet"/>
        <w:spacing w:after="20"/>
      </w:pPr>
      <w:r>
        <w:t>SponsorX can register a world, zone and virtual placement and map the placement to sellable inventory.</w:t>
      </w:r>
    </w:p>
    <w:p>
      <w:pPr>
        <w:pStyle w:val="ListBullet"/>
        <w:spacing w:after="20"/>
      </w:pPr>
      <w:r>
        <w:t>Active campaign manifest returns only approved, in-window deployments for the requested world/time.</w:t>
      </w:r>
    </w:p>
    <w:p>
      <w:pPr>
        <w:pStyle w:val="ListBullet"/>
        <w:spacing w:after="20"/>
      </w:pPr>
      <w:r>
        <w:t>INFINEX client can render a sponsored placement using the correct asset/version.</w:t>
      </w:r>
    </w:p>
    <w:p>
      <w:pPr>
        <w:pStyle w:val="ListBullet"/>
        <w:spacing w:after="20"/>
      </w:pPr>
      <w:r>
        <w:t>Creative can be paused or rolled back from SponsorX without redeploying the entire INFINEX application.</w:t>
      </w:r>
    </w:p>
    <w:p>
      <w:pPr>
        <w:pStyle w:val="ListBullet"/>
        <w:spacing w:after="20"/>
      </w:pPr>
      <w:r>
        <w:t>Telemetry batch endpoint supports idempotent event IDs and rejects malformed/unauthorized events.</w:t>
      </w:r>
    </w:p>
    <w:p>
      <w:pPr>
        <w:pStyle w:val="ListBullet"/>
        <w:spacing w:after="20"/>
      </w:pPr>
      <w:r>
        <w:t>Viewable impressions are calculated according to versioned viewability rules and remain distinct from gross renders.</w:t>
      </w:r>
    </w:p>
    <w:p>
      <w:pPr>
        <w:pStyle w:val="ListBullet"/>
        <w:spacing w:after="20"/>
      </w:pPr>
      <w:r>
        <w:t>Repeated duplicate telemetry does not inflate sponsor reports.</w:t>
      </w:r>
    </w:p>
    <w:p>
      <w:pPr>
        <w:pStyle w:val="ListBullet"/>
        <w:spacing w:after="20"/>
      </w:pPr>
      <w:r>
        <w:t>Interactive activation can start, complete, and trigger a SponsorX reward exactly once per configured eligibility rule.</w:t>
      </w:r>
    </w:p>
    <w:p>
      <w:pPr>
        <w:pStyle w:val="ListBullet"/>
        <w:spacing w:after="20"/>
      </w:pPr>
      <w:r>
        <w:t>Cross-channel dashboard shows INFINEX metrics alongside non-virtual campaign metrics without double counting.</w:t>
      </w:r>
    </w:p>
    <w:p>
      <w:pPr>
        <w:pStyle w:val="ListBullet"/>
        <w:spacing w:after="20"/>
      </w:pPr>
      <w:r>
        <w:t>Operations console displays event lag, client heartbeat, deployment failures and active incidents.</w:t>
      </w:r>
    </w:p>
    <w:p>
      <w:pPr>
        <w:pStyle w:val="ListBullet"/>
        <w:spacing w:after="20"/>
      </w:pPr>
      <w:r>
        <w:t>Pilot sponsor can receive a report containing virtual delivery, interaction, reward funnel and proof/creative summary.</w:t>
      </w:r>
    </w:p>
    <w:p>
      <w:pPr>
        <w:pStyle w:val="ListBullet"/>
        <w:spacing w:after="20"/>
      </w:pPr>
      <w:r>
        <w:t>Load test meets agreed event-ingestion throughput and dashboard latency targets for expected Phase 4 traffic.</w:t>
      </w:r>
    </w:p>
    <w:p>
      <w:pPr>
        <w:pStyle w:val="Heading1"/>
      </w:pPr>
      <w:r>
        <w:t>35. Phase 4 Staffing, Timeline &amp; Budget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168"/>
            <w:shd w:fill="1F4E79"/>
            <w:vAlign w:val="center"/>
          </w:tcPr>
          <w:p>
            <w:pPr>
              <w:spacing w:after="0"/>
            </w:pPr>
            <w:r/>
            <w:r>
              <w:rPr>
                <w:b/>
                <w:color w:val="FFFFFF"/>
                <w:sz w:val="16"/>
              </w:rPr>
              <w:t>Role</w:t>
            </w:r>
          </w:p>
        </w:tc>
        <w:tc>
          <w:tcPr>
            <w:tcW w:type="dxa" w:w="2016"/>
            <w:shd w:fill="1F4E79"/>
            <w:vAlign w:val="center"/>
          </w:tcPr>
          <w:p>
            <w:pPr>
              <w:spacing w:after="0"/>
            </w:pPr>
            <w:r/>
            <w:r>
              <w:rPr>
                <w:b/>
                <w:color w:val="FFFFFF"/>
                <w:sz w:val="16"/>
              </w:rPr>
              <w:t>Suggested Allocation</w:t>
            </w:r>
          </w:p>
        </w:tc>
        <w:tc>
          <w:tcPr>
            <w:tcW w:type="dxa" w:w="5184"/>
            <w:shd w:fill="1F4E79"/>
            <w:vAlign w:val="center"/>
          </w:tcPr>
          <w:p>
            <w:pPr>
              <w:spacing w:after="0"/>
            </w:pPr>
            <w:r/>
            <w:r>
              <w:rPr>
                <w:b/>
                <w:color w:val="FFFFFF"/>
                <w:sz w:val="16"/>
              </w:rPr>
              <w:t>Responsibility</w:t>
            </w:r>
          </w:p>
        </w:tc>
      </w:tr>
      <w:tr>
        <w:trPr>
          <w:cantSplit/>
        </w:trPr>
        <w:tc>
          <w:tcPr>
            <w:tcW w:type="dxa" w:w="3168"/>
            <w:vAlign w:val="top"/>
          </w:tcPr>
          <w:p>
            <w:pPr>
              <w:spacing w:after="0"/>
            </w:pPr>
            <w:r/>
            <w:r>
              <w:rPr>
                <w:b w:val="0"/>
                <w:sz w:val="16"/>
              </w:rPr>
              <w:t>Product Manager</w:t>
            </w:r>
          </w:p>
        </w:tc>
        <w:tc>
          <w:tcPr>
            <w:tcW w:type="dxa" w:w="2016"/>
            <w:vAlign w:val="top"/>
          </w:tcPr>
          <w:p>
            <w:pPr>
              <w:spacing w:after="0"/>
            </w:pPr>
            <w:r/>
            <w:r>
              <w:rPr>
                <w:b w:val="0"/>
                <w:sz w:val="16"/>
              </w:rPr>
              <w:t>0.75 FTE</w:t>
            </w:r>
          </w:p>
        </w:tc>
        <w:tc>
          <w:tcPr>
            <w:tcW w:type="dxa" w:w="5184"/>
            <w:vAlign w:val="top"/>
          </w:tcPr>
          <w:p>
            <w:pPr>
              <w:spacing w:after="0"/>
            </w:pPr>
            <w:r/>
            <w:r>
              <w:rPr>
                <w:b w:val="0"/>
                <w:sz w:val="16"/>
              </w:rPr>
              <w:t>Virtual inventory/business rules, sponsor use cases, UAT.</w:t>
            </w:r>
          </w:p>
        </w:tc>
      </w:tr>
      <w:tr>
        <w:trPr>
          <w:cantSplit/>
        </w:trPr>
        <w:tc>
          <w:tcPr>
            <w:tcW w:type="dxa" w:w="3168"/>
            <w:vAlign w:val="top"/>
          </w:tcPr>
          <w:p>
            <w:pPr>
              <w:spacing w:after="0"/>
            </w:pPr>
            <w:r/>
            <w:r>
              <w:rPr>
                <w:b w:val="0"/>
                <w:sz w:val="16"/>
              </w:rPr>
              <w:t>Solution Architect</w:t>
            </w:r>
          </w:p>
        </w:tc>
        <w:tc>
          <w:tcPr>
            <w:tcW w:type="dxa" w:w="2016"/>
            <w:vAlign w:val="top"/>
          </w:tcPr>
          <w:p>
            <w:pPr>
              <w:spacing w:after="0"/>
            </w:pPr>
            <w:r/>
            <w:r>
              <w:rPr>
                <w:b w:val="0"/>
                <w:sz w:val="16"/>
              </w:rPr>
              <w:t>0.5 FTE</w:t>
            </w:r>
          </w:p>
        </w:tc>
        <w:tc>
          <w:tcPr>
            <w:tcW w:type="dxa" w:w="5184"/>
            <w:vAlign w:val="top"/>
          </w:tcPr>
          <w:p>
            <w:pPr>
              <w:spacing w:after="0"/>
            </w:pPr>
            <w:r/>
            <w:r>
              <w:rPr>
                <w:b w:val="0"/>
                <w:sz w:val="16"/>
              </w:rPr>
              <w:t>SponsorX-INFINEX boundary, telemetry, identity and scaling.</w:t>
            </w:r>
          </w:p>
        </w:tc>
      </w:tr>
      <w:tr>
        <w:trPr>
          <w:cantSplit/>
        </w:trPr>
        <w:tc>
          <w:tcPr>
            <w:tcW w:type="dxa" w:w="3168"/>
            <w:vAlign w:val="top"/>
          </w:tcPr>
          <w:p>
            <w:pPr>
              <w:spacing w:after="0"/>
            </w:pPr>
            <w:r/>
            <w:r>
              <w:rPr>
                <w:b w:val="0"/>
                <w:sz w:val="16"/>
              </w:rPr>
              <w:t>SponsorX Backend Engineers</w:t>
            </w:r>
          </w:p>
        </w:tc>
        <w:tc>
          <w:tcPr>
            <w:tcW w:type="dxa" w:w="2016"/>
            <w:vAlign w:val="top"/>
          </w:tcPr>
          <w:p>
            <w:pPr>
              <w:spacing w:after="0"/>
            </w:pPr>
            <w:r/>
            <w:r>
              <w:rPr>
                <w:b w:val="0"/>
                <w:sz w:val="16"/>
              </w:rPr>
              <w:t>1-2 FTE</w:t>
            </w:r>
          </w:p>
        </w:tc>
        <w:tc>
          <w:tcPr>
            <w:tcW w:type="dxa" w:w="5184"/>
            <w:vAlign w:val="top"/>
          </w:tcPr>
          <w:p>
            <w:pPr>
              <w:spacing w:after="0"/>
            </w:pPr>
            <w:r/>
            <w:r>
              <w:rPr>
                <w:b w:val="0"/>
                <w:sz w:val="16"/>
              </w:rPr>
              <w:t>Registry, deployments, telemetry APIs, aggregation, rewards.</w:t>
            </w:r>
          </w:p>
        </w:tc>
      </w:tr>
      <w:tr>
        <w:trPr>
          <w:cantSplit/>
        </w:trPr>
        <w:tc>
          <w:tcPr>
            <w:tcW w:type="dxa" w:w="3168"/>
            <w:vAlign w:val="top"/>
          </w:tcPr>
          <w:p>
            <w:pPr>
              <w:spacing w:after="0"/>
            </w:pPr>
            <w:r/>
            <w:r>
              <w:rPr>
                <w:b w:val="0"/>
                <w:sz w:val="16"/>
              </w:rPr>
              <w:t>SponsorX Frontend Engineers</w:t>
            </w:r>
          </w:p>
        </w:tc>
        <w:tc>
          <w:tcPr>
            <w:tcW w:type="dxa" w:w="2016"/>
            <w:vAlign w:val="top"/>
          </w:tcPr>
          <w:p>
            <w:pPr>
              <w:spacing w:after="0"/>
            </w:pPr>
            <w:r/>
            <w:r>
              <w:rPr>
                <w:b w:val="0"/>
                <w:sz w:val="16"/>
              </w:rPr>
              <w:t>1-2 FTE</w:t>
            </w:r>
          </w:p>
        </w:tc>
        <w:tc>
          <w:tcPr>
            <w:tcW w:type="dxa" w:w="5184"/>
            <w:vAlign w:val="top"/>
          </w:tcPr>
          <w:p>
            <w:pPr>
              <w:spacing w:after="0"/>
            </w:pPr>
            <w:r/>
            <w:r>
              <w:rPr>
                <w:b w:val="0"/>
                <w:sz w:val="16"/>
              </w:rPr>
              <w:t>Virtual admin, campaign and analytics screens.</w:t>
            </w:r>
          </w:p>
        </w:tc>
      </w:tr>
      <w:tr>
        <w:trPr>
          <w:cantSplit/>
        </w:trPr>
        <w:tc>
          <w:tcPr>
            <w:tcW w:type="dxa" w:w="3168"/>
            <w:vAlign w:val="top"/>
          </w:tcPr>
          <w:p>
            <w:pPr>
              <w:spacing w:after="0"/>
            </w:pPr>
            <w:r/>
            <w:r>
              <w:rPr>
                <w:b w:val="0"/>
                <w:sz w:val="16"/>
              </w:rPr>
              <w:t>INFINEX / Game Engine Engineers</w:t>
            </w:r>
          </w:p>
        </w:tc>
        <w:tc>
          <w:tcPr>
            <w:tcW w:type="dxa" w:w="2016"/>
            <w:vAlign w:val="top"/>
          </w:tcPr>
          <w:p>
            <w:pPr>
              <w:spacing w:after="0"/>
            </w:pPr>
            <w:r/>
            <w:r>
              <w:rPr>
                <w:b w:val="0"/>
                <w:sz w:val="16"/>
              </w:rPr>
              <w:t>1-2 FTE</w:t>
            </w:r>
          </w:p>
        </w:tc>
        <w:tc>
          <w:tcPr>
            <w:tcW w:type="dxa" w:w="5184"/>
            <w:vAlign w:val="top"/>
          </w:tcPr>
          <w:p>
            <w:pPr>
              <w:spacing w:after="0"/>
            </w:pPr>
            <w:r/>
            <w:r>
              <w:rPr>
                <w:b w:val="0"/>
                <w:sz w:val="16"/>
              </w:rPr>
              <w:t>Manifest rendering, event instrumentation, activations.</w:t>
            </w:r>
          </w:p>
        </w:tc>
      </w:tr>
      <w:tr>
        <w:trPr>
          <w:cantSplit/>
        </w:trPr>
        <w:tc>
          <w:tcPr>
            <w:tcW w:type="dxa" w:w="3168"/>
            <w:vAlign w:val="top"/>
          </w:tcPr>
          <w:p>
            <w:pPr>
              <w:spacing w:after="0"/>
            </w:pPr>
            <w:r/>
            <w:r>
              <w:rPr>
                <w:b w:val="0"/>
                <w:sz w:val="16"/>
              </w:rPr>
              <w:t>Data Engineer</w:t>
            </w:r>
          </w:p>
        </w:tc>
        <w:tc>
          <w:tcPr>
            <w:tcW w:type="dxa" w:w="2016"/>
            <w:vAlign w:val="top"/>
          </w:tcPr>
          <w:p>
            <w:pPr>
              <w:spacing w:after="0"/>
            </w:pPr>
            <w:r/>
            <w:r>
              <w:rPr>
                <w:b w:val="0"/>
                <w:sz w:val="16"/>
              </w:rPr>
              <w:t>0.5-1 FTE</w:t>
            </w:r>
          </w:p>
        </w:tc>
        <w:tc>
          <w:tcPr>
            <w:tcW w:type="dxa" w:w="5184"/>
            <w:vAlign w:val="top"/>
          </w:tcPr>
          <w:p>
            <w:pPr>
              <w:spacing w:after="0"/>
            </w:pPr>
            <w:r/>
            <w:r>
              <w:rPr>
                <w:b w:val="0"/>
                <w:sz w:val="16"/>
              </w:rPr>
              <w:t>Telemetry pipelines, warehouse, cross-channel aggregates.</w:t>
            </w:r>
          </w:p>
        </w:tc>
      </w:tr>
      <w:tr>
        <w:trPr>
          <w:cantSplit/>
        </w:trPr>
        <w:tc>
          <w:tcPr>
            <w:tcW w:type="dxa" w:w="3168"/>
            <w:vAlign w:val="top"/>
          </w:tcPr>
          <w:p>
            <w:pPr>
              <w:spacing w:after="0"/>
            </w:pPr>
            <w:r/>
            <w:r>
              <w:rPr>
                <w:b w:val="0"/>
                <w:sz w:val="16"/>
              </w:rPr>
              <w:t>UX/UI / 3D Interaction Designer</w:t>
            </w:r>
          </w:p>
        </w:tc>
        <w:tc>
          <w:tcPr>
            <w:tcW w:type="dxa" w:w="2016"/>
            <w:vAlign w:val="top"/>
          </w:tcPr>
          <w:p>
            <w:pPr>
              <w:spacing w:after="0"/>
            </w:pPr>
            <w:r/>
            <w:r>
              <w:rPr>
                <w:b w:val="0"/>
                <w:sz w:val="16"/>
              </w:rPr>
              <w:t>0.5 FTE</w:t>
            </w:r>
          </w:p>
        </w:tc>
        <w:tc>
          <w:tcPr>
            <w:tcW w:type="dxa" w:w="5184"/>
            <w:vAlign w:val="top"/>
          </w:tcPr>
          <w:p>
            <w:pPr>
              <w:spacing w:after="0"/>
            </w:pPr>
            <w:r/>
            <w:r>
              <w:rPr>
                <w:b w:val="0"/>
                <w:sz w:val="16"/>
              </w:rPr>
              <w:t>Activation UX, placement specs, sponsor workflow.</w:t>
            </w:r>
          </w:p>
        </w:tc>
      </w:tr>
      <w:tr>
        <w:trPr>
          <w:cantSplit/>
        </w:trPr>
        <w:tc>
          <w:tcPr>
            <w:tcW w:type="dxa" w:w="3168"/>
            <w:vAlign w:val="top"/>
          </w:tcPr>
          <w:p>
            <w:pPr>
              <w:spacing w:after="0"/>
            </w:pPr>
            <w:r/>
            <w:r>
              <w:rPr>
                <w:b w:val="0"/>
                <w:sz w:val="16"/>
              </w:rPr>
              <w:t>QA Engineer</w:t>
            </w:r>
          </w:p>
        </w:tc>
        <w:tc>
          <w:tcPr>
            <w:tcW w:type="dxa" w:w="2016"/>
            <w:vAlign w:val="top"/>
          </w:tcPr>
          <w:p>
            <w:pPr>
              <w:spacing w:after="0"/>
            </w:pPr>
            <w:r/>
            <w:r>
              <w:rPr>
                <w:b w:val="0"/>
                <w:sz w:val="16"/>
              </w:rPr>
              <w:t>1 FTE</w:t>
            </w:r>
          </w:p>
        </w:tc>
        <w:tc>
          <w:tcPr>
            <w:tcW w:type="dxa" w:w="5184"/>
            <w:vAlign w:val="top"/>
          </w:tcPr>
          <w:p>
            <w:pPr>
              <w:spacing w:after="0"/>
            </w:pPr>
            <w:r/>
            <w:r>
              <w:rPr>
                <w:b w:val="0"/>
                <w:sz w:val="16"/>
              </w:rPr>
              <w:t>Cross-system, event, reward and load testing.</w:t>
            </w:r>
          </w:p>
        </w:tc>
      </w:tr>
      <w:tr>
        <w:trPr>
          <w:cantSplit/>
        </w:trPr>
        <w:tc>
          <w:tcPr>
            <w:tcW w:type="dxa" w:w="3168"/>
            <w:vAlign w:val="top"/>
          </w:tcPr>
          <w:p>
            <w:pPr>
              <w:spacing w:after="0"/>
            </w:pPr>
            <w:r/>
            <w:r>
              <w:rPr>
                <w:b w:val="0"/>
                <w:sz w:val="16"/>
              </w:rPr>
              <w:t>DevOps/SRE</w:t>
            </w:r>
          </w:p>
        </w:tc>
        <w:tc>
          <w:tcPr>
            <w:tcW w:type="dxa" w:w="2016"/>
            <w:vAlign w:val="top"/>
          </w:tcPr>
          <w:p>
            <w:pPr>
              <w:spacing w:after="0"/>
            </w:pPr>
            <w:r/>
            <w:r>
              <w:rPr>
                <w:b w:val="0"/>
                <w:sz w:val="16"/>
              </w:rPr>
              <w:t>0.5 FTE</w:t>
            </w:r>
          </w:p>
        </w:tc>
        <w:tc>
          <w:tcPr>
            <w:tcW w:type="dxa" w:w="5184"/>
            <w:vAlign w:val="top"/>
          </w:tcPr>
          <w:p>
            <w:pPr>
              <w:spacing w:after="0"/>
            </w:pPr>
            <w:r/>
            <w:r>
              <w:rPr>
                <w:b w:val="0"/>
                <w:sz w:val="16"/>
              </w:rPr>
              <w:t>Streaming, observability, scaling, incident readiness.</w:t>
            </w:r>
          </w:p>
        </w:tc>
      </w:tr>
      <w:tr>
        <w:trPr>
          <w:cantSplit/>
        </w:trPr>
        <w:tc>
          <w:tcPr>
            <w:tcW w:type="dxa" w:w="3168"/>
            <w:vAlign w:val="top"/>
          </w:tcPr>
          <w:p>
            <w:pPr>
              <w:spacing w:after="0"/>
            </w:pPr>
            <w:r/>
            <w:r>
              <w:rPr>
                <w:b w:val="0"/>
                <w:sz w:val="16"/>
              </w:rPr>
              <w:t>3D Artist / Technical Artist</w:t>
            </w:r>
          </w:p>
        </w:tc>
        <w:tc>
          <w:tcPr>
            <w:tcW w:type="dxa" w:w="2016"/>
            <w:vAlign w:val="top"/>
          </w:tcPr>
          <w:p>
            <w:pPr>
              <w:spacing w:after="0"/>
            </w:pPr>
            <w:r/>
            <w:r>
              <w:rPr>
                <w:b w:val="0"/>
                <w:sz w:val="16"/>
              </w:rPr>
              <w:t>Fractional-1 FTE</w:t>
            </w:r>
          </w:p>
        </w:tc>
        <w:tc>
          <w:tcPr>
            <w:tcW w:type="dxa" w:w="5184"/>
            <w:vAlign w:val="top"/>
          </w:tcPr>
          <w:p>
            <w:pPr>
              <w:spacing w:after="0"/>
            </w:pPr>
            <w:r/>
            <w:r>
              <w:rPr>
                <w:b w:val="0"/>
                <w:sz w:val="16"/>
              </w:rPr>
              <w:t>Only if sponsor creative requires custom 3D assets.</w:t>
            </w:r>
          </w:p>
        </w:tc>
      </w:tr>
    </w:tbl>
    <w:p/>
    <w:p>
      <w:r>
        <w:t>Estimated timeline: 18-22 weeks for a first production world integration, assuming the INFINEX runtime and world environments already exist.</w:t>
      </w:r>
    </w:p>
    <w:tbl>
      <w:tblPr>
        <w:tblStyle w:val="TableGrid"/>
        <w:tblW w:type="auto" w:w="0"/>
        <w:jc w:val="center"/>
        <w:tblLook w:firstColumn="1" w:firstRow="1" w:lastColumn="0" w:lastRow="0" w:noHBand="0" w:noVBand="1" w:val="04A0"/>
      </w:tblPr>
      <w:tblGrid>
        <w:gridCol w:w="3456"/>
        <w:gridCol w:w="3456"/>
        <w:gridCol w:w="3456"/>
      </w:tblGrid>
      <w:tr>
        <w:trPr>
          <w:cantSplit/>
        </w:trPr>
        <w:tc>
          <w:tcPr>
            <w:tcW w:type="dxa" w:w="3168"/>
            <w:shd w:fill="1F4E79"/>
            <w:vAlign w:val="center"/>
          </w:tcPr>
          <w:p>
            <w:pPr>
              <w:spacing w:after="0"/>
            </w:pPr>
            <w:r/>
            <w:r>
              <w:rPr>
                <w:b/>
                <w:color w:val="FFFFFF"/>
                <w:sz w:val="16"/>
              </w:rPr>
              <w:t>Budget Scenario</w:t>
            </w:r>
          </w:p>
        </w:tc>
        <w:tc>
          <w:tcPr>
            <w:tcW w:type="dxa" w:w="3024"/>
            <w:shd w:fill="1F4E79"/>
            <w:vAlign w:val="center"/>
          </w:tcPr>
          <w:p>
            <w:pPr>
              <w:spacing w:after="0"/>
            </w:pPr>
            <w:r/>
            <w:r>
              <w:rPr>
                <w:b/>
                <w:color w:val="FFFFFF"/>
                <w:sz w:val="16"/>
              </w:rPr>
              <w:t>Estimated Phase 4 Budget</w:t>
            </w:r>
          </w:p>
        </w:tc>
        <w:tc>
          <w:tcPr>
            <w:tcW w:type="dxa" w:w="4464"/>
            <w:shd w:fill="1F4E79"/>
            <w:vAlign w:val="center"/>
          </w:tcPr>
          <w:p>
            <w:pPr>
              <w:spacing w:after="0"/>
            </w:pPr>
            <w:r/>
            <w:r>
              <w:rPr>
                <w:b/>
                <w:color w:val="FFFFFF"/>
                <w:sz w:val="16"/>
              </w:rPr>
              <w:t>Assumption</w:t>
            </w:r>
          </w:p>
        </w:tc>
      </w:tr>
      <w:tr>
        <w:trPr>
          <w:cantSplit/>
        </w:trPr>
        <w:tc>
          <w:tcPr>
            <w:tcW w:type="dxa" w:w="3168"/>
            <w:vAlign w:val="top"/>
          </w:tcPr>
          <w:p>
            <w:pPr>
              <w:spacing w:after="0"/>
            </w:pPr>
            <w:r/>
            <w:r>
              <w:rPr>
                <w:b w:val="0"/>
                <w:sz w:val="16"/>
              </w:rPr>
              <w:t>Lean single-world pilot</w:t>
            </w:r>
          </w:p>
        </w:tc>
        <w:tc>
          <w:tcPr>
            <w:tcW w:type="dxa" w:w="3024"/>
            <w:vAlign w:val="top"/>
          </w:tcPr>
          <w:p>
            <w:pPr>
              <w:spacing w:after="0"/>
            </w:pPr>
            <w:r/>
            <w:r>
              <w:rPr>
                <w:b w:val="0"/>
                <w:sz w:val="16"/>
              </w:rPr>
              <w:t>$60,000-$90,000</w:t>
            </w:r>
          </w:p>
        </w:tc>
        <w:tc>
          <w:tcPr>
            <w:tcW w:type="dxa" w:w="4464"/>
            <w:vAlign w:val="top"/>
          </w:tcPr>
          <w:p>
            <w:pPr>
              <w:spacing w:after="0"/>
            </w:pPr>
            <w:r/>
            <w:r>
              <w:rPr>
                <w:b w:val="0"/>
                <w:sz w:val="16"/>
              </w:rPr>
              <w:t>Limited placement types, basic telemetry, simple branded challenges.</w:t>
            </w:r>
          </w:p>
        </w:tc>
      </w:tr>
      <w:tr>
        <w:trPr>
          <w:cantSplit/>
        </w:trPr>
        <w:tc>
          <w:tcPr>
            <w:tcW w:type="dxa" w:w="3168"/>
            <w:vAlign w:val="top"/>
          </w:tcPr>
          <w:p>
            <w:pPr>
              <w:spacing w:after="0"/>
            </w:pPr>
            <w:r/>
            <w:r>
              <w:rPr>
                <w:b w:val="0"/>
                <w:sz w:val="16"/>
              </w:rPr>
              <w:t>Balanced production integration</w:t>
            </w:r>
          </w:p>
        </w:tc>
        <w:tc>
          <w:tcPr>
            <w:tcW w:type="dxa" w:w="3024"/>
            <w:vAlign w:val="top"/>
          </w:tcPr>
          <w:p>
            <w:pPr>
              <w:spacing w:after="0"/>
            </w:pPr>
            <w:r/>
            <w:r>
              <w:rPr>
                <w:b w:val="0"/>
                <w:sz w:val="16"/>
              </w:rPr>
              <w:t>$90,000-$150,000</w:t>
            </w:r>
          </w:p>
        </w:tc>
        <w:tc>
          <w:tcPr>
            <w:tcW w:type="dxa" w:w="4464"/>
            <w:vAlign w:val="top"/>
          </w:tcPr>
          <w:p>
            <w:pPr>
              <w:spacing w:after="0"/>
            </w:pPr>
            <w:r/>
            <w:r>
              <w:rPr>
                <w:b w:val="0"/>
                <w:sz w:val="16"/>
              </w:rPr>
              <w:t>Multiple zones/placements, operations tooling, robust telemetry and cross-channel analytics.</w:t>
            </w:r>
          </w:p>
        </w:tc>
      </w:tr>
      <w:tr>
        <w:trPr>
          <w:cantSplit/>
        </w:trPr>
        <w:tc>
          <w:tcPr>
            <w:tcW w:type="dxa" w:w="3168"/>
            <w:vAlign w:val="top"/>
          </w:tcPr>
          <w:p>
            <w:pPr>
              <w:spacing w:after="0"/>
            </w:pPr>
            <w:r/>
            <w:r>
              <w:rPr>
                <w:b w:val="0"/>
                <w:sz w:val="16"/>
              </w:rPr>
              <w:t>Advanced immersive platform</w:t>
            </w:r>
          </w:p>
        </w:tc>
        <w:tc>
          <w:tcPr>
            <w:tcW w:type="dxa" w:w="3024"/>
            <w:vAlign w:val="top"/>
          </w:tcPr>
          <w:p>
            <w:pPr>
              <w:spacing w:after="0"/>
            </w:pPr>
            <w:r/>
            <w:r>
              <w:rPr>
                <w:b w:val="0"/>
                <w:sz w:val="16"/>
              </w:rPr>
              <w:t>$150,000-$250,000</w:t>
            </w:r>
          </w:p>
        </w:tc>
        <w:tc>
          <w:tcPr>
            <w:tcW w:type="dxa" w:w="4464"/>
            <w:vAlign w:val="top"/>
          </w:tcPr>
          <w:p>
            <w:pPr>
              <w:spacing w:after="0"/>
            </w:pPr>
            <w:r/>
            <w:r>
              <w:rPr>
                <w:b w:val="0"/>
                <w:sz w:val="16"/>
              </w:rPr>
              <w:t>Multiple worlds, rich 3D activations, higher concurrency, advanced virtual commerce and extensive tooling.</w:t>
            </w:r>
          </w:p>
        </w:tc>
      </w:tr>
    </w:tbl>
    <w:p/>
    <w:p>
      <w:r>
        <w:br w:type="page"/>
      </w:r>
    </w:p>
    <w:p>
      <w:pPr>
        <w:pStyle w:val="Heading1"/>
      </w:pPr>
      <w:r>
        <w:t>36. Combined Phases 2-4 Program Plan</w:t>
      </w:r>
    </w:p>
    <w:tbl>
      <w:tblPr>
        <w:tblStyle w:val="TableGrid"/>
        <w:tblW w:type="auto" w:w="0"/>
        <w:jc w:val="center"/>
        <w:tblLook w:firstColumn="1" w:firstRow="1" w:lastColumn="0" w:lastRow="0" w:noHBand="0" w:noVBand="1" w:val="04A0"/>
      </w:tblPr>
      <w:tblGrid>
        <w:gridCol w:w="2592"/>
        <w:gridCol w:w="2592"/>
        <w:gridCol w:w="2592"/>
        <w:gridCol w:w="2592"/>
      </w:tblGrid>
      <w:tr>
        <w:trPr>
          <w:cantSplit/>
        </w:trPr>
        <w:tc>
          <w:tcPr>
            <w:tcW w:type="dxa" w:w="2016"/>
            <w:shd w:fill="1F4E79"/>
            <w:vAlign w:val="center"/>
          </w:tcPr>
          <w:p>
            <w:pPr>
              <w:spacing w:after="0"/>
            </w:pPr>
            <w:r/>
            <w:r>
              <w:rPr>
                <w:b/>
                <w:color w:val="FFFFFF"/>
                <w:sz w:val="16"/>
              </w:rPr>
              <w:t>Phase</w:t>
            </w:r>
          </w:p>
        </w:tc>
        <w:tc>
          <w:tcPr>
            <w:tcW w:type="dxa" w:w="2304"/>
            <w:shd w:fill="1F4E79"/>
            <w:vAlign w:val="center"/>
          </w:tcPr>
          <w:p>
            <w:pPr>
              <w:spacing w:after="0"/>
            </w:pPr>
            <w:r/>
            <w:r>
              <w:rPr>
                <w:b/>
                <w:color w:val="FFFFFF"/>
                <w:sz w:val="16"/>
              </w:rPr>
              <w:t>Planning Timeline</w:t>
            </w:r>
          </w:p>
        </w:tc>
        <w:tc>
          <w:tcPr>
            <w:tcW w:type="dxa" w:w="2448"/>
            <w:shd w:fill="1F4E79"/>
            <w:vAlign w:val="center"/>
          </w:tcPr>
          <w:p>
            <w:pPr>
              <w:spacing w:after="0"/>
            </w:pPr>
            <w:r/>
            <w:r>
              <w:rPr>
                <w:b/>
                <w:color w:val="FFFFFF"/>
                <w:sz w:val="16"/>
              </w:rPr>
              <w:t>Balanced Budget</w:t>
            </w:r>
          </w:p>
        </w:tc>
        <w:tc>
          <w:tcPr>
            <w:tcW w:type="dxa" w:w="4320"/>
            <w:shd w:fill="1F4E79"/>
            <w:vAlign w:val="center"/>
          </w:tcPr>
          <w:p>
            <w:pPr>
              <w:spacing w:after="0"/>
            </w:pPr>
            <w:r/>
            <w:r>
              <w:rPr>
                <w:b/>
                <w:color w:val="FFFFFF"/>
                <w:sz w:val="16"/>
              </w:rPr>
              <w:t>Key Outcome</w:t>
            </w:r>
          </w:p>
        </w:tc>
      </w:tr>
      <w:tr>
        <w:trPr>
          <w:cantSplit/>
        </w:trPr>
        <w:tc>
          <w:tcPr>
            <w:tcW w:type="dxa" w:w="2016"/>
            <w:vAlign w:val="top"/>
          </w:tcPr>
          <w:p>
            <w:pPr>
              <w:spacing w:after="0"/>
            </w:pPr>
            <w:r/>
            <w:r>
              <w:rPr>
                <w:b w:val="0"/>
                <w:sz w:val="16"/>
              </w:rPr>
              <w:t>Phase 2</w:t>
            </w:r>
          </w:p>
        </w:tc>
        <w:tc>
          <w:tcPr>
            <w:tcW w:type="dxa" w:w="2304"/>
            <w:vAlign w:val="top"/>
          </w:tcPr>
          <w:p>
            <w:pPr>
              <w:spacing w:after="0"/>
            </w:pPr>
            <w:r/>
            <w:r>
              <w:rPr>
                <w:b w:val="0"/>
                <w:sz w:val="16"/>
              </w:rPr>
              <w:t>16-20 weeks</w:t>
            </w:r>
          </w:p>
        </w:tc>
        <w:tc>
          <w:tcPr>
            <w:tcW w:type="dxa" w:w="2448"/>
            <w:vAlign w:val="top"/>
          </w:tcPr>
          <w:p>
            <w:pPr>
              <w:spacing w:after="0"/>
            </w:pPr>
            <w:r/>
            <w:r>
              <w:rPr>
                <w:b w:val="0"/>
                <w:sz w:val="16"/>
              </w:rPr>
              <w:t>$80K-$120K</w:t>
            </w:r>
          </w:p>
        </w:tc>
        <w:tc>
          <w:tcPr>
            <w:tcW w:type="dxa" w:w="4320"/>
            <w:vAlign w:val="top"/>
          </w:tcPr>
          <w:p>
            <w:pPr>
              <w:spacing w:after="0"/>
            </w:pPr>
            <w:r/>
            <w:r>
              <w:rPr>
                <w:b w:val="0"/>
                <w:sz w:val="16"/>
              </w:rPr>
              <w:t>Marketplace, athlete/property commerce, payments, payouts, wallet rewards.</w:t>
            </w:r>
          </w:p>
        </w:tc>
      </w:tr>
      <w:tr>
        <w:trPr>
          <w:cantSplit/>
        </w:trPr>
        <w:tc>
          <w:tcPr>
            <w:tcW w:type="dxa" w:w="2016"/>
            <w:vAlign w:val="top"/>
          </w:tcPr>
          <w:p>
            <w:pPr>
              <w:spacing w:after="0"/>
            </w:pPr>
            <w:r/>
            <w:r>
              <w:rPr>
                <w:b w:val="0"/>
                <w:sz w:val="16"/>
              </w:rPr>
              <w:t>Phase 3</w:t>
            </w:r>
          </w:p>
        </w:tc>
        <w:tc>
          <w:tcPr>
            <w:tcW w:type="dxa" w:w="2304"/>
            <w:vAlign w:val="top"/>
          </w:tcPr>
          <w:p>
            <w:pPr>
              <w:spacing w:after="0"/>
            </w:pPr>
            <w:r/>
            <w:r>
              <w:rPr>
                <w:b w:val="0"/>
                <w:sz w:val="16"/>
              </w:rPr>
              <w:t>18-22 weeks</w:t>
            </w:r>
          </w:p>
        </w:tc>
        <w:tc>
          <w:tcPr>
            <w:tcW w:type="dxa" w:w="2448"/>
            <w:vAlign w:val="top"/>
          </w:tcPr>
          <w:p>
            <w:pPr>
              <w:spacing w:after="0"/>
            </w:pPr>
            <w:r/>
            <w:r>
              <w:rPr>
                <w:b w:val="0"/>
                <w:sz w:val="16"/>
              </w:rPr>
              <w:t>$105K-$160K</w:t>
            </w:r>
          </w:p>
        </w:tc>
        <w:tc>
          <w:tcPr>
            <w:tcW w:type="dxa" w:w="4320"/>
            <w:vAlign w:val="top"/>
          </w:tcPr>
          <w:p>
            <w:pPr>
              <w:spacing w:after="0"/>
            </w:pPr>
            <w:r/>
            <w:r>
              <w:rPr>
                <w:b w:val="0"/>
                <w:sz w:val="16"/>
              </w:rPr>
              <w:t>Pricing/matching intelligence, forecasting, attribution and data platform.</w:t>
            </w:r>
          </w:p>
        </w:tc>
      </w:tr>
      <w:tr>
        <w:trPr>
          <w:cantSplit/>
        </w:trPr>
        <w:tc>
          <w:tcPr>
            <w:tcW w:type="dxa" w:w="2016"/>
            <w:vAlign w:val="top"/>
          </w:tcPr>
          <w:p>
            <w:pPr>
              <w:spacing w:after="0"/>
            </w:pPr>
            <w:r/>
            <w:r>
              <w:rPr>
                <w:b w:val="0"/>
                <w:sz w:val="16"/>
              </w:rPr>
              <w:t>Phase 4</w:t>
            </w:r>
          </w:p>
        </w:tc>
        <w:tc>
          <w:tcPr>
            <w:tcW w:type="dxa" w:w="2304"/>
            <w:vAlign w:val="top"/>
          </w:tcPr>
          <w:p>
            <w:pPr>
              <w:spacing w:after="0"/>
            </w:pPr>
            <w:r/>
            <w:r>
              <w:rPr>
                <w:b w:val="0"/>
                <w:sz w:val="16"/>
              </w:rPr>
              <w:t>18-22 weeks</w:t>
            </w:r>
          </w:p>
        </w:tc>
        <w:tc>
          <w:tcPr>
            <w:tcW w:type="dxa" w:w="2448"/>
            <w:vAlign w:val="top"/>
          </w:tcPr>
          <w:p>
            <w:pPr>
              <w:spacing w:after="0"/>
            </w:pPr>
            <w:r/>
            <w:r>
              <w:rPr>
                <w:b w:val="0"/>
                <w:sz w:val="16"/>
              </w:rPr>
              <w:t>$90K-$150K</w:t>
            </w:r>
          </w:p>
        </w:tc>
        <w:tc>
          <w:tcPr>
            <w:tcW w:type="dxa" w:w="4320"/>
            <w:vAlign w:val="top"/>
          </w:tcPr>
          <w:p>
            <w:pPr>
              <w:spacing w:after="0"/>
            </w:pPr>
            <w:r/>
            <w:r>
              <w:rPr>
                <w:b w:val="0"/>
                <w:sz w:val="16"/>
              </w:rPr>
              <w:t>INFINEX sponsorship inventory, activations, telemetry and cross-channel reporting.</w:t>
            </w:r>
          </w:p>
        </w:tc>
      </w:tr>
      <w:tr>
        <w:trPr>
          <w:cantSplit/>
        </w:trPr>
        <w:tc>
          <w:tcPr>
            <w:tcW w:type="dxa" w:w="2016"/>
            <w:vAlign w:val="top"/>
          </w:tcPr>
          <w:p>
            <w:pPr>
              <w:spacing w:after="0"/>
            </w:pPr>
            <w:r/>
            <w:r>
              <w:rPr>
                <w:b w:val="0"/>
                <w:sz w:val="16"/>
              </w:rPr>
              <w:t>Total sequential</w:t>
            </w:r>
          </w:p>
        </w:tc>
        <w:tc>
          <w:tcPr>
            <w:tcW w:type="dxa" w:w="2304"/>
            <w:vAlign w:val="top"/>
          </w:tcPr>
          <w:p>
            <w:pPr>
              <w:spacing w:after="0"/>
            </w:pPr>
            <w:r/>
            <w:r>
              <w:rPr>
                <w:b w:val="0"/>
                <w:sz w:val="16"/>
              </w:rPr>
              <w:t>52-64 weeks</w:t>
            </w:r>
          </w:p>
        </w:tc>
        <w:tc>
          <w:tcPr>
            <w:tcW w:type="dxa" w:w="2448"/>
            <w:vAlign w:val="top"/>
          </w:tcPr>
          <w:p>
            <w:pPr>
              <w:spacing w:after="0"/>
            </w:pPr>
            <w:r/>
            <w:r>
              <w:rPr>
                <w:b w:val="0"/>
                <w:sz w:val="16"/>
              </w:rPr>
              <w:t>$275K-$430K</w:t>
            </w:r>
          </w:p>
        </w:tc>
        <w:tc>
          <w:tcPr>
            <w:tcW w:type="dxa" w:w="4320"/>
            <w:vAlign w:val="top"/>
          </w:tcPr>
          <w:p>
            <w:pPr>
              <w:spacing w:after="0"/>
            </w:pPr>
            <w:r/>
            <w:r>
              <w:rPr>
                <w:b w:val="0"/>
                <w:sz w:val="16"/>
              </w:rPr>
              <w:t>Full post-MVP SponsorX expansion.</w:t>
            </w:r>
          </w:p>
        </w:tc>
      </w:tr>
    </w:tbl>
    <w:p/>
    <w:p>
      <w:pPr>
        <w:pStyle w:val="Heading1"/>
      </w:pPr>
      <w:r>
        <w:t>37. Recommended Parallelization</w:t>
      </w:r>
    </w:p>
    <w:p>
      <w:r>
        <w:t>Phases should not be fully overlapped, but selected workstreams can run in parallel after platform foundations stabilize.</w:t>
      </w:r>
    </w:p>
    <w:p>
      <w:pPr>
        <w:pStyle w:val="ListBullet"/>
        <w:spacing w:after="20"/>
      </w:pPr>
      <w:r>
        <w:t>Begin Phase 3 warehouse/event modeling during the final 4-6 weeks of Phase 2 so transaction/campaign data is captured correctly from launch.</w:t>
      </w:r>
    </w:p>
    <w:p>
      <w:pPr>
        <w:pStyle w:val="ListBullet"/>
        <w:spacing w:after="20"/>
      </w:pPr>
      <w:r>
        <w:t>Begin Phase 4 INFINEX API contract and placement taxonomy during the final 4 weeks of Phase 3, before UI implementation.</w:t>
      </w:r>
    </w:p>
    <w:p>
      <w:pPr>
        <w:pStyle w:val="ListBullet"/>
        <w:spacing w:after="20"/>
      </w:pPr>
      <w:r>
        <w:t>Do not begin advanced AI/ML pricing before SponsorX has enough clean historical observations; launch Phase 3 with rules/statistical models first.</w:t>
      </w:r>
    </w:p>
    <w:p>
      <w:pPr>
        <w:pStyle w:val="ListBullet"/>
        <w:spacing w:after="20"/>
      </w:pPr>
      <w:r>
        <w:t>Do not launch marketplace payouts before commission snapshots, reconciliation, refund/dispute behavior, and audit logs are fully tested.</w:t>
      </w:r>
    </w:p>
    <w:p>
      <w:pPr>
        <w:pStyle w:val="ListBullet"/>
        <w:spacing w:after="20"/>
      </w:pPr>
      <w:r>
        <w:t>Do not report virtual impressions to sponsors until viewability and de-duplication criteria are validated against pilot-world telemetry.</w:t>
      </w:r>
    </w:p>
    <w:p>
      <w:pPr>
        <w:pStyle w:val="Heading1"/>
      </w:pPr>
      <w:r>
        <w:t>38. Cross-Phase Non-Functional Requirements</w:t>
      </w:r>
    </w:p>
    <w:tbl>
      <w:tblPr>
        <w:tblStyle w:val="TableGrid"/>
        <w:tblW w:type="auto" w:w="0"/>
        <w:jc w:val="center"/>
        <w:tblLook w:firstColumn="1" w:firstRow="1" w:lastColumn="0" w:lastRow="0" w:noHBand="0" w:noVBand="1" w:val="04A0"/>
      </w:tblPr>
      <w:tblGrid>
        <w:gridCol w:w="5184"/>
        <w:gridCol w:w="5184"/>
      </w:tblGrid>
      <w:tr>
        <w:trPr>
          <w:cantSplit/>
        </w:trPr>
        <w:tc>
          <w:tcPr>
            <w:tcW w:type="dxa" w:w="2448"/>
            <w:shd w:fill="1F4E79"/>
            <w:vAlign w:val="center"/>
          </w:tcPr>
          <w:p>
            <w:pPr>
              <w:spacing w:after="0"/>
            </w:pPr>
            <w:r>
              <w:rPr>
                <w:sz w:val="15"/>
              </w:rPr>
            </w:r>
            <w:r>
              <w:rPr>
                <w:b/>
                <w:color w:val="FFFFFF"/>
                <w:sz w:val="15"/>
              </w:rPr>
              <w:t>Area</w:t>
            </w:r>
          </w:p>
        </w:tc>
        <w:tc>
          <w:tcPr>
            <w:tcW w:type="dxa" w:w="7776"/>
            <w:shd w:fill="1F4E79"/>
            <w:vAlign w:val="center"/>
          </w:tcPr>
          <w:p>
            <w:pPr>
              <w:spacing w:after="0"/>
            </w:pPr>
            <w:r>
              <w:rPr>
                <w:sz w:val="15"/>
              </w:rPr>
            </w:r>
            <w:r>
              <w:rPr>
                <w:b/>
                <w:color w:val="FFFFFF"/>
                <w:sz w:val="15"/>
              </w:rPr>
              <w:t>Requirement</w:t>
            </w:r>
          </w:p>
        </w:tc>
      </w:tr>
      <w:tr>
        <w:trPr>
          <w:cantSplit/>
        </w:trPr>
        <w:tc>
          <w:tcPr>
            <w:tcW w:type="dxa" w:w="2448"/>
            <w:vAlign w:val="top"/>
          </w:tcPr>
          <w:p>
            <w:pPr>
              <w:spacing w:after="0"/>
            </w:pPr>
            <w:r>
              <w:rPr>
                <w:sz w:val="14"/>
              </w:rPr>
            </w:r>
            <w:r>
              <w:rPr>
                <w:b w:val="0"/>
                <w:sz w:val="14"/>
              </w:rPr>
              <w:t>Availability</w:t>
            </w:r>
          </w:p>
        </w:tc>
        <w:tc>
          <w:tcPr>
            <w:tcW w:type="dxa" w:w="7776"/>
            <w:vAlign w:val="top"/>
          </w:tcPr>
          <w:p>
            <w:pPr>
              <w:spacing w:after="0"/>
            </w:pPr>
            <w:r>
              <w:rPr>
                <w:sz w:val="14"/>
              </w:rPr>
            </w:r>
            <w:r>
              <w:rPr>
                <w:b w:val="0"/>
                <w:sz w:val="14"/>
              </w:rPr>
              <w:t>Target 99.9% for sponsor/portal APIs after marketplace launch; define planned maintenance process.</w:t>
            </w:r>
          </w:p>
        </w:tc>
      </w:tr>
      <w:tr>
        <w:trPr>
          <w:cantSplit/>
        </w:trPr>
        <w:tc>
          <w:tcPr>
            <w:tcW w:type="dxa" w:w="2448"/>
            <w:vAlign w:val="top"/>
          </w:tcPr>
          <w:p>
            <w:pPr>
              <w:spacing w:after="0"/>
            </w:pPr>
            <w:r>
              <w:rPr>
                <w:sz w:val="14"/>
              </w:rPr>
            </w:r>
            <w:r>
              <w:rPr>
                <w:b w:val="0"/>
                <w:sz w:val="14"/>
              </w:rPr>
              <w:t>Performance</w:t>
            </w:r>
          </w:p>
        </w:tc>
        <w:tc>
          <w:tcPr>
            <w:tcW w:type="dxa" w:w="7776"/>
            <w:vAlign w:val="top"/>
          </w:tcPr>
          <w:p>
            <w:pPr>
              <w:spacing w:after="0"/>
            </w:pPr>
            <w:r>
              <w:rPr>
                <w:sz w:val="14"/>
              </w:rPr>
            </w:r>
            <w:r>
              <w:rPr>
                <w:b w:val="0"/>
                <w:sz w:val="14"/>
              </w:rPr>
              <w:t>Common portal APIs p95 &lt; 500 ms excluding external integrations; analytics endpoints may use cached/aggregated data.</w:t>
            </w:r>
          </w:p>
        </w:tc>
      </w:tr>
      <w:tr>
        <w:trPr>
          <w:cantSplit/>
        </w:trPr>
        <w:tc>
          <w:tcPr>
            <w:tcW w:type="dxa" w:w="2448"/>
            <w:vAlign w:val="top"/>
          </w:tcPr>
          <w:p>
            <w:pPr>
              <w:spacing w:after="0"/>
            </w:pPr>
            <w:r>
              <w:rPr>
                <w:sz w:val="14"/>
              </w:rPr>
            </w:r>
            <w:r>
              <w:rPr>
                <w:b w:val="0"/>
                <w:sz w:val="14"/>
              </w:rPr>
              <w:t>Event Ingestion</w:t>
            </w:r>
          </w:p>
        </w:tc>
        <w:tc>
          <w:tcPr>
            <w:tcW w:type="dxa" w:w="7776"/>
            <w:vAlign w:val="top"/>
          </w:tcPr>
          <w:p>
            <w:pPr>
              <w:spacing w:after="0"/>
            </w:pPr>
            <w:r>
              <w:rPr>
                <w:sz w:val="14"/>
              </w:rPr>
            </w:r>
            <w:r>
              <w:rPr>
                <w:b w:val="0"/>
                <w:sz w:val="14"/>
              </w:rPr>
              <w:t>Design for burst traffic; batch endpoints and queue buffering required for INFINEX/social telemetry.</w:t>
            </w:r>
          </w:p>
        </w:tc>
      </w:tr>
      <w:tr>
        <w:trPr>
          <w:cantSplit/>
        </w:trPr>
        <w:tc>
          <w:tcPr>
            <w:tcW w:type="dxa" w:w="2448"/>
            <w:vAlign w:val="top"/>
          </w:tcPr>
          <w:p>
            <w:pPr>
              <w:spacing w:after="0"/>
            </w:pPr>
            <w:r>
              <w:rPr>
                <w:sz w:val="14"/>
              </w:rPr>
            </w:r>
            <w:r>
              <w:rPr>
                <w:b w:val="0"/>
                <w:sz w:val="14"/>
              </w:rPr>
              <w:t>Security</w:t>
            </w:r>
          </w:p>
        </w:tc>
        <w:tc>
          <w:tcPr>
            <w:tcW w:type="dxa" w:w="7776"/>
            <w:vAlign w:val="top"/>
          </w:tcPr>
          <w:p>
            <w:pPr>
              <w:spacing w:after="0"/>
            </w:pPr>
            <w:r>
              <w:rPr>
                <w:sz w:val="14"/>
              </w:rPr>
            </w:r>
            <w:r>
              <w:rPr>
                <w:b w:val="0"/>
                <w:sz w:val="14"/>
              </w:rPr>
              <w:t>MFA for privileged roles, OWASP testing, dependency scanning, secrets rotation, least privilege.</w:t>
            </w:r>
          </w:p>
        </w:tc>
      </w:tr>
      <w:tr>
        <w:trPr>
          <w:cantSplit/>
        </w:trPr>
        <w:tc>
          <w:tcPr>
            <w:tcW w:type="dxa" w:w="2448"/>
            <w:vAlign w:val="top"/>
          </w:tcPr>
          <w:p>
            <w:pPr>
              <w:spacing w:after="0"/>
            </w:pPr>
            <w:r>
              <w:rPr>
                <w:sz w:val="14"/>
              </w:rPr>
            </w:r>
            <w:r>
              <w:rPr>
                <w:b w:val="0"/>
                <w:sz w:val="14"/>
              </w:rPr>
              <w:t>Data Integrity</w:t>
            </w:r>
          </w:p>
        </w:tc>
        <w:tc>
          <w:tcPr>
            <w:tcW w:type="dxa" w:w="7776"/>
            <w:vAlign w:val="top"/>
          </w:tcPr>
          <w:p>
            <w:pPr>
              <w:spacing w:after="0"/>
            </w:pPr>
            <w:r>
              <w:rPr>
                <w:sz w:val="14"/>
              </w:rPr>
            </w:r>
            <w:r>
              <w:rPr>
                <w:b w:val="0"/>
                <w:sz w:val="14"/>
              </w:rPr>
              <w:t>Idempotent payment/reward/event processing; reconciliation jobs; database constraints.</w:t>
            </w:r>
          </w:p>
        </w:tc>
      </w:tr>
      <w:tr>
        <w:trPr>
          <w:cantSplit/>
        </w:trPr>
        <w:tc>
          <w:tcPr>
            <w:tcW w:type="dxa" w:w="2448"/>
            <w:vAlign w:val="top"/>
          </w:tcPr>
          <w:p>
            <w:pPr>
              <w:spacing w:after="0"/>
            </w:pPr>
            <w:r>
              <w:rPr>
                <w:sz w:val="14"/>
              </w:rPr>
            </w:r>
            <w:r>
              <w:rPr>
                <w:b w:val="0"/>
                <w:sz w:val="14"/>
              </w:rPr>
              <w:t>Audit</w:t>
            </w:r>
          </w:p>
        </w:tc>
        <w:tc>
          <w:tcPr>
            <w:tcW w:type="dxa" w:w="7776"/>
            <w:vAlign w:val="top"/>
          </w:tcPr>
          <w:p>
            <w:pPr>
              <w:spacing w:after="0"/>
            </w:pPr>
            <w:r>
              <w:rPr>
                <w:sz w:val="14"/>
              </w:rPr>
            </w:r>
            <w:r>
              <w:rPr>
                <w:b w:val="0"/>
                <w:sz w:val="14"/>
              </w:rPr>
              <w:t>Immutable audit history for financial/admin changes; retain according to policy.</w:t>
            </w:r>
          </w:p>
        </w:tc>
      </w:tr>
      <w:tr>
        <w:trPr>
          <w:cantSplit/>
        </w:trPr>
        <w:tc>
          <w:tcPr>
            <w:tcW w:type="dxa" w:w="2448"/>
            <w:vAlign w:val="top"/>
          </w:tcPr>
          <w:p>
            <w:pPr>
              <w:spacing w:after="0"/>
            </w:pPr>
            <w:r>
              <w:rPr>
                <w:sz w:val="14"/>
              </w:rPr>
            </w:r>
            <w:r>
              <w:rPr>
                <w:b w:val="0"/>
                <w:sz w:val="14"/>
              </w:rPr>
              <w:t>Backups</w:t>
            </w:r>
          </w:p>
        </w:tc>
        <w:tc>
          <w:tcPr>
            <w:tcW w:type="dxa" w:w="7776"/>
            <w:vAlign w:val="top"/>
          </w:tcPr>
          <w:p>
            <w:pPr>
              <w:spacing w:after="0"/>
            </w:pPr>
            <w:r>
              <w:rPr>
                <w:sz w:val="14"/>
              </w:rPr>
            </w:r>
            <w:r>
              <w:rPr>
                <w:b w:val="0"/>
                <w:sz w:val="14"/>
              </w:rPr>
              <w:t>Automated backups, point-in-time recovery where supported, documented restore test.</w:t>
            </w:r>
          </w:p>
        </w:tc>
      </w:tr>
      <w:tr>
        <w:trPr>
          <w:cantSplit/>
        </w:trPr>
        <w:tc>
          <w:tcPr>
            <w:tcW w:type="dxa" w:w="2448"/>
            <w:vAlign w:val="top"/>
          </w:tcPr>
          <w:p>
            <w:pPr>
              <w:spacing w:after="0"/>
            </w:pPr>
            <w:r>
              <w:rPr>
                <w:sz w:val="14"/>
              </w:rPr>
            </w:r>
            <w:r>
              <w:rPr>
                <w:b w:val="0"/>
                <w:sz w:val="14"/>
              </w:rPr>
              <w:t>RPO/RTO</w:t>
            </w:r>
          </w:p>
        </w:tc>
        <w:tc>
          <w:tcPr>
            <w:tcW w:type="dxa" w:w="7776"/>
            <w:vAlign w:val="top"/>
          </w:tcPr>
          <w:p>
            <w:pPr>
              <w:spacing w:after="0"/>
            </w:pPr>
            <w:r>
              <w:rPr>
                <w:sz w:val="14"/>
              </w:rPr>
            </w:r>
            <w:r>
              <w:rPr>
                <w:b w:val="0"/>
                <w:sz w:val="14"/>
              </w:rPr>
              <w:t>Establish formal targets before Phase 2 production; suggested early target RPO &lt;= 1 hour, RTO &lt;= 4 hours.</w:t>
            </w:r>
          </w:p>
        </w:tc>
      </w:tr>
      <w:tr>
        <w:trPr>
          <w:cantSplit/>
        </w:trPr>
        <w:tc>
          <w:tcPr>
            <w:tcW w:type="dxa" w:w="2448"/>
            <w:vAlign w:val="top"/>
          </w:tcPr>
          <w:p>
            <w:pPr>
              <w:spacing w:after="0"/>
            </w:pPr>
            <w:r>
              <w:rPr>
                <w:sz w:val="14"/>
              </w:rPr>
            </w:r>
            <w:r>
              <w:rPr>
                <w:b w:val="0"/>
                <w:sz w:val="14"/>
              </w:rPr>
              <w:t>Privacy</w:t>
            </w:r>
          </w:p>
        </w:tc>
        <w:tc>
          <w:tcPr>
            <w:tcW w:type="dxa" w:w="7776"/>
            <w:vAlign w:val="top"/>
          </w:tcPr>
          <w:p>
            <w:pPr>
              <w:spacing w:after="0"/>
            </w:pPr>
            <w:r>
              <w:rPr>
                <w:sz w:val="14"/>
              </w:rPr>
            </w:r>
            <w:r>
              <w:rPr>
                <w:b w:val="0"/>
                <w:sz w:val="14"/>
              </w:rPr>
              <w:t>Consent tracking, deletion/export workflow, configurable retention, masked PII in logs.</w:t>
            </w:r>
          </w:p>
        </w:tc>
      </w:tr>
      <w:tr>
        <w:trPr>
          <w:cantSplit/>
        </w:trPr>
        <w:tc>
          <w:tcPr>
            <w:tcW w:type="dxa" w:w="2448"/>
            <w:vAlign w:val="top"/>
          </w:tcPr>
          <w:p>
            <w:pPr>
              <w:spacing w:after="0"/>
            </w:pPr>
            <w:r>
              <w:rPr>
                <w:sz w:val="14"/>
              </w:rPr>
            </w:r>
            <w:r>
              <w:rPr>
                <w:b w:val="0"/>
                <w:sz w:val="14"/>
              </w:rPr>
              <w:t>Accessibility</w:t>
            </w:r>
          </w:p>
        </w:tc>
        <w:tc>
          <w:tcPr>
            <w:tcW w:type="dxa" w:w="7776"/>
            <w:vAlign w:val="top"/>
          </w:tcPr>
          <w:p>
            <w:pPr>
              <w:spacing w:after="0"/>
            </w:pPr>
            <w:r>
              <w:rPr>
                <w:sz w:val="14"/>
              </w:rPr>
            </w:r>
            <w:r>
              <w:rPr>
                <w:b w:val="0"/>
                <w:sz w:val="14"/>
              </w:rPr>
              <w:t>Target WCAG 2.1 AA for web portals wherever practical.</w:t>
            </w:r>
          </w:p>
        </w:tc>
      </w:tr>
      <w:tr>
        <w:trPr>
          <w:cantSplit/>
        </w:trPr>
        <w:tc>
          <w:tcPr>
            <w:tcW w:type="dxa" w:w="2448"/>
            <w:vAlign w:val="top"/>
          </w:tcPr>
          <w:p>
            <w:pPr>
              <w:spacing w:after="0"/>
            </w:pPr>
            <w:r>
              <w:rPr>
                <w:sz w:val="14"/>
              </w:rPr>
            </w:r>
            <w:r>
              <w:rPr>
                <w:b w:val="0"/>
                <w:sz w:val="14"/>
              </w:rPr>
              <w:t>Testing</w:t>
            </w:r>
          </w:p>
        </w:tc>
        <w:tc>
          <w:tcPr>
            <w:tcW w:type="dxa" w:w="7776"/>
            <w:vAlign w:val="top"/>
          </w:tcPr>
          <w:p>
            <w:pPr>
              <w:spacing w:after="0"/>
            </w:pPr>
            <w:r>
              <w:rPr>
                <w:sz w:val="14"/>
              </w:rPr>
            </w:r>
            <w:r>
              <w:rPr>
                <w:b w:val="0"/>
                <w:sz w:val="14"/>
              </w:rPr>
              <w:t>Unit, API integration, end-to-end, tenant-isolation, payment/reward idempotency, data reconciliation and load tests.</w:t>
            </w:r>
          </w:p>
        </w:tc>
      </w:tr>
    </w:tbl>
    <w:p/>
    <w:p>
      <w:pPr>
        <w:pStyle w:val="Heading1"/>
      </w:pPr>
      <w:r>
        <w:t>39. Recommended Delivery Team Structure</w:t>
      </w:r>
    </w:p>
    <w:p>
      <w:r>
        <w:t>For Phases 2-4, the preferred structure is one persistent core SponsorX team plus specialist resources that join by phase.</w:t>
      </w:r>
    </w:p>
    <w:tbl>
      <w:tblPr>
        <w:tblStyle w:val="TableGrid"/>
        <w:tblW w:type="auto" w:w="0"/>
        <w:jc w:val="center"/>
        <w:tblLook w:firstColumn="1" w:firstRow="1" w:lastColumn="0" w:lastRow="0" w:noHBand="0" w:noVBand="1" w:val="04A0"/>
      </w:tblPr>
      <w:tblGrid>
        <w:gridCol w:w="5184"/>
        <w:gridCol w:w="5184"/>
      </w:tblGrid>
      <w:tr>
        <w:trPr>
          <w:cantSplit/>
        </w:trPr>
        <w:tc>
          <w:tcPr>
            <w:tcW w:type="dxa" w:w="3024"/>
            <w:shd w:fill="1F4E79"/>
            <w:vAlign w:val="center"/>
          </w:tcPr>
          <w:p>
            <w:pPr>
              <w:spacing w:after="0"/>
            </w:pPr>
            <w:r/>
            <w:r>
              <w:rPr>
                <w:b/>
                <w:color w:val="FFFFFF"/>
                <w:sz w:val="16"/>
              </w:rPr>
              <w:t>Team</w:t>
            </w:r>
          </w:p>
        </w:tc>
        <w:tc>
          <w:tcPr>
            <w:tcW w:type="dxa" w:w="7200"/>
            <w:shd w:fill="1F4E79"/>
            <w:vAlign w:val="center"/>
          </w:tcPr>
          <w:p>
            <w:pPr>
              <w:spacing w:after="0"/>
            </w:pPr>
            <w:r/>
            <w:r>
              <w:rPr>
                <w:b/>
                <w:color w:val="FFFFFF"/>
                <w:sz w:val="16"/>
              </w:rPr>
              <w:t>Core Composition</w:t>
            </w:r>
          </w:p>
        </w:tc>
      </w:tr>
      <w:tr>
        <w:trPr>
          <w:cantSplit/>
        </w:trPr>
        <w:tc>
          <w:tcPr>
            <w:tcW w:type="dxa" w:w="3024"/>
            <w:vAlign w:val="top"/>
          </w:tcPr>
          <w:p>
            <w:pPr>
              <w:spacing w:after="0"/>
            </w:pPr>
            <w:r/>
            <w:r>
              <w:rPr>
                <w:b w:val="0"/>
                <w:sz w:val="16"/>
              </w:rPr>
              <w:t>Core Product</w:t>
            </w:r>
          </w:p>
        </w:tc>
        <w:tc>
          <w:tcPr>
            <w:tcW w:type="dxa" w:w="7200"/>
            <w:vAlign w:val="top"/>
          </w:tcPr>
          <w:p>
            <w:pPr>
              <w:spacing w:after="0"/>
            </w:pPr>
            <w:r/>
            <w:r>
              <w:rPr>
                <w:b w:val="0"/>
                <w:sz w:val="16"/>
              </w:rPr>
              <w:t>Product Manager, Technical Lead/Architect, UX/UI Designer</w:t>
            </w:r>
          </w:p>
        </w:tc>
      </w:tr>
      <w:tr>
        <w:trPr>
          <w:cantSplit/>
        </w:trPr>
        <w:tc>
          <w:tcPr>
            <w:tcW w:type="dxa" w:w="3024"/>
            <w:vAlign w:val="top"/>
          </w:tcPr>
          <w:p>
            <w:pPr>
              <w:spacing w:after="0"/>
            </w:pPr>
            <w:r/>
            <w:r>
              <w:rPr>
                <w:b w:val="0"/>
                <w:sz w:val="16"/>
              </w:rPr>
              <w:t>Application Engineering</w:t>
            </w:r>
          </w:p>
        </w:tc>
        <w:tc>
          <w:tcPr>
            <w:tcW w:type="dxa" w:w="7200"/>
            <w:vAlign w:val="top"/>
          </w:tcPr>
          <w:p>
            <w:pPr>
              <w:spacing w:after="0"/>
            </w:pPr>
            <w:r/>
            <w:r>
              <w:rPr>
                <w:b w:val="0"/>
                <w:sz w:val="16"/>
              </w:rPr>
              <w:t>2 Frontend Engineers, 2 Backend Engineers</w:t>
            </w:r>
          </w:p>
        </w:tc>
      </w:tr>
      <w:tr>
        <w:trPr>
          <w:cantSplit/>
        </w:trPr>
        <w:tc>
          <w:tcPr>
            <w:tcW w:type="dxa" w:w="3024"/>
            <w:vAlign w:val="top"/>
          </w:tcPr>
          <w:p>
            <w:pPr>
              <w:spacing w:after="0"/>
            </w:pPr>
            <w:r/>
            <w:r>
              <w:rPr>
                <w:b w:val="0"/>
                <w:sz w:val="16"/>
              </w:rPr>
              <w:t>Quality / Platform</w:t>
            </w:r>
          </w:p>
        </w:tc>
        <w:tc>
          <w:tcPr>
            <w:tcW w:type="dxa" w:w="7200"/>
            <w:vAlign w:val="top"/>
          </w:tcPr>
          <w:p>
            <w:pPr>
              <w:spacing w:after="0"/>
            </w:pPr>
            <w:r/>
            <w:r>
              <w:rPr>
                <w:b w:val="0"/>
                <w:sz w:val="16"/>
              </w:rPr>
              <w:t>QA Automation Engineer, fractional DevOps/SRE</w:t>
            </w:r>
          </w:p>
        </w:tc>
      </w:tr>
      <w:tr>
        <w:trPr>
          <w:cantSplit/>
        </w:trPr>
        <w:tc>
          <w:tcPr>
            <w:tcW w:type="dxa" w:w="3024"/>
            <w:vAlign w:val="top"/>
          </w:tcPr>
          <w:p>
            <w:pPr>
              <w:spacing w:after="0"/>
            </w:pPr>
            <w:r/>
            <w:r>
              <w:rPr>
                <w:b w:val="0"/>
                <w:sz w:val="16"/>
              </w:rPr>
              <w:t>Phase 2 Specialists</w:t>
            </w:r>
          </w:p>
        </w:tc>
        <w:tc>
          <w:tcPr>
            <w:tcW w:type="dxa" w:w="7200"/>
            <w:vAlign w:val="top"/>
          </w:tcPr>
          <w:p>
            <w:pPr>
              <w:spacing w:after="0"/>
            </w:pPr>
            <w:r/>
            <w:r>
              <w:rPr>
                <w:b w:val="0"/>
                <w:sz w:val="16"/>
              </w:rPr>
              <w:t>Payments/Marketplace integration engineer, compliance/legal reviewer</w:t>
            </w:r>
          </w:p>
        </w:tc>
      </w:tr>
      <w:tr>
        <w:trPr>
          <w:cantSplit/>
        </w:trPr>
        <w:tc>
          <w:tcPr>
            <w:tcW w:type="dxa" w:w="3024"/>
            <w:vAlign w:val="top"/>
          </w:tcPr>
          <w:p>
            <w:pPr>
              <w:spacing w:after="0"/>
            </w:pPr>
            <w:r/>
            <w:r>
              <w:rPr>
                <w:b w:val="0"/>
                <w:sz w:val="16"/>
              </w:rPr>
              <w:t>Phase 3 Specialists</w:t>
            </w:r>
          </w:p>
        </w:tc>
        <w:tc>
          <w:tcPr>
            <w:tcW w:type="dxa" w:w="7200"/>
            <w:vAlign w:val="top"/>
          </w:tcPr>
          <w:p>
            <w:pPr>
              <w:spacing w:after="0"/>
            </w:pPr>
            <w:r/>
            <w:r>
              <w:rPr>
                <w:b w:val="0"/>
                <w:sz w:val="16"/>
              </w:rPr>
              <w:t>Data Engineer(s), Data Scientist/Applied ML, attribution/privacy advisor</w:t>
            </w:r>
          </w:p>
        </w:tc>
      </w:tr>
      <w:tr>
        <w:trPr>
          <w:cantSplit/>
        </w:trPr>
        <w:tc>
          <w:tcPr>
            <w:tcW w:type="dxa" w:w="3024"/>
            <w:vAlign w:val="top"/>
          </w:tcPr>
          <w:p>
            <w:pPr>
              <w:spacing w:after="0"/>
            </w:pPr>
            <w:r/>
            <w:r>
              <w:rPr>
                <w:b w:val="0"/>
                <w:sz w:val="16"/>
              </w:rPr>
              <w:t>Phase 4 Specialists</w:t>
            </w:r>
          </w:p>
        </w:tc>
        <w:tc>
          <w:tcPr>
            <w:tcW w:type="dxa" w:w="7200"/>
            <w:vAlign w:val="top"/>
          </w:tcPr>
          <w:p>
            <w:pPr>
              <w:spacing w:after="0"/>
            </w:pPr>
            <w:r/>
            <w:r>
              <w:rPr>
                <w:b w:val="0"/>
                <w:sz w:val="16"/>
              </w:rPr>
              <w:t>INFINEX/game-engine engineer(s), data engineer, 3D/technical artist as needed</w:t>
            </w:r>
          </w:p>
        </w:tc>
      </w:tr>
    </w:tbl>
    <w:p/>
    <w:p>
      <w:pPr>
        <w:pStyle w:val="Heading1"/>
      </w:pPr>
      <w:r>
        <w:t>40. Budget Governance &amp; Contracting Recommendation</w:t>
      </w:r>
    </w:p>
    <w:p>
      <w:pPr>
        <w:pStyle w:val="ListBullet"/>
        <w:spacing w:after="20"/>
      </w:pPr>
      <w:r>
        <w:t>Contract each phase against milestone deliverables and acceptance criteria rather than open-ended hourly development alone.</w:t>
      </w:r>
    </w:p>
    <w:p>
      <w:pPr>
        <w:pStyle w:val="ListBullet"/>
        <w:spacing w:after="20"/>
      </w:pPr>
      <w:r>
        <w:t>Hold 10%-15% of each milestone payment until UAT acceptance and critical defects are resolved.</w:t>
      </w:r>
    </w:p>
    <w:p>
      <w:pPr>
        <w:pStyle w:val="ListBullet"/>
        <w:spacing w:after="20"/>
      </w:pPr>
      <w:r>
        <w:t>Require source code, infrastructure-as-code, API documentation, database migrations, design files and deployment credentials to be owned/controlled by BTG.</w:t>
      </w:r>
    </w:p>
    <w:p>
      <w:pPr>
        <w:pStyle w:val="ListBullet"/>
        <w:spacing w:after="20"/>
      </w:pPr>
      <w:r>
        <w:t>Avoid vendor lock-in by requiring provider adapters and documented replacement points for payments, wallet, analytics and attribution services.</w:t>
      </w:r>
    </w:p>
    <w:p>
      <w:pPr>
        <w:pStyle w:val="ListBullet"/>
        <w:spacing w:after="20"/>
      </w:pPr>
      <w:r>
        <w:t>Maintain a 10%-15% contingency reserve for third-party API changes, compliance requirements, performance scaling and integration rework.</w:t>
      </w:r>
    </w:p>
    <w:p>
      <w:pPr>
        <w:pStyle w:val="ListBullet"/>
        <w:spacing w:after="20"/>
      </w:pPr>
      <w:r>
        <w:t>Separate software development budget from sponsor creative production, 3D asset production, paid data licenses and transaction-provider fees.</w:t>
      </w:r>
    </w:p>
    <w:p>
      <w:pPr>
        <w:pStyle w:val="Heading1"/>
      </w:pPr>
      <w:r>
        <w:t>41. Recommended Go/No-Go Gates</w:t>
      </w:r>
    </w:p>
    <w:tbl>
      <w:tblPr>
        <w:tblStyle w:val="TableGrid"/>
        <w:tblW w:type="auto" w:w="0"/>
        <w:jc w:val="center"/>
        <w:tblLook w:firstColumn="1" w:firstRow="1" w:lastColumn="0" w:lastRow="0" w:noHBand="0" w:noVBand="1" w:val="04A0"/>
      </w:tblPr>
      <w:tblGrid>
        <w:gridCol w:w="5184"/>
        <w:gridCol w:w="5184"/>
      </w:tblGrid>
      <w:tr>
        <w:trPr>
          <w:cantSplit/>
        </w:trPr>
        <w:tc>
          <w:tcPr>
            <w:tcW w:type="dxa" w:w="3456"/>
            <w:shd w:fill="1F4E79"/>
            <w:vAlign w:val="center"/>
          </w:tcPr>
          <w:p>
            <w:pPr>
              <w:spacing w:after="0"/>
            </w:pPr>
            <w:r/>
            <w:r>
              <w:rPr>
                <w:b/>
                <w:color w:val="FFFFFF"/>
                <w:sz w:val="16"/>
              </w:rPr>
              <w:t>Gate</w:t>
            </w:r>
          </w:p>
        </w:tc>
        <w:tc>
          <w:tcPr>
            <w:tcW w:type="dxa" w:w="6768"/>
            <w:shd w:fill="1F4E79"/>
            <w:vAlign w:val="center"/>
          </w:tcPr>
          <w:p>
            <w:pPr>
              <w:spacing w:after="0"/>
            </w:pPr>
            <w:r/>
            <w:r>
              <w:rPr>
                <w:b/>
                <w:color w:val="FFFFFF"/>
                <w:sz w:val="16"/>
              </w:rPr>
              <w:t>Required Condition</w:t>
            </w:r>
          </w:p>
        </w:tc>
      </w:tr>
      <w:tr>
        <w:trPr>
          <w:cantSplit/>
        </w:trPr>
        <w:tc>
          <w:tcPr>
            <w:tcW w:type="dxa" w:w="3456"/>
            <w:vAlign w:val="top"/>
          </w:tcPr>
          <w:p>
            <w:pPr>
              <w:spacing w:after="0"/>
            </w:pPr>
            <w:r/>
            <w:r>
              <w:rPr>
                <w:b w:val="0"/>
                <w:sz w:val="16"/>
              </w:rPr>
              <w:t>Before Phase 2 Build</w:t>
            </w:r>
          </w:p>
        </w:tc>
        <w:tc>
          <w:tcPr>
            <w:tcW w:type="dxa" w:w="6768"/>
            <w:vAlign w:val="top"/>
          </w:tcPr>
          <w:p>
            <w:pPr>
              <w:spacing w:after="0"/>
            </w:pPr>
            <w:r/>
            <w:r>
              <w:rPr>
                <w:b w:val="0"/>
                <w:sz w:val="16"/>
              </w:rPr>
              <w:t>Phase 1 stable in production; inventory/campaign/reward models validated; RBAC/tenant model approved.</w:t>
            </w:r>
          </w:p>
        </w:tc>
      </w:tr>
      <w:tr>
        <w:trPr>
          <w:cantSplit/>
        </w:trPr>
        <w:tc>
          <w:tcPr>
            <w:tcW w:type="dxa" w:w="3456"/>
            <w:vAlign w:val="top"/>
          </w:tcPr>
          <w:p>
            <w:pPr>
              <w:spacing w:after="0"/>
            </w:pPr>
            <w:r/>
            <w:r>
              <w:rPr>
                <w:b w:val="0"/>
                <w:sz w:val="16"/>
              </w:rPr>
              <w:t>Before Phase 2 Payments</w:t>
            </w:r>
          </w:p>
        </w:tc>
        <w:tc>
          <w:tcPr>
            <w:tcW w:type="dxa" w:w="6768"/>
            <w:vAlign w:val="top"/>
          </w:tcPr>
          <w:p>
            <w:pPr>
              <w:spacing w:after="0"/>
            </w:pPr>
            <w:r/>
            <w:r>
              <w:rPr>
                <w:b w:val="0"/>
                <w:sz w:val="16"/>
              </w:rPr>
              <w:t>Commission ledger and reconciliation tests pass; legal/marketplace terms approved.</w:t>
            </w:r>
          </w:p>
        </w:tc>
      </w:tr>
      <w:tr>
        <w:trPr>
          <w:cantSplit/>
        </w:trPr>
        <w:tc>
          <w:tcPr>
            <w:tcW w:type="dxa" w:w="3456"/>
            <w:vAlign w:val="top"/>
          </w:tcPr>
          <w:p>
            <w:pPr>
              <w:spacing w:after="0"/>
            </w:pPr>
            <w:r/>
            <w:r>
              <w:rPr>
                <w:b w:val="0"/>
                <w:sz w:val="16"/>
              </w:rPr>
              <w:t>Before Phase 3 Intelligence</w:t>
            </w:r>
          </w:p>
        </w:tc>
        <w:tc>
          <w:tcPr>
            <w:tcW w:type="dxa" w:w="6768"/>
            <w:vAlign w:val="top"/>
          </w:tcPr>
          <w:p>
            <w:pPr>
              <w:spacing w:after="0"/>
            </w:pPr>
            <w:r/>
            <w:r>
              <w:rPr>
                <w:b w:val="0"/>
                <w:sz w:val="16"/>
              </w:rPr>
              <w:t>At least several months of reliable campaign/marketplace data OR agreement to launch rules-based intelligence first.</w:t>
            </w:r>
          </w:p>
        </w:tc>
      </w:tr>
      <w:tr>
        <w:trPr>
          <w:cantSplit/>
        </w:trPr>
        <w:tc>
          <w:tcPr>
            <w:tcW w:type="dxa" w:w="3456"/>
            <w:vAlign w:val="top"/>
          </w:tcPr>
          <w:p>
            <w:pPr>
              <w:spacing w:after="0"/>
            </w:pPr>
            <w:r/>
            <w:r>
              <w:rPr>
                <w:b w:val="0"/>
                <w:sz w:val="16"/>
              </w:rPr>
              <w:t>Before Attribution Claims</w:t>
            </w:r>
          </w:p>
        </w:tc>
        <w:tc>
          <w:tcPr>
            <w:tcW w:type="dxa" w:w="6768"/>
            <w:vAlign w:val="top"/>
          </w:tcPr>
          <w:p>
            <w:pPr>
              <w:spacing w:after="0"/>
            </w:pPr>
            <w:r/>
            <w:r>
              <w:rPr>
                <w:b w:val="0"/>
                <w:sz w:val="16"/>
              </w:rPr>
              <w:t>Partner methodology documented; verified vs estimated labels approved; reconciliation validated.</w:t>
            </w:r>
          </w:p>
        </w:tc>
      </w:tr>
      <w:tr>
        <w:trPr>
          <w:cantSplit/>
        </w:trPr>
        <w:tc>
          <w:tcPr>
            <w:tcW w:type="dxa" w:w="3456"/>
            <w:vAlign w:val="top"/>
          </w:tcPr>
          <w:p>
            <w:pPr>
              <w:spacing w:after="0"/>
            </w:pPr>
            <w:r/>
            <w:r>
              <w:rPr>
                <w:b w:val="0"/>
                <w:sz w:val="16"/>
              </w:rPr>
              <w:t>Before Phase 4 Build</w:t>
            </w:r>
          </w:p>
        </w:tc>
        <w:tc>
          <w:tcPr>
            <w:tcW w:type="dxa" w:w="6768"/>
            <w:vAlign w:val="top"/>
          </w:tcPr>
          <w:p>
            <w:pPr>
              <w:spacing w:after="0"/>
            </w:pPr>
            <w:r/>
            <w:r>
              <w:rPr>
                <w:b w:val="0"/>
                <w:sz w:val="16"/>
              </w:rPr>
              <w:t>INFINEX runtime selected; stable world/placement identifiers; event/identity model approved.</w:t>
            </w:r>
          </w:p>
        </w:tc>
      </w:tr>
      <w:tr>
        <w:trPr>
          <w:cantSplit/>
        </w:trPr>
        <w:tc>
          <w:tcPr>
            <w:tcW w:type="dxa" w:w="3456"/>
            <w:vAlign w:val="top"/>
          </w:tcPr>
          <w:p>
            <w:pPr>
              <w:spacing w:after="0"/>
            </w:pPr>
            <w:r/>
            <w:r>
              <w:rPr>
                <w:b w:val="0"/>
                <w:sz w:val="16"/>
              </w:rPr>
              <w:t>Before Sponsor-Facing Virtual Metrics</w:t>
            </w:r>
          </w:p>
        </w:tc>
        <w:tc>
          <w:tcPr>
            <w:tcW w:type="dxa" w:w="6768"/>
            <w:vAlign w:val="top"/>
          </w:tcPr>
          <w:p>
            <w:pPr>
              <w:spacing w:after="0"/>
            </w:pPr>
            <w:r/>
            <w:r>
              <w:rPr>
                <w:b w:val="0"/>
                <w:sz w:val="16"/>
              </w:rPr>
              <w:t>Pilot telemetry validated; duplication/viewability tests pass; event-lag monitoring operational.</w:t>
            </w:r>
          </w:p>
        </w:tc>
      </w:tr>
    </w:tbl>
    <w:p/>
    <w:p>
      <w:pPr>
        <w:pStyle w:val="Heading1"/>
      </w:pPr>
      <w:r>
        <w:t>42. Final Developer Deliverables for Phases 2-4</w:t>
      </w:r>
    </w:p>
    <w:p>
      <w:pPr>
        <w:pStyle w:val="ListBullet"/>
        <w:spacing w:after="20"/>
      </w:pPr>
      <w:r>
        <w:t>Updated system architecture diagram covering marketplace, payments, analytics warehouse, model services and INFINEX.</w:t>
      </w:r>
    </w:p>
    <w:p>
      <w:pPr>
        <w:pStyle w:val="ListBullet"/>
        <w:spacing w:after="20"/>
      </w:pPr>
      <w:r>
        <w:t>UX/UI source files for every screen defined in this continuation.</w:t>
      </w:r>
    </w:p>
    <w:p>
      <w:pPr>
        <w:pStyle w:val="ListBullet"/>
        <w:spacing w:after="20"/>
      </w:pPr>
      <w:r>
        <w:t>Database ERDs and migrations for all new tables.</w:t>
      </w:r>
    </w:p>
    <w:p>
      <w:pPr>
        <w:pStyle w:val="ListBullet"/>
        <w:spacing w:after="20"/>
      </w:pPr>
      <w:r>
        <w:t>OpenAPI specification for all public/internal endpoints.</w:t>
      </w:r>
    </w:p>
    <w:p>
      <w:pPr>
        <w:pStyle w:val="ListBullet"/>
        <w:spacing w:after="20"/>
      </w:pPr>
      <w:r>
        <w:t>Webhook/event taxonomy and example payloads.</w:t>
      </w:r>
    </w:p>
    <w:p>
      <w:pPr>
        <w:pStyle w:val="ListBullet"/>
        <w:spacing w:after="20"/>
      </w:pPr>
      <w:r>
        <w:t>Payment/ledger reconciliation specification and test cases.</w:t>
      </w:r>
    </w:p>
    <w:p>
      <w:pPr>
        <w:pStyle w:val="ListBullet"/>
        <w:spacing w:after="20"/>
      </w:pPr>
      <w:r>
        <w:t>Pricing/matching/forecast model documentation including factors and versioning.</w:t>
      </w:r>
    </w:p>
    <w:p>
      <w:pPr>
        <w:pStyle w:val="ListBullet"/>
        <w:spacing w:after="20"/>
      </w:pPr>
      <w:r>
        <w:t>Attribution-method documentation and reporting labels.</w:t>
      </w:r>
    </w:p>
    <w:p>
      <w:pPr>
        <w:pStyle w:val="ListBullet"/>
        <w:spacing w:after="20"/>
      </w:pPr>
      <w:r>
        <w:t>INFINEX client integration guide and event SDK/specification.</w:t>
      </w:r>
    </w:p>
    <w:p>
      <w:pPr>
        <w:pStyle w:val="ListBullet"/>
        <w:spacing w:after="20"/>
      </w:pPr>
      <w:r>
        <w:t>Automated test suite and test coverage report.</w:t>
      </w:r>
    </w:p>
    <w:p>
      <w:pPr>
        <w:pStyle w:val="ListBullet"/>
        <w:spacing w:after="20"/>
      </w:pPr>
      <w:r>
        <w:t>Security review results and remediation log.</w:t>
      </w:r>
    </w:p>
    <w:p>
      <w:pPr>
        <w:pStyle w:val="ListBullet"/>
        <w:spacing w:after="20"/>
      </w:pPr>
      <w:r>
        <w:t>Deployment/runbooks, monitoring dashboards and incident procedures.</w:t>
      </w:r>
    </w:p>
    <w:p>
      <w:pPr>
        <w:pStyle w:val="ListBullet"/>
        <w:spacing w:after="20"/>
      </w:pPr>
      <w:r>
        <w:t>Administrator guide, sponsor/property user guide, and technical handoff session.</w:t>
      </w:r>
    </w:p>
    <w:p>
      <w:pPr>
        <w:pStyle w:val="ListBullet"/>
        <w:spacing w:after="20"/>
      </w:pPr>
      <w:r>
        <w:t>UAT sign-off for each phase before production release.</w:t>
      </w:r>
    </w:p>
    <w:p>
      <w:pPr>
        <w:pStyle w:val="Heading1"/>
      </w:pPr>
      <w:r>
        <w:t>43. Recommended Next Artifact</w:t>
      </w:r>
    </w:p>
    <w:p>
      <w:r>
        <w:t>After approval of this specification, the next artifact should be a unified SponsorX Product Requirements &amp; Sprint Backlog workbook containing every Phase 1-4 epic, user story, priority, dependency, owner, acceptance criterion, sprint assignment, estimate, status and release target. That workbook should become the operating build tracker for the development team.</w:t>
      </w:r>
    </w:p>
    <w:sectPr w:rsidR="00FC693F" w:rsidRPr="0006063C" w:rsidSect="00034616">
      <w:footerReference w:type="default" r:id="rId9"/>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sz w:val="16"/>
      </w:rPr>
      <w:t>BTG SponsorX | Phases 2-4 Detailed Developer Specifications | Confidential</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8"/>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6"/>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