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C2BF2E" w14:textId="77777777" w:rsidR="00E56D17" w:rsidRDefault="00E56D17" w:rsidP="00E56D17">
      <w:pPr>
        <w:shd w:val="clear" w:color="auto" w:fill="FFFFFF"/>
        <w:spacing w:after="72" w:line="288" w:lineRule="atLeast"/>
        <w:jc w:val="center"/>
        <w:textAlignment w:val="baseline"/>
        <w:outlineLvl w:val="2"/>
        <w:rPr>
          <w:rFonts w:ascii="inherit" w:eastAsia="Times New Roman" w:hAnsi="inherit" w:cs="Times New Roman"/>
          <w:b/>
          <w:bCs/>
          <w:color w:val="212721"/>
          <w:sz w:val="27"/>
          <w:szCs w:val="27"/>
        </w:rPr>
      </w:pPr>
      <w:r>
        <w:rPr>
          <w:rFonts w:ascii="inherit" w:eastAsia="Times New Roman" w:hAnsi="inherit" w:cs="Times New Roman"/>
          <w:b/>
          <w:bCs/>
          <w:color w:val="212721"/>
          <w:sz w:val="27"/>
          <w:szCs w:val="27"/>
        </w:rPr>
        <w:t>Definitions</w:t>
      </w:r>
    </w:p>
    <w:p w14:paraId="4B2D2D8A" w14:textId="77777777" w:rsidR="00E56D17" w:rsidRDefault="00E56D17" w:rsidP="00E56D17">
      <w:pPr>
        <w:shd w:val="clear" w:color="auto" w:fill="FFFFFF"/>
        <w:spacing w:after="72" w:line="288" w:lineRule="atLeast"/>
        <w:textAlignment w:val="baseline"/>
        <w:outlineLvl w:val="2"/>
        <w:rPr>
          <w:rFonts w:ascii="inherit" w:eastAsia="Times New Roman" w:hAnsi="inherit" w:cs="Times New Roman"/>
          <w:b/>
          <w:bCs/>
          <w:color w:val="212721"/>
          <w:sz w:val="27"/>
          <w:szCs w:val="27"/>
        </w:rPr>
      </w:pPr>
    </w:p>
    <w:p w14:paraId="1F38DB48" w14:textId="77777777" w:rsidR="00E56D17" w:rsidRPr="00E56D17" w:rsidRDefault="00E56D17" w:rsidP="00E56D17">
      <w:pPr>
        <w:shd w:val="clear" w:color="auto" w:fill="FFFFFF"/>
        <w:spacing w:after="72" w:line="288" w:lineRule="atLeast"/>
        <w:textAlignment w:val="baseline"/>
        <w:outlineLvl w:val="2"/>
        <w:rPr>
          <w:rFonts w:ascii="inherit" w:eastAsia="Times New Roman" w:hAnsi="inherit" w:cs="Times New Roman"/>
          <w:b/>
          <w:bCs/>
          <w:color w:val="212721"/>
          <w:sz w:val="27"/>
          <w:szCs w:val="27"/>
        </w:rPr>
      </w:pPr>
      <w:r>
        <w:rPr>
          <w:rFonts w:ascii="inherit" w:eastAsia="Times New Roman" w:hAnsi="inherit" w:cs="Times New Roman"/>
          <w:b/>
          <w:bCs/>
          <w:color w:val="212721"/>
          <w:sz w:val="27"/>
          <w:szCs w:val="27"/>
        </w:rPr>
        <w:t>In-Kind</w:t>
      </w:r>
    </w:p>
    <w:p w14:paraId="63410BF5" w14:textId="77777777" w:rsidR="00E56D17" w:rsidRPr="00E56D17" w:rsidRDefault="00E56D17" w:rsidP="00E56D17">
      <w:pPr>
        <w:shd w:val="clear" w:color="auto" w:fill="FFFFFF"/>
        <w:spacing w:after="240" w:line="348" w:lineRule="atLeast"/>
        <w:textAlignment w:val="baseline"/>
        <w:rPr>
          <w:rFonts w:ascii="inherit" w:eastAsia="Times New Roman" w:hAnsi="inherit" w:cs="Times New Roman"/>
          <w:color w:val="222222"/>
          <w:sz w:val="21"/>
          <w:szCs w:val="21"/>
        </w:rPr>
      </w:pPr>
      <w:r w:rsidRPr="00E56D17">
        <w:rPr>
          <w:rFonts w:ascii="inherit" w:eastAsia="Times New Roman" w:hAnsi="inherit" w:cs="Times New Roman"/>
          <w:color w:val="222222"/>
          <w:sz w:val="21"/>
          <w:szCs w:val="21"/>
        </w:rPr>
        <w:t>Non-cash contributions contributed by a third party, such as when individuals at another organization volunteer their time, equipment, or facilities. 2 CFR 200.306 dictates the terms by which in-kind contributions are valued for the purpose of fulfilling cost sharing obligations.</w:t>
      </w:r>
    </w:p>
    <w:p w14:paraId="517495B0" w14:textId="77777777" w:rsidR="00E56D17" w:rsidRPr="00E56D17" w:rsidRDefault="00E56D17" w:rsidP="00E56D17">
      <w:pPr>
        <w:shd w:val="clear" w:color="auto" w:fill="FFFFFF"/>
        <w:spacing w:after="72" w:line="288" w:lineRule="atLeast"/>
        <w:textAlignment w:val="baseline"/>
        <w:outlineLvl w:val="2"/>
        <w:rPr>
          <w:rFonts w:ascii="inherit" w:eastAsia="Times New Roman" w:hAnsi="inherit" w:cs="Times New Roman"/>
          <w:b/>
          <w:bCs/>
          <w:color w:val="212721"/>
          <w:sz w:val="27"/>
          <w:szCs w:val="27"/>
        </w:rPr>
      </w:pPr>
      <w:r w:rsidRPr="00E56D17">
        <w:rPr>
          <w:rFonts w:ascii="inherit" w:eastAsia="Times New Roman" w:hAnsi="inherit" w:cs="Times New Roman"/>
          <w:b/>
          <w:bCs/>
          <w:color w:val="212721"/>
          <w:sz w:val="27"/>
          <w:szCs w:val="27"/>
        </w:rPr>
        <w:t>Cost Share</w:t>
      </w:r>
    </w:p>
    <w:p w14:paraId="009F590F" w14:textId="77777777" w:rsidR="00E56D17" w:rsidRDefault="00E56D17" w:rsidP="00E56D17">
      <w:pPr>
        <w:shd w:val="clear" w:color="auto" w:fill="FFFFFF"/>
        <w:spacing w:after="240" w:line="348" w:lineRule="atLeast"/>
        <w:textAlignment w:val="baseline"/>
        <w:rPr>
          <w:rFonts w:ascii="inherit" w:eastAsia="Times New Roman" w:hAnsi="inherit" w:cs="Times New Roman"/>
          <w:color w:val="222222"/>
          <w:sz w:val="21"/>
          <w:szCs w:val="21"/>
        </w:rPr>
      </w:pPr>
      <w:r w:rsidRPr="00E56D17">
        <w:rPr>
          <w:rFonts w:ascii="inherit" w:eastAsia="Times New Roman" w:hAnsi="inherit" w:cs="Times New Roman"/>
          <w:color w:val="222222"/>
          <w:sz w:val="21"/>
          <w:szCs w:val="21"/>
        </w:rPr>
        <w:t xml:space="preserve">Cost share or "matching" refers to the resources a recipient contributes to the total cost of an agreement. It becomes a condition of an award when it is part of the approved award budget. It is verifiable from the recipient's records, </w:t>
      </w:r>
      <w:proofErr w:type="spellStart"/>
      <w:r w:rsidRPr="00E56D17">
        <w:rPr>
          <w:rFonts w:ascii="inherit" w:eastAsia="Times New Roman" w:hAnsi="inherit" w:cs="Times New Roman"/>
          <w:color w:val="222222"/>
          <w:sz w:val="21"/>
          <w:szCs w:val="21"/>
        </w:rPr>
        <w:t>ie</w:t>
      </w:r>
      <w:proofErr w:type="spellEnd"/>
      <w:r w:rsidRPr="00E56D17">
        <w:rPr>
          <w:rFonts w:ascii="inherit" w:eastAsia="Times New Roman" w:hAnsi="inherit" w:cs="Times New Roman"/>
          <w:color w:val="222222"/>
          <w:sz w:val="21"/>
          <w:szCs w:val="21"/>
        </w:rPr>
        <w:t xml:space="preserve"> it CAN be audited. Includes all cash and in-kind contributions from the recipient or third parties.</w:t>
      </w:r>
      <w:r w:rsidRPr="00E56D17">
        <w:t xml:space="preserve"> </w:t>
      </w:r>
      <w:r w:rsidRPr="00E56D17">
        <w:rPr>
          <w:rFonts w:ascii="inherit" w:eastAsia="Times New Roman" w:hAnsi="inherit" w:cs="Times New Roman"/>
          <w:color w:val="222222"/>
          <w:sz w:val="21"/>
          <w:szCs w:val="21"/>
        </w:rPr>
        <w:t>Matching</w:t>
      </w:r>
      <w:r>
        <w:rPr>
          <w:rFonts w:ascii="inherit" w:eastAsia="Times New Roman" w:hAnsi="inherit" w:cs="Times New Roman"/>
          <w:color w:val="222222"/>
          <w:sz w:val="21"/>
          <w:szCs w:val="21"/>
        </w:rPr>
        <w:t xml:space="preserve">: </w:t>
      </w:r>
      <w:r w:rsidRPr="00E56D17">
        <w:rPr>
          <w:rFonts w:ascii="inherit" w:eastAsia="Times New Roman" w:hAnsi="inherit" w:cs="Times New Roman"/>
          <w:color w:val="222222"/>
          <w:sz w:val="21"/>
          <w:szCs w:val="21"/>
        </w:rPr>
        <w:t>A percentage or dollar equivalency relative to the agency-provided budget.</w:t>
      </w:r>
    </w:p>
    <w:p w14:paraId="7C2838F0" w14:textId="77777777" w:rsidR="00E56D17" w:rsidRDefault="00E56D17" w:rsidP="00E56D17">
      <w:pPr>
        <w:shd w:val="clear" w:color="auto" w:fill="FFFFFF"/>
        <w:spacing w:after="240" w:line="348" w:lineRule="atLeast"/>
        <w:textAlignment w:val="baseline"/>
        <w:rPr>
          <w:rFonts w:ascii="inherit" w:eastAsia="Times New Roman" w:hAnsi="inherit" w:cs="Times New Roman"/>
          <w:color w:val="222222"/>
          <w:sz w:val="21"/>
          <w:szCs w:val="21"/>
        </w:rPr>
      </w:pPr>
      <w:r w:rsidRPr="00E56D17">
        <w:rPr>
          <w:rFonts w:ascii="inherit" w:eastAsia="Times New Roman" w:hAnsi="inherit" w:cs="Times New Roman"/>
          <w:color w:val="222222"/>
          <w:sz w:val="21"/>
          <w:szCs w:val="21"/>
        </w:rPr>
        <w:t>The portion of project costs not paid by the sponsor. The term includes cash contributions, in-kind (non-cash) contributions, and matching funds</w:t>
      </w:r>
      <w:r>
        <w:rPr>
          <w:rFonts w:ascii="inherit" w:eastAsia="Times New Roman" w:hAnsi="inherit" w:cs="Times New Roman"/>
          <w:color w:val="222222"/>
          <w:sz w:val="21"/>
          <w:szCs w:val="21"/>
        </w:rPr>
        <w:t>.</w:t>
      </w:r>
    </w:p>
    <w:p w14:paraId="2E1D3AA3" w14:textId="77777777" w:rsidR="00E56D17" w:rsidRPr="00E56D17" w:rsidRDefault="00E56D17" w:rsidP="00E56D17">
      <w:pPr>
        <w:shd w:val="clear" w:color="auto" w:fill="FFFFFF"/>
        <w:spacing w:after="240" w:line="348" w:lineRule="atLeast"/>
        <w:textAlignment w:val="baseline"/>
        <w:rPr>
          <w:rFonts w:ascii="inherit" w:eastAsia="Times New Roman" w:hAnsi="inherit" w:cs="Times New Roman"/>
          <w:b/>
          <w:bCs/>
          <w:color w:val="212721"/>
          <w:sz w:val="27"/>
          <w:szCs w:val="27"/>
        </w:rPr>
      </w:pPr>
      <w:r w:rsidRPr="00E56D17">
        <w:rPr>
          <w:rFonts w:ascii="inherit" w:eastAsia="Times New Roman" w:hAnsi="inherit" w:cs="Times New Roman"/>
          <w:b/>
          <w:bCs/>
          <w:color w:val="212721"/>
          <w:sz w:val="27"/>
          <w:szCs w:val="27"/>
        </w:rPr>
        <w:t>Program Income</w:t>
      </w:r>
    </w:p>
    <w:p w14:paraId="325F505D" w14:textId="77777777" w:rsidR="00E56D17" w:rsidRPr="00E56D17" w:rsidRDefault="00E56D17" w:rsidP="00E56D17">
      <w:pPr>
        <w:shd w:val="clear" w:color="auto" w:fill="FFFFFF"/>
        <w:spacing w:after="240" w:line="348" w:lineRule="atLeast"/>
        <w:textAlignment w:val="baseline"/>
        <w:rPr>
          <w:rFonts w:ascii="inherit" w:eastAsia="Times New Roman" w:hAnsi="inherit" w:cs="Times New Roman"/>
          <w:color w:val="222222"/>
          <w:sz w:val="21"/>
          <w:szCs w:val="21"/>
        </w:rPr>
      </w:pPr>
      <w:r w:rsidRPr="00E56D17">
        <w:rPr>
          <w:rFonts w:ascii="inherit" w:eastAsia="Times New Roman" w:hAnsi="inherit" w:cs="Times New Roman"/>
          <w:color w:val="222222"/>
          <w:sz w:val="21"/>
          <w:szCs w:val="21"/>
        </w:rPr>
        <w:t xml:space="preserve">The gross income earned by the recipient that is directly generated by an activity supported under an assistance </w:t>
      </w:r>
      <w:proofErr w:type="gramStart"/>
      <w:r w:rsidRPr="00E56D17">
        <w:rPr>
          <w:rFonts w:ascii="inherit" w:eastAsia="Times New Roman" w:hAnsi="inherit" w:cs="Times New Roman"/>
          <w:color w:val="222222"/>
          <w:sz w:val="21"/>
          <w:szCs w:val="21"/>
        </w:rPr>
        <w:t>award, or</w:t>
      </w:r>
      <w:proofErr w:type="gramEnd"/>
      <w:r w:rsidRPr="00E56D17">
        <w:rPr>
          <w:rFonts w:ascii="inherit" w:eastAsia="Times New Roman" w:hAnsi="inherit" w:cs="Times New Roman"/>
          <w:color w:val="222222"/>
          <w:sz w:val="21"/>
          <w:szCs w:val="21"/>
        </w:rPr>
        <w:t xml:space="preserve"> earned as a result of the award. Includes (but is not limited to):</w:t>
      </w:r>
    </w:p>
    <w:p w14:paraId="0D9ACEC3" w14:textId="77777777" w:rsidR="00E56D17" w:rsidRPr="00E56D17" w:rsidRDefault="00E56D17" w:rsidP="00E56D17">
      <w:pPr>
        <w:numPr>
          <w:ilvl w:val="0"/>
          <w:numId w:val="1"/>
        </w:numPr>
        <w:shd w:val="clear" w:color="auto" w:fill="FFFFFF"/>
        <w:spacing w:after="144" w:line="240" w:lineRule="auto"/>
        <w:ind w:left="405"/>
        <w:textAlignment w:val="baseline"/>
        <w:rPr>
          <w:rFonts w:ascii="Source Sans Pro" w:eastAsia="Times New Roman" w:hAnsi="Source Sans Pro" w:cs="Times New Roman"/>
          <w:color w:val="222222"/>
          <w:sz w:val="21"/>
          <w:szCs w:val="21"/>
        </w:rPr>
      </w:pPr>
      <w:r w:rsidRPr="00E56D17">
        <w:rPr>
          <w:rFonts w:ascii="Source Sans Pro" w:eastAsia="Times New Roman" w:hAnsi="Source Sans Pro" w:cs="Times New Roman"/>
          <w:color w:val="222222"/>
          <w:sz w:val="21"/>
          <w:szCs w:val="21"/>
        </w:rPr>
        <w:t>Fees for services performed;</w:t>
      </w:r>
    </w:p>
    <w:p w14:paraId="06FAD38E" w14:textId="77777777" w:rsidR="00E56D17" w:rsidRPr="00E56D17" w:rsidRDefault="00E56D17" w:rsidP="00E56D17">
      <w:pPr>
        <w:numPr>
          <w:ilvl w:val="0"/>
          <w:numId w:val="1"/>
        </w:numPr>
        <w:shd w:val="clear" w:color="auto" w:fill="FFFFFF"/>
        <w:spacing w:after="144" w:line="240" w:lineRule="auto"/>
        <w:ind w:left="405"/>
        <w:textAlignment w:val="baseline"/>
        <w:rPr>
          <w:rFonts w:ascii="Source Sans Pro" w:eastAsia="Times New Roman" w:hAnsi="Source Sans Pro" w:cs="Times New Roman"/>
          <w:color w:val="222222"/>
          <w:sz w:val="21"/>
          <w:szCs w:val="21"/>
        </w:rPr>
      </w:pPr>
      <w:r w:rsidRPr="00E56D17">
        <w:rPr>
          <w:rFonts w:ascii="Source Sans Pro" w:eastAsia="Times New Roman" w:hAnsi="Source Sans Pro" w:cs="Times New Roman"/>
          <w:color w:val="222222"/>
          <w:sz w:val="21"/>
          <w:szCs w:val="21"/>
        </w:rPr>
        <w:t>The use of rental of real or personal property acquired under USG-funded projects on other non-USG projects;</w:t>
      </w:r>
    </w:p>
    <w:p w14:paraId="5F92915A" w14:textId="77777777" w:rsidR="00E56D17" w:rsidRPr="00E56D17" w:rsidRDefault="00E56D17" w:rsidP="00E56D17">
      <w:pPr>
        <w:numPr>
          <w:ilvl w:val="0"/>
          <w:numId w:val="1"/>
        </w:numPr>
        <w:shd w:val="clear" w:color="auto" w:fill="FFFFFF"/>
        <w:spacing w:after="144" w:line="240" w:lineRule="auto"/>
        <w:ind w:left="405"/>
        <w:textAlignment w:val="baseline"/>
        <w:rPr>
          <w:rFonts w:ascii="Source Sans Pro" w:eastAsia="Times New Roman" w:hAnsi="Source Sans Pro" w:cs="Times New Roman"/>
          <w:color w:val="222222"/>
          <w:sz w:val="21"/>
          <w:szCs w:val="21"/>
        </w:rPr>
      </w:pPr>
      <w:r w:rsidRPr="00E56D17">
        <w:rPr>
          <w:rFonts w:ascii="Source Sans Pro" w:eastAsia="Times New Roman" w:hAnsi="Source Sans Pro" w:cs="Times New Roman"/>
          <w:color w:val="222222"/>
          <w:sz w:val="21"/>
          <w:szCs w:val="21"/>
        </w:rPr>
        <w:t>Sale of commodities or items fabricated under an award; or</w:t>
      </w:r>
    </w:p>
    <w:p w14:paraId="14DF0E54" w14:textId="77777777" w:rsidR="00E56D17" w:rsidRPr="00E56D17" w:rsidRDefault="00E56D17" w:rsidP="00E56D17">
      <w:pPr>
        <w:numPr>
          <w:ilvl w:val="0"/>
          <w:numId w:val="1"/>
        </w:numPr>
        <w:shd w:val="clear" w:color="auto" w:fill="FFFFFF"/>
        <w:spacing w:after="144" w:line="240" w:lineRule="auto"/>
        <w:ind w:left="405"/>
        <w:textAlignment w:val="baseline"/>
        <w:rPr>
          <w:rFonts w:ascii="Source Sans Pro" w:eastAsia="Times New Roman" w:hAnsi="Source Sans Pro" w:cs="Times New Roman"/>
          <w:color w:val="222222"/>
          <w:sz w:val="21"/>
          <w:szCs w:val="21"/>
        </w:rPr>
      </w:pPr>
      <w:r w:rsidRPr="00E56D17">
        <w:rPr>
          <w:rFonts w:ascii="Source Sans Pro" w:eastAsia="Times New Roman" w:hAnsi="Source Sans Pro" w:cs="Times New Roman"/>
          <w:color w:val="222222"/>
          <w:sz w:val="21"/>
          <w:szCs w:val="21"/>
        </w:rPr>
        <w:t>Interest on loans made with award funds (</w:t>
      </w:r>
      <w:proofErr w:type="spellStart"/>
      <w:r w:rsidRPr="00E56D17">
        <w:rPr>
          <w:rFonts w:ascii="Source Sans Pro" w:eastAsia="Times New Roman" w:hAnsi="Source Sans Pro" w:cs="Times New Roman"/>
          <w:color w:val="222222"/>
          <w:sz w:val="21"/>
          <w:szCs w:val="21"/>
        </w:rPr>
        <w:t>ie</w:t>
      </w:r>
      <w:proofErr w:type="spellEnd"/>
      <w:r w:rsidRPr="00E56D17">
        <w:rPr>
          <w:rFonts w:ascii="Source Sans Pro" w:eastAsia="Times New Roman" w:hAnsi="Source Sans Pro" w:cs="Times New Roman"/>
          <w:color w:val="222222"/>
          <w:sz w:val="21"/>
          <w:szCs w:val="21"/>
        </w:rPr>
        <w:t xml:space="preserve"> microcredit programs).</w:t>
      </w:r>
    </w:p>
    <w:p w14:paraId="4C355DD1" w14:textId="77777777" w:rsidR="00E56D17" w:rsidRPr="00E56D17" w:rsidRDefault="00E56D17" w:rsidP="00E56D17">
      <w:pPr>
        <w:shd w:val="clear" w:color="auto" w:fill="FFFFFF"/>
        <w:spacing w:before="300" w:after="72" w:line="288" w:lineRule="atLeast"/>
        <w:textAlignment w:val="baseline"/>
        <w:outlineLvl w:val="2"/>
        <w:rPr>
          <w:rFonts w:ascii="inherit" w:eastAsia="Times New Roman" w:hAnsi="inherit" w:cs="Times New Roman"/>
          <w:b/>
          <w:bCs/>
          <w:color w:val="212721"/>
          <w:sz w:val="27"/>
          <w:szCs w:val="27"/>
        </w:rPr>
      </w:pPr>
      <w:r w:rsidRPr="00E56D17">
        <w:rPr>
          <w:rFonts w:ascii="inherit" w:eastAsia="Times New Roman" w:hAnsi="inherit" w:cs="Times New Roman"/>
          <w:b/>
          <w:bCs/>
          <w:color w:val="212721"/>
          <w:sz w:val="27"/>
          <w:szCs w:val="27"/>
        </w:rPr>
        <w:t>Leverage</w:t>
      </w:r>
    </w:p>
    <w:p w14:paraId="365D08B2" w14:textId="18200481" w:rsidR="00E56D17" w:rsidRDefault="00E56D17" w:rsidP="00E56D17">
      <w:pPr>
        <w:shd w:val="clear" w:color="auto" w:fill="FFFFFF"/>
        <w:spacing w:after="240" w:line="348" w:lineRule="atLeast"/>
        <w:textAlignment w:val="baseline"/>
        <w:rPr>
          <w:rFonts w:ascii="inherit" w:eastAsia="Times New Roman" w:hAnsi="inherit" w:cs="Times New Roman"/>
          <w:color w:val="222222"/>
          <w:sz w:val="21"/>
          <w:szCs w:val="21"/>
        </w:rPr>
      </w:pPr>
      <w:r w:rsidRPr="00E56D17">
        <w:rPr>
          <w:rFonts w:ascii="inherit" w:eastAsia="Times New Roman" w:hAnsi="inherit" w:cs="Times New Roman"/>
          <w:color w:val="222222"/>
          <w:sz w:val="21"/>
          <w:szCs w:val="21"/>
        </w:rPr>
        <w:t xml:space="preserve">Resources that a non-traditional USAID partner brings to a public-private partnership, </w:t>
      </w:r>
      <w:proofErr w:type="spellStart"/>
      <w:r w:rsidRPr="00E56D17">
        <w:rPr>
          <w:rFonts w:ascii="inherit" w:eastAsia="Times New Roman" w:hAnsi="inherit" w:cs="Times New Roman"/>
          <w:color w:val="222222"/>
          <w:sz w:val="21"/>
          <w:szCs w:val="21"/>
        </w:rPr>
        <w:t>ie</w:t>
      </w:r>
      <w:proofErr w:type="spellEnd"/>
      <w:r w:rsidRPr="00E56D17">
        <w:rPr>
          <w:rFonts w:ascii="inherit" w:eastAsia="Times New Roman" w:hAnsi="inherit" w:cs="Times New Roman"/>
          <w:color w:val="222222"/>
          <w:sz w:val="21"/>
          <w:szCs w:val="21"/>
        </w:rPr>
        <w:t xml:space="preserve"> the portion not being borne by USAID. These non-traditional resource partners are typically NOT receiving USAID funds. It can be a variety of forms - anything of value that is measured, financial contributions, third party contributions, donated services or property, or intellectual property. It can NOT be audited.</w:t>
      </w:r>
    </w:p>
    <w:p w14:paraId="1F59901F" w14:textId="0C564CFD" w:rsidR="003D67DB" w:rsidRPr="00E56D17" w:rsidRDefault="003D67DB" w:rsidP="00E56D17">
      <w:pPr>
        <w:shd w:val="clear" w:color="auto" w:fill="FFFFFF"/>
        <w:spacing w:after="240" w:line="348" w:lineRule="atLeast"/>
        <w:textAlignment w:val="baseline"/>
        <w:rPr>
          <w:rFonts w:ascii="inherit" w:eastAsia="Times New Roman" w:hAnsi="inherit" w:cs="Times New Roman"/>
          <w:color w:val="222222"/>
          <w:sz w:val="21"/>
          <w:szCs w:val="21"/>
        </w:rPr>
      </w:pPr>
      <w:proofErr w:type="gramStart"/>
      <w:r w:rsidRPr="003D67DB">
        <w:rPr>
          <w:rFonts w:ascii="inherit" w:eastAsia="Times New Roman" w:hAnsi="inherit" w:cs="Times New Roman"/>
          <w:color w:val="222222"/>
          <w:sz w:val="21"/>
          <w:szCs w:val="21"/>
        </w:rPr>
        <w:t>In an effort to</w:t>
      </w:r>
      <w:proofErr w:type="gramEnd"/>
      <w:r w:rsidRPr="003D67DB">
        <w:rPr>
          <w:rFonts w:ascii="inherit" w:eastAsia="Times New Roman" w:hAnsi="inherit" w:cs="Times New Roman"/>
          <w:color w:val="222222"/>
          <w:sz w:val="21"/>
          <w:szCs w:val="21"/>
        </w:rPr>
        <w:t xml:space="preserve"> facilitate substantial alliance investments, broaden the level of partner engagement, and help enhance the prospects of sustainable, wide scale impact, a GDA must mobilize private sector expertise, contributions and resources on at least a 1:1 basis. For example, if USAID (and/or other US Government (USG) agencies or entities) invests $1 million in an alliance, the array of contributions and resources provided by the private sector partners must have a value equal to $1 million and will </w:t>
      </w:r>
      <w:r w:rsidRPr="003D67DB">
        <w:rPr>
          <w:rFonts w:ascii="inherit" w:eastAsia="Times New Roman" w:hAnsi="inherit" w:cs="Times New Roman"/>
          <w:color w:val="222222"/>
          <w:sz w:val="21"/>
          <w:szCs w:val="21"/>
        </w:rPr>
        <w:lastRenderedPageBreak/>
        <w:t>preferably have a value significantly greater than $1 million. The private sector resource contribution must equal and, in general, should significantly exceed the level of resources provided by the USG. In fact, the level of resources mobilized by and from the private sector has historically been three to four times the level of resources contributed by the USG.21 USAID refers to this private sector resource mobilization as leverage. 22 While an alliance may mobilize a variety of other resources from a range of other sources, the 1:1 leverage requirement must be met through the mobilization of private sector expertise, contributions and resources.</w:t>
      </w:r>
    </w:p>
    <w:p w14:paraId="2A23727A" w14:textId="77777777" w:rsidR="00E56D17" w:rsidRPr="00E56D17" w:rsidRDefault="00E56D17" w:rsidP="00E56D17">
      <w:pPr>
        <w:shd w:val="clear" w:color="auto" w:fill="FFFFFF"/>
        <w:spacing w:before="300" w:after="72" w:line="288" w:lineRule="atLeast"/>
        <w:textAlignment w:val="baseline"/>
        <w:outlineLvl w:val="2"/>
        <w:rPr>
          <w:rFonts w:ascii="Source Sans Pro" w:eastAsia="Times New Roman" w:hAnsi="Source Sans Pro" w:cs="Times New Roman"/>
          <w:b/>
          <w:bCs/>
          <w:color w:val="212721"/>
          <w:sz w:val="31"/>
          <w:szCs w:val="31"/>
        </w:rPr>
      </w:pPr>
      <w:r>
        <w:rPr>
          <w:rFonts w:ascii="Source Sans Pro" w:eastAsia="Times New Roman" w:hAnsi="Source Sans Pro" w:cs="Times New Roman"/>
          <w:b/>
          <w:bCs/>
          <w:color w:val="212721"/>
          <w:sz w:val="31"/>
          <w:szCs w:val="31"/>
        </w:rPr>
        <w:t>S</w:t>
      </w:r>
      <w:r w:rsidRPr="00E56D17">
        <w:rPr>
          <w:rFonts w:ascii="Source Sans Pro" w:eastAsia="Times New Roman" w:hAnsi="Source Sans Pro" w:cs="Times New Roman"/>
          <w:b/>
          <w:bCs/>
          <w:color w:val="212721"/>
          <w:sz w:val="31"/>
          <w:szCs w:val="31"/>
        </w:rPr>
        <w:t>potlight on Cost Share</w:t>
      </w:r>
    </w:p>
    <w:p w14:paraId="2CEB75AF" w14:textId="77777777" w:rsidR="00E56D17" w:rsidRPr="00E56D17" w:rsidRDefault="00E56D17" w:rsidP="00E56D17">
      <w:pPr>
        <w:shd w:val="clear" w:color="auto" w:fill="FFFFFF"/>
        <w:spacing w:after="240" w:line="348" w:lineRule="atLeast"/>
        <w:textAlignment w:val="baseline"/>
        <w:rPr>
          <w:rFonts w:ascii="Source Sans Pro" w:eastAsia="Times New Roman" w:hAnsi="Source Sans Pro" w:cs="Times New Roman"/>
          <w:color w:val="222222"/>
          <w:sz w:val="21"/>
          <w:szCs w:val="21"/>
        </w:rPr>
      </w:pPr>
      <w:r w:rsidRPr="00E56D17">
        <w:rPr>
          <w:rFonts w:ascii="Source Sans Pro" w:eastAsia="Times New Roman" w:hAnsi="Source Sans Pro" w:cs="Times New Roman"/>
          <w:color w:val="222222"/>
          <w:sz w:val="21"/>
          <w:szCs w:val="21"/>
        </w:rPr>
        <w:t>There is no legislative requirement that assistance awards include cost share, but it is an important part of the USAID-recipient relationship.</w:t>
      </w:r>
    </w:p>
    <w:p w14:paraId="600E795D" w14:textId="77777777" w:rsidR="00E56D17" w:rsidRPr="00E56D17" w:rsidRDefault="00E56D17" w:rsidP="00E56D17">
      <w:pPr>
        <w:shd w:val="clear" w:color="auto" w:fill="FFFFFF"/>
        <w:spacing w:after="240" w:line="348" w:lineRule="atLeast"/>
        <w:textAlignment w:val="baseline"/>
        <w:rPr>
          <w:rFonts w:ascii="Source Sans Pro" w:eastAsia="Times New Roman" w:hAnsi="Source Sans Pro" w:cs="Times New Roman"/>
          <w:color w:val="222222"/>
          <w:sz w:val="21"/>
          <w:szCs w:val="21"/>
        </w:rPr>
      </w:pPr>
      <w:r w:rsidRPr="00E56D17">
        <w:rPr>
          <w:rFonts w:ascii="Source Sans Pro" w:eastAsia="Times New Roman" w:hAnsi="Source Sans Pro" w:cs="Times New Roman"/>
          <w:color w:val="222222"/>
          <w:sz w:val="21"/>
          <w:szCs w:val="21"/>
        </w:rPr>
        <w:t>If USAID chooses to require cost share in an award, it must:</w:t>
      </w:r>
    </w:p>
    <w:p w14:paraId="2652C6DE" w14:textId="77777777" w:rsidR="00E56D17" w:rsidRPr="00E56D17" w:rsidRDefault="00E56D17" w:rsidP="00E56D17">
      <w:pPr>
        <w:numPr>
          <w:ilvl w:val="0"/>
          <w:numId w:val="2"/>
        </w:numPr>
        <w:shd w:val="clear" w:color="auto" w:fill="FFFFFF"/>
        <w:spacing w:after="144" w:line="240" w:lineRule="auto"/>
        <w:ind w:left="405"/>
        <w:textAlignment w:val="baseline"/>
        <w:rPr>
          <w:rFonts w:ascii="Source Sans Pro" w:eastAsia="Times New Roman" w:hAnsi="Source Sans Pro" w:cs="Times New Roman"/>
          <w:color w:val="222222"/>
          <w:sz w:val="21"/>
          <w:szCs w:val="21"/>
        </w:rPr>
      </w:pPr>
      <w:r w:rsidRPr="00E56D17">
        <w:rPr>
          <w:rFonts w:ascii="Source Sans Pro" w:eastAsia="Times New Roman" w:hAnsi="Source Sans Pro" w:cs="Times New Roman"/>
          <w:color w:val="222222"/>
          <w:sz w:val="21"/>
          <w:szCs w:val="21"/>
        </w:rPr>
        <w:t>NOT use a set formula to determine the amount; and</w:t>
      </w:r>
    </w:p>
    <w:p w14:paraId="50A40392" w14:textId="77777777" w:rsidR="00E56D17" w:rsidRPr="00E56D17" w:rsidRDefault="00E56D17" w:rsidP="00E56D17">
      <w:pPr>
        <w:numPr>
          <w:ilvl w:val="0"/>
          <w:numId w:val="2"/>
        </w:numPr>
        <w:shd w:val="clear" w:color="auto" w:fill="FFFFFF"/>
        <w:spacing w:after="144" w:line="240" w:lineRule="auto"/>
        <w:ind w:left="405"/>
        <w:textAlignment w:val="baseline"/>
        <w:rPr>
          <w:rFonts w:ascii="Source Sans Pro" w:eastAsia="Times New Roman" w:hAnsi="Source Sans Pro" w:cs="Times New Roman"/>
          <w:color w:val="222222"/>
          <w:sz w:val="21"/>
          <w:szCs w:val="21"/>
        </w:rPr>
      </w:pPr>
      <w:r w:rsidRPr="00E56D17">
        <w:rPr>
          <w:rFonts w:ascii="Source Sans Pro" w:eastAsia="Times New Roman" w:hAnsi="Source Sans Pro" w:cs="Times New Roman"/>
          <w:color w:val="222222"/>
          <w:sz w:val="21"/>
          <w:szCs w:val="21"/>
        </w:rPr>
        <w:t>the cost share requirements MUST be stated in the announcement.</w:t>
      </w:r>
    </w:p>
    <w:p w14:paraId="3F29D879" w14:textId="77777777" w:rsidR="00E56D17" w:rsidRPr="00E56D17" w:rsidRDefault="00E56D17" w:rsidP="00E56D17">
      <w:pPr>
        <w:shd w:val="clear" w:color="auto" w:fill="FFFFFF"/>
        <w:spacing w:after="240" w:line="348" w:lineRule="atLeast"/>
        <w:textAlignment w:val="baseline"/>
        <w:rPr>
          <w:rFonts w:ascii="Source Sans Pro" w:eastAsia="Times New Roman" w:hAnsi="Source Sans Pro" w:cs="Times New Roman"/>
          <w:color w:val="222222"/>
          <w:sz w:val="21"/>
          <w:szCs w:val="21"/>
        </w:rPr>
      </w:pPr>
      <w:r w:rsidRPr="00E56D17">
        <w:rPr>
          <w:rFonts w:ascii="Source Sans Pro" w:eastAsia="Times New Roman" w:hAnsi="Source Sans Pro" w:cs="Times New Roman"/>
          <w:color w:val="222222"/>
          <w:sz w:val="21"/>
          <w:szCs w:val="21"/>
        </w:rPr>
        <w:t>If cost-share is included in the award document, the AOR is responsible for monitoring compliance.</w:t>
      </w:r>
    </w:p>
    <w:p w14:paraId="43626B08" w14:textId="77777777" w:rsidR="00E56D17" w:rsidRPr="00E56D17" w:rsidRDefault="00E56D17" w:rsidP="00E56D17">
      <w:pPr>
        <w:shd w:val="clear" w:color="auto" w:fill="FFFFFF"/>
        <w:spacing w:after="240" w:line="348" w:lineRule="atLeast"/>
        <w:textAlignment w:val="baseline"/>
        <w:rPr>
          <w:rFonts w:ascii="Source Sans Pro" w:eastAsia="Times New Roman" w:hAnsi="Source Sans Pro" w:cs="Times New Roman"/>
          <w:color w:val="222222"/>
          <w:sz w:val="21"/>
          <w:szCs w:val="21"/>
        </w:rPr>
      </w:pPr>
      <w:r w:rsidRPr="00E56D17">
        <w:rPr>
          <w:rFonts w:ascii="Source Sans Pro" w:eastAsia="Times New Roman" w:hAnsi="Source Sans Pro" w:cs="Times New Roman"/>
          <w:color w:val="222222"/>
          <w:sz w:val="21"/>
          <w:szCs w:val="21"/>
        </w:rPr>
        <w:t>If a recipient doesn't meet its cost share requirement, the AO may:</w:t>
      </w:r>
    </w:p>
    <w:p w14:paraId="31B0D9EA" w14:textId="77777777" w:rsidR="00E56D17" w:rsidRPr="00E56D17" w:rsidRDefault="00E56D17" w:rsidP="00E56D17">
      <w:pPr>
        <w:numPr>
          <w:ilvl w:val="0"/>
          <w:numId w:val="3"/>
        </w:numPr>
        <w:shd w:val="clear" w:color="auto" w:fill="FFFFFF"/>
        <w:spacing w:after="144" w:line="240" w:lineRule="auto"/>
        <w:ind w:left="405"/>
        <w:textAlignment w:val="baseline"/>
        <w:rPr>
          <w:rFonts w:ascii="Source Sans Pro" w:eastAsia="Times New Roman" w:hAnsi="Source Sans Pro" w:cs="Times New Roman"/>
          <w:color w:val="222222"/>
          <w:sz w:val="21"/>
          <w:szCs w:val="21"/>
        </w:rPr>
      </w:pPr>
      <w:r w:rsidRPr="00E56D17">
        <w:rPr>
          <w:rFonts w:ascii="Source Sans Pro" w:eastAsia="Times New Roman" w:hAnsi="Source Sans Pro" w:cs="Times New Roman"/>
          <w:color w:val="222222"/>
          <w:sz w:val="21"/>
          <w:szCs w:val="21"/>
        </w:rPr>
        <w:t>apply the difference to reduce the amount of USAID funding for the following funding period;</w:t>
      </w:r>
    </w:p>
    <w:p w14:paraId="68A4AED6" w14:textId="77777777" w:rsidR="00E56D17" w:rsidRPr="00E56D17" w:rsidRDefault="00E56D17" w:rsidP="00E56D17">
      <w:pPr>
        <w:numPr>
          <w:ilvl w:val="0"/>
          <w:numId w:val="3"/>
        </w:numPr>
        <w:shd w:val="clear" w:color="auto" w:fill="FFFFFF"/>
        <w:spacing w:after="144" w:line="240" w:lineRule="auto"/>
        <w:ind w:left="405"/>
        <w:textAlignment w:val="baseline"/>
        <w:rPr>
          <w:rFonts w:ascii="Source Sans Pro" w:eastAsia="Times New Roman" w:hAnsi="Source Sans Pro" w:cs="Times New Roman"/>
          <w:color w:val="222222"/>
          <w:sz w:val="21"/>
          <w:szCs w:val="21"/>
        </w:rPr>
      </w:pPr>
      <w:r w:rsidRPr="00E56D17">
        <w:rPr>
          <w:rFonts w:ascii="Source Sans Pro" w:eastAsia="Times New Roman" w:hAnsi="Source Sans Pro" w:cs="Times New Roman"/>
          <w:color w:val="222222"/>
          <w:sz w:val="21"/>
          <w:szCs w:val="21"/>
        </w:rPr>
        <w:t>require the recipient to refund the difference to USAID if the award has expired or has been terminated; or</w:t>
      </w:r>
    </w:p>
    <w:p w14:paraId="10D436DD" w14:textId="34491139" w:rsidR="00E56D17" w:rsidRDefault="00E56D17" w:rsidP="00E56D17">
      <w:pPr>
        <w:numPr>
          <w:ilvl w:val="0"/>
          <w:numId w:val="3"/>
        </w:numPr>
        <w:shd w:val="clear" w:color="auto" w:fill="FFFFFF"/>
        <w:spacing w:after="144" w:line="240" w:lineRule="auto"/>
        <w:ind w:left="405"/>
        <w:textAlignment w:val="baseline"/>
        <w:rPr>
          <w:rFonts w:ascii="Source Sans Pro" w:eastAsia="Times New Roman" w:hAnsi="Source Sans Pro" w:cs="Times New Roman"/>
          <w:color w:val="222222"/>
          <w:sz w:val="21"/>
          <w:szCs w:val="21"/>
        </w:rPr>
      </w:pPr>
      <w:r w:rsidRPr="00E56D17">
        <w:rPr>
          <w:rFonts w:ascii="Source Sans Pro" w:eastAsia="Times New Roman" w:hAnsi="Source Sans Pro" w:cs="Times New Roman"/>
          <w:color w:val="222222"/>
          <w:sz w:val="21"/>
          <w:szCs w:val="21"/>
        </w:rPr>
        <w:t>for non-U.S. NGO's only: reduce the amount of cost share required under the award.</w:t>
      </w:r>
    </w:p>
    <w:p w14:paraId="6AE1B5C0" w14:textId="70066F7F" w:rsidR="003B07A7" w:rsidRDefault="003B07A7" w:rsidP="003B07A7">
      <w:pPr>
        <w:shd w:val="clear" w:color="auto" w:fill="FFFFFF"/>
        <w:spacing w:after="144" w:line="240" w:lineRule="auto"/>
        <w:textAlignment w:val="baseline"/>
        <w:rPr>
          <w:rFonts w:ascii="Source Sans Pro" w:eastAsia="Times New Roman" w:hAnsi="Source Sans Pro" w:cs="Times New Roman"/>
          <w:color w:val="222222"/>
          <w:sz w:val="21"/>
          <w:szCs w:val="21"/>
        </w:rPr>
      </w:pPr>
    </w:p>
    <w:p w14:paraId="0096ECBF" w14:textId="77777777" w:rsidR="003B07A7" w:rsidRPr="003B07A7" w:rsidRDefault="003B07A7" w:rsidP="003B07A7">
      <w:pPr>
        <w:shd w:val="clear" w:color="auto" w:fill="FFFFFF"/>
        <w:spacing w:after="144" w:line="240" w:lineRule="auto"/>
        <w:textAlignment w:val="baseline"/>
        <w:rPr>
          <w:rFonts w:ascii="Source Sans Pro" w:eastAsia="Times New Roman" w:hAnsi="Source Sans Pro" w:cs="Times New Roman"/>
          <w:b/>
          <w:bCs/>
          <w:color w:val="212721"/>
          <w:sz w:val="31"/>
          <w:szCs w:val="31"/>
        </w:rPr>
      </w:pPr>
      <w:r w:rsidRPr="003B07A7">
        <w:rPr>
          <w:rFonts w:ascii="Source Sans Pro" w:eastAsia="Times New Roman" w:hAnsi="Source Sans Pro" w:cs="Times New Roman"/>
          <w:b/>
          <w:bCs/>
          <w:color w:val="212721"/>
          <w:sz w:val="31"/>
          <w:szCs w:val="31"/>
        </w:rPr>
        <w:t xml:space="preserve">What is the Relationship between Leverage and Cost-Share? </w:t>
      </w:r>
    </w:p>
    <w:p w14:paraId="7310AD0F" w14:textId="77777777" w:rsidR="00CB71CA" w:rsidRDefault="003B07A7" w:rsidP="008D395E">
      <w:pPr>
        <w:shd w:val="clear" w:color="auto" w:fill="FFFFFF"/>
        <w:spacing w:after="144" w:line="240" w:lineRule="auto"/>
        <w:textAlignment w:val="baseline"/>
        <w:rPr>
          <w:rFonts w:ascii="inherit" w:eastAsia="Times New Roman" w:hAnsi="inherit" w:cs="Times New Roman"/>
          <w:color w:val="222222"/>
          <w:sz w:val="21"/>
          <w:szCs w:val="21"/>
        </w:rPr>
      </w:pPr>
      <w:r w:rsidRPr="003B07A7">
        <w:rPr>
          <w:rFonts w:ascii="inherit" w:eastAsia="Times New Roman" w:hAnsi="inherit" w:cs="Times New Roman"/>
          <w:color w:val="222222"/>
          <w:sz w:val="21"/>
          <w:szCs w:val="21"/>
        </w:rPr>
        <w:t xml:space="preserve">While both leverage and cost-share refer to a portion of project or program costs not borne by the United States Government, and while both can be counted toward the overall resource mobilization achieved under an alliance, they are distinguished in three very important ways: </w:t>
      </w:r>
    </w:p>
    <w:p w14:paraId="3EEC7ED3" w14:textId="5BEE60C7" w:rsidR="00CB71CA" w:rsidRDefault="003B07A7" w:rsidP="00CB71CA">
      <w:pPr>
        <w:pStyle w:val="ListParagraph"/>
        <w:numPr>
          <w:ilvl w:val="0"/>
          <w:numId w:val="5"/>
        </w:numPr>
        <w:shd w:val="clear" w:color="auto" w:fill="FFFFFF"/>
        <w:spacing w:after="144" w:line="240" w:lineRule="auto"/>
        <w:textAlignment w:val="baseline"/>
        <w:rPr>
          <w:rFonts w:ascii="inherit" w:eastAsia="Times New Roman" w:hAnsi="inherit" w:cs="Times New Roman"/>
          <w:color w:val="222222"/>
          <w:sz w:val="21"/>
          <w:szCs w:val="21"/>
        </w:rPr>
      </w:pPr>
      <w:r w:rsidRPr="00CB71CA">
        <w:rPr>
          <w:rFonts w:ascii="inherit" w:eastAsia="Times New Roman" w:hAnsi="inherit" w:cs="Times New Roman"/>
          <w:color w:val="222222"/>
          <w:sz w:val="21"/>
          <w:szCs w:val="21"/>
        </w:rPr>
        <w:t xml:space="preserve">Cost-share is binding and auditable under an award agreement; leverage is not. Leverage describes the quantifiable contributions provided by resource partners to a GDA. Unlike cost sharing or matching, which is an important element of the USAID/grantee relationship, leverage is not intended to be binding or auditable. It is not subject to traditional audit standards as it is not intended to </w:t>
      </w:r>
      <w:proofErr w:type="gramStart"/>
      <w:r w:rsidRPr="00CB71CA">
        <w:rPr>
          <w:rFonts w:ascii="inherit" w:eastAsia="Times New Roman" w:hAnsi="inherit" w:cs="Times New Roman"/>
          <w:color w:val="222222"/>
          <w:sz w:val="21"/>
          <w:szCs w:val="21"/>
        </w:rPr>
        <w:t>held</w:t>
      </w:r>
      <w:proofErr w:type="gramEnd"/>
      <w:r w:rsidRPr="00CB71CA">
        <w:rPr>
          <w:rFonts w:ascii="inherit" w:eastAsia="Times New Roman" w:hAnsi="inherit" w:cs="Times New Roman"/>
          <w:color w:val="222222"/>
          <w:sz w:val="21"/>
          <w:szCs w:val="21"/>
        </w:rPr>
        <w:t xml:space="preserve"> to the same level of accountability as cost-share or matching. However, given the strategic and programmatic value that leverage should contribute to the alliance, applicants are expected to identify what enhanced results are expected from any leverage proposed and provide and implement a mechanism for tracking / reporting that contribution. </w:t>
      </w:r>
    </w:p>
    <w:p w14:paraId="6303A35C" w14:textId="77777777" w:rsidR="00CB71CA" w:rsidRDefault="00CB71CA" w:rsidP="00CB71CA">
      <w:pPr>
        <w:pStyle w:val="ListParagraph"/>
        <w:shd w:val="clear" w:color="auto" w:fill="FFFFFF"/>
        <w:spacing w:after="144" w:line="240" w:lineRule="auto"/>
        <w:textAlignment w:val="baseline"/>
        <w:rPr>
          <w:rFonts w:ascii="inherit" w:eastAsia="Times New Roman" w:hAnsi="inherit" w:cs="Times New Roman"/>
          <w:color w:val="222222"/>
          <w:sz w:val="21"/>
          <w:szCs w:val="21"/>
        </w:rPr>
      </w:pPr>
    </w:p>
    <w:p w14:paraId="72B4E7AC" w14:textId="77777777" w:rsidR="00CB71CA" w:rsidRDefault="003B07A7" w:rsidP="00CB71CA">
      <w:pPr>
        <w:pStyle w:val="ListParagraph"/>
        <w:numPr>
          <w:ilvl w:val="0"/>
          <w:numId w:val="5"/>
        </w:numPr>
        <w:shd w:val="clear" w:color="auto" w:fill="FFFFFF"/>
        <w:spacing w:after="144" w:line="240" w:lineRule="auto"/>
        <w:textAlignment w:val="baseline"/>
        <w:rPr>
          <w:rFonts w:ascii="inherit" w:eastAsia="Times New Roman" w:hAnsi="inherit" w:cs="Times New Roman"/>
          <w:color w:val="222222"/>
          <w:sz w:val="21"/>
          <w:szCs w:val="21"/>
        </w:rPr>
      </w:pPr>
      <w:r w:rsidRPr="00CB71CA">
        <w:rPr>
          <w:rFonts w:ascii="inherit" w:eastAsia="Times New Roman" w:hAnsi="inherit" w:cs="Times New Roman"/>
          <w:color w:val="222222"/>
          <w:sz w:val="21"/>
          <w:szCs w:val="21"/>
        </w:rPr>
        <w:lastRenderedPageBreak/>
        <w:t xml:space="preserve">The determination of what constitutes leverage is based on the objective, considerations and criteria set forth in this APS; the determination of what constitutes cost-share is set forth in (22 CFR 226.23 and ADS 303.3.10). </w:t>
      </w:r>
    </w:p>
    <w:p w14:paraId="2128A720" w14:textId="77777777" w:rsidR="00CB71CA" w:rsidRPr="00CB71CA" w:rsidRDefault="00CB71CA" w:rsidP="00CB71CA">
      <w:pPr>
        <w:pStyle w:val="ListParagraph"/>
        <w:rPr>
          <w:rFonts w:ascii="inherit" w:eastAsia="Times New Roman" w:hAnsi="inherit" w:cs="Times New Roman"/>
          <w:color w:val="222222"/>
          <w:sz w:val="21"/>
          <w:szCs w:val="21"/>
        </w:rPr>
      </w:pPr>
    </w:p>
    <w:p w14:paraId="5FBEBAAB" w14:textId="61BFACE0" w:rsidR="00CB71CA" w:rsidRPr="00CB71CA" w:rsidRDefault="003B07A7" w:rsidP="00CB71CA">
      <w:pPr>
        <w:pStyle w:val="ListParagraph"/>
        <w:numPr>
          <w:ilvl w:val="0"/>
          <w:numId w:val="5"/>
        </w:numPr>
        <w:shd w:val="clear" w:color="auto" w:fill="FFFFFF"/>
        <w:spacing w:after="144" w:line="240" w:lineRule="auto"/>
        <w:textAlignment w:val="baseline"/>
        <w:rPr>
          <w:rFonts w:ascii="inherit" w:eastAsia="Times New Roman" w:hAnsi="inherit" w:cs="Times New Roman"/>
          <w:color w:val="222222"/>
          <w:sz w:val="21"/>
          <w:szCs w:val="21"/>
        </w:rPr>
      </w:pPr>
      <w:r w:rsidRPr="00CB71CA">
        <w:rPr>
          <w:rFonts w:ascii="inherit" w:eastAsia="Times New Roman" w:hAnsi="inherit" w:cs="Times New Roman"/>
          <w:color w:val="222222"/>
          <w:sz w:val="21"/>
          <w:szCs w:val="21"/>
        </w:rPr>
        <w:t xml:space="preserve">If resources contributed by an organization are to be counted as leverage under an alliance, they cannot also be counted by the same organization as cost-share. Likewise, if resources are to be counted by an organization as that organization’s cost-share contribution, they cannot also be counted as that organization’s leverage contribution. While USAID welcomes cost-share under the GDA APS, cost-share does not count toward the meeting of the 1:1 leverage requirement. </w:t>
      </w:r>
    </w:p>
    <w:p w14:paraId="7FA7FFA3" w14:textId="6EF9EBAF" w:rsidR="008D395E" w:rsidRDefault="003B07A7" w:rsidP="008D395E">
      <w:pPr>
        <w:shd w:val="clear" w:color="auto" w:fill="FFFFFF"/>
        <w:spacing w:after="144" w:line="240" w:lineRule="auto"/>
        <w:textAlignment w:val="baseline"/>
        <w:rPr>
          <w:rFonts w:ascii="inherit" w:eastAsia="Times New Roman" w:hAnsi="inherit" w:cs="Times New Roman"/>
          <w:color w:val="222222"/>
          <w:sz w:val="21"/>
          <w:szCs w:val="21"/>
        </w:rPr>
      </w:pPr>
      <w:r w:rsidRPr="003B07A7">
        <w:rPr>
          <w:rFonts w:ascii="inherit" w:eastAsia="Times New Roman" w:hAnsi="inherit" w:cs="Times New Roman"/>
          <w:color w:val="222222"/>
          <w:sz w:val="21"/>
          <w:szCs w:val="21"/>
        </w:rPr>
        <w:t>Prospective implementing partners sometimes have difficulty distinguishing cost-share and leverage. Part of the challenge arises from the fact that certain types of resources, such as personnel time or facilities use, are acceptable as cost-share or leverage. However, as noted in this section, the partners must decide whether such resources will be counted as leverage or cost</w:t>
      </w:r>
      <w:r w:rsidR="005C4CF7">
        <w:rPr>
          <w:rFonts w:ascii="inherit" w:eastAsia="Times New Roman" w:hAnsi="inherit" w:cs="Times New Roman"/>
          <w:color w:val="222222"/>
          <w:sz w:val="21"/>
          <w:szCs w:val="21"/>
        </w:rPr>
        <w:t xml:space="preserve"> </w:t>
      </w:r>
      <w:bookmarkStart w:id="0" w:name="_GoBack"/>
      <w:bookmarkEnd w:id="0"/>
      <w:r w:rsidRPr="003B07A7">
        <w:rPr>
          <w:rFonts w:ascii="inherit" w:eastAsia="Times New Roman" w:hAnsi="inherit" w:cs="Times New Roman"/>
          <w:color w:val="222222"/>
          <w:sz w:val="21"/>
          <w:szCs w:val="21"/>
        </w:rPr>
        <w:t>share. Under any given alliance, for any given partner, leverage and cost-share are mutually</w:t>
      </w:r>
      <w:r w:rsidR="008D395E">
        <w:rPr>
          <w:rFonts w:ascii="inherit" w:eastAsia="Times New Roman" w:hAnsi="inherit" w:cs="Times New Roman"/>
          <w:color w:val="222222"/>
          <w:sz w:val="21"/>
          <w:szCs w:val="21"/>
        </w:rPr>
        <w:t xml:space="preserve"> </w:t>
      </w:r>
      <w:r w:rsidR="008D395E" w:rsidRPr="008D395E">
        <w:rPr>
          <w:rFonts w:ascii="inherit" w:eastAsia="Times New Roman" w:hAnsi="inherit" w:cs="Times New Roman"/>
          <w:color w:val="222222"/>
          <w:sz w:val="21"/>
          <w:szCs w:val="21"/>
        </w:rPr>
        <w:t>exclusive. If personnel time is counted as an organization’s cost-share contribution, it cannot be</w:t>
      </w:r>
      <w:r w:rsidR="008D395E">
        <w:rPr>
          <w:rFonts w:ascii="inherit" w:eastAsia="Times New Roman" w:hAnsi="inherit" w:cs="Times New Roman"/>
          <w:color w:val="222222"/>
          <w:sz w:val="21"/>
          <w:szCs w:val="21"/>
        </w:rPr>
        <w:t xml:space="preserve"> </w:t>
      </w:r>
      <w:r w:rsidR="008D395E" w:rsidRPr="008D395E">
        <w:rPr>
          <w:rFonts w:ascii="inherit" w:eastAsia="Times New Roman" w:hAnsi="inherit" w:cs="Times New Roman"/>
          <w:color w:val="222222"/>
          <w:sz w:val="21"/>
          <w:szCs w:val="21"/>
        </w:rPr>
        <w:t>counted as that organization’s leverage contribution.</w:t>
      </w:r>
      <w:r w:rsidR="008D395E">
        <w:rPr>
          <w:rFonts w:ascii="inherit" w:eastAsia="Times New Roman" w:hAnsi="inherit" w:cs="Times New Roman"/>
          <w:color w:val="222222"/>
          <w:sz w:val="21"/>
          <w:szCs w:val="21"/>
        </w:rPr>
        <w:t xml:space="preserve"> </w:t>
      </w:r>
    </w:p>
    <w:p w14:paraId="41F058F1" w14:textId="167ACA1A" w:rsidR="003B07A7" w:rsidRPr="00E56D17" w:rsidRDefault="008D395E" w:rsidP="008D395E">
      <w:pPr>
        <w:shd w:val="clear" w:color="auto" w:fill="FFFFFF"/>
        <w:spacing w:after="144" w:line="240" w:lineRule="auto"/>
        <w:textAlignment w:val="baseline"/>
        <w:rPr>
          <w:rFonts w:ascii="inherit" w:eastAsia="Times New Roman" w:hAnsi="inherit" w:cs="Times New Roman"/>
          <w:color w:val="222222"/>
          <w:sz w:val="21"/>
          <w:szCs w:val="21"/>
        </w:rPr>
      </w:pPr>
      <w:r w:rsidRPr="008D395E">
        <w:rPr>
          <w:rFonts w:ascii="inherit" w:eastAsia="Times New Roman" w:hAnsi="inherit" w:cs="Times New Roman"/>
          <w:color w:val="222222"/>
          <w:sz w:val="21"/>
          <w:szCs w:val="21"/>
        </w:rPr>
        <w:t>In some cases, as part of an effort to ensure that proposed leverage materializes over the course</w:t>
      </w:r>
      <w:r>
        <w:rPr>
          <w:rFonts w:ascii="inherit" w:eastAsia="Times New Roman" w:hAnsi="inherit" w:cs="Times New Roman"/>
          <w:color w:val="222222"/>
          <w:sz w:val="21"/>
          <w:szCs w:val="21"/>
        </w:rPr>
        <w:t xml:space="preserve"> </w:t>
      </w:r>
      <w:r w:rsidRPr="008D395E">
        <w:rPr>
          <w:rFonts w:ascii="inherit" w:eastAsia="Times New Roman" w:hAnsi="inherit" w:cs="Times New Roman"/>
          <w:color w:val="222222"/>
          <w:sz w:val="21"/>
          <w:szCs w:val="21"/>
        </w:rPr>
        <w:t>of an alliance, a private sector resource partner will be expected to provide its resources and</w:t>
      </w:r>
      <w:r>
        <w:rPr>
          <w:rFonts w:ascii="inherit" w:eastAsia="Times New Roman" w:hAnsi="inherit" w:cs="Times New Roman"/>
          <w:color w:val="222222"/>
          <w:sz w:val="21"/>
          <w:szCs w:val="21"/>
        </w:rPr>
        <w:t xml:space="preserve"> </w:t>
      </w:r>
      <w:r w:rsidRPr="008D395E">
        <w:rPr>
          <w:rFonts w:ascii="inherit" w:eastAsia="Times New Roman" w:hAnsi="inherit" w:cs="Times New Roman"/>
          <w:color w:val="222222"/>
          <w:sz w:val="21"/>
          <w:szCs w:val="21"/>
        </w:rPr>
        <w:t>contributions (the leverage) to the implementing partner and the implementing partner will be</w:t>
      </w:r>
      <w:r>
        <w:rPr>
          <w:rFonts w:ascii="inherit" w:eastAsia="Times New Roman" w:hAnsi="inherit" w:cs="Times New Roman"/>
          <w:color w:val="222222"/>
          <w:sz w:val="21"/>
          <w:szCs w:val="21"/>
        </w:rPr>
        <w:t xml:space="preserve"> </w:t>
      </w:r>
      <w:r w:rsidRPr="008D395E">
        <w:rPr>
          <w:rFonts w:ascii="inherit" w:eastAsia="Times New Roman" w:hAnsi="inherit" w:cs="Times New Roman"/>
          <w:color w:val="222222"/>
          <w:sz w:val="21"/>
          <w:szCs w:val="21"/>
        </w:rPr>
        <w:t>required to treat such anticipated resources as part of the implementing partner’s cost-share</w:t>
      </w:r>
      <w:r>
        <w:rPr>
          <w:rFonts w:ascii="inherit" w:eastAsia="Times New Roman" w:hAnsi="inherit" w:cs="Times New Roman"/>
          <w:color w:val="222222"/>
          <w:sz w:val="21"/>
          <w:szCs w:val="21"/>
        </w:rPr>
        <w:t xml:space="preserve"> </w:t>
      </w:r>
      <w:r w:rsidRPr="008D395E">
        <w:rPr>
          <w:rFonts w:ascii="inherit" w:eastAsia="Times New Roman" w:hAnsi="inherit" w:cs="Times New Roman"/>
          <w:color w:val="222222"/>
          <w:sz w:val="21"/>
          <w:szCs w:val="21"/>
        </w:rPr>
        <w:t>contribution and commitment under the award. This provides an incentive to the implementing</w:t>
      </w:r>
      <w:r>
        <w:rPr>
          <w:rFonts w:ascii="inherit" w:eastAsia="Times New Roman" w:hAnsi="inherit" w:cs="Times New Roman"/>
          <w:color w:val="222222"/>
          <w:sz w:val="21"/>
          <w:szCs w:val="21"/>
        </w:rPr>
        <w:t xml:space="preserve"> </w:t>
      </w:r>
      <w:r w:rsidRPr="008D395E">
        <w:rPr>
          <w:rFonts w:ascii="inherit" w:eastAsia="Times New Roman" w:hAnsi="inherit" w:cs="Times New Roman"/>
          <w:color w:val="222222"/>
          <w:sz w:val="21"/>
          <w:szCs w:val="21"/>
        </w:rPr>
        <w:t>partner to ensure the reliability and contribution of the leverage since the implementing partner’s</w:t>
      </w:r>
      <w:r>
        <w:rPr>
          <w:rFonts w:ascii="inherit" w:eastAsia="Times New Roman" w:hAnsi="inherit" w:cs="Times New Roman"/>
          <w:color w:val="222222"/>
          <w:sz w:val="21"/>
          <w:szCs w:val="21"/>
        </w:rPr>
        <w:t xml:space="preserve"> </w:t>
      </w:r>
      <w:r w:rsidRPr="008D395E">
        <w:rPr>
          <w:rFonts w:ascii="inherit" w:eastAsia="Times New Roman" w:hAnsi="inherit" w:cs="Times New Roman"/>
          <w:color w:val="222222"/>
          <w:sz w:val="21"/>
          <w:szCs w:val="21"/>
        </w:rPr>
        <w:t>proposed cost-share is auditable. USAID may also condition year to year funding on the</w:t>
      </w:r>
      <w:r>
        <w:rPr>
          <w:rFonts w:ascii="inherit" w:eastAsia="Times New Roman" w:hAnsi="inherit" w:cs="Times New Roman"/>
          <w:color w:val="222222"/>
          <w:sz w:val="21"/>
          <w:szCs w:val="21"/>
        </w:rPr>
        <w:t xml:space="preserve"> </w:t>
      </w:r>
      <w:r w:rsidRPr="008D395E">
        <w:rPr>
          <w:rFonts w:ascii="inherit" w:eastAsia="Times New Roman" w:hAnsi="inherit" w:cs="Times New Roman"/>
          <w:color w:val="222222"/>
          <w:sz w:val="21"/>
          <w:szCs w:val="21"/>
        </w:rPr>
        <w:t>achievement of leverage benchmarks. This approach can be used in lieu of or as a complement</w:t>
      </w:r>
      <w:r>
        <w:rPr>
          <w:rFonts w:ascii="inherit" w:eastAsia="Times New Roman" w:hAnsi="inherit" w:cs="Times New Roman"/>
          <w:color w:val="222222"/>
          <w:sz w:val="21"/>
          <w:szCs w:val="21"/>
        </w:rPr>
        <w:t xml:space="preserve"> </w:t>
      </w:r>
      <w:r w:rsidRPr="008D395E">
        <w:rPr>
          <w:rFonts w:ascii="inherit" w:eastAsia="Times New Roman" w:hAnsi="inherit" w:cs="Times New Roman"/>
          <w:color w:val="222222"/>
          <w:sz w:val="21"/>
          <w:szCs w:val="21"/>
        </w:rPr>
        <w:t>to the cost-share approach noted in this paragraph.</w:t>
      </w:r>
    </w:p>
    <w:p w14:paraId="38497E13" w14:textId="77777777" w:rsidR="00E56D17" w:rsidRPr="003B07A7" w:rsidRDefault="00E56D17">
      <w:pPr>
        <w:rPr>
          <w:rFonts w:ascii="inherit" w:eastAsia="Times New Roman" w:hAnsi="inherit" w:cs="Times New Roman"/>
          <w:color w:val="222222"/>
          <w:sz w:val="21"/>
          <w:szCs w:val="21"/>
        </w:rPr>
      </w:pPr>
    </w:p>
    <w:sectPr w:rsidR="00E56D17" w:rsidRPr="003B07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nherit">
    <w:altName w:val="Cambria"/>
    <w:panose1 w:val="00000000000000000000"/>
    <w:charset w:val="00"/>
    <w:family w:val="roman"/>
    <w:notTrueType/>
    <w:pitch w:val="default"/>
  </w:font>
  <w:font w:name="Source Sans Pro">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4CE219F"/>
    <w:multiLevelType w:val="multilevel"/>
    <w:tmpl w:val="ED6A9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C7705C"/>
    <w:multiLevelType w:val="hybridMultilevel"/>
    <w:tmpl w:val="A08E15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4053FD2"/>
    <w:multiLevelType w:val="multilevel"/>
    <w:tmpl w:val="5332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F5085F"/>
    <w:multiLevelType w:val="multilevel"/>
    <w:tmpl w:val="B1720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CB6B86"/>
    <w:multiLevelType w:val="hybridMultilevel"/>
    <w:tmpl w:val="93DE5A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D17"/>
    <w:rsid w:val="003B07A7"/>
    <w:rsid w:val="003D67DB"/>
    <w:rsid w:val="005C4CF7"/>
    <w:rsid w:val="008D395E"/>
    <w:rsid w:val="00CB71CA"/>
    <w:rsid w:val="00E56D17"/>
    <w:rsid w:val="00F54E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5F1EB"/>
  <w15:chartTrackingRefBased/>
  <w15:docId w15:val="{48411DF4-EE68-4491-8301-CB9659123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link w:val="Heading1Char"/>
    <w:uiPriority w:val="9"/>
    <w:qFormat/>
    <w:rsid w:val="00E56D1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56D1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56D1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56D1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56D1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E56D1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56D1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56D1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56D17"/>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E56D17"/>
    <w:rPr>
      <w:color w:val="0000FF"/>
      <w:u w:val="single"/>
    </w:rPr>
  </w:style>
  <w:style w:type="character" w:customStyle="1" w:styleId="doctype">
    <w:name w:val="doctype"/>
    <w:basedOn w:val="DefaultParagraphFont"/>
    <w:rsid w:val="00E56D17"/>
  </w:style>
  <w:style w:type="paragraph" w:styleId="ListParagraph">
    <w:name w:val="List Paragraph"/>
    <w:basedOn w:val="Normal"/>
    <w:uiPriority w:val="34"/>
    <w:qFormat/>
    <w:rsid w:val="00CB71C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19427477">
      <w:bodyDiv w:val="1"/>
      <w:marLeft w:val="0"/>
      <w:marRight w:val="0"/>
      <w:marTop w:val="0"/>
      <w:marBottom w:val="0"/>
      <w:divBdr>
        <w:top w:val="none" w:sz="0" w:space="0" w:color="auto"/>
        <w:left w:val="none" w:sz="0" w:space="0" w:color="auto"/>
        <w:bottom w:val="none" w:sz="0" w:space="0" w:color="auto"/>
        <w:right w:val="none" w:sz="0" w:space="0" w:color="auto"/>
      </w:divBdr>
    </w:div>
    <w:div w:id="1119031757">
      <w:bodyDiv w:val="1"/>
      <w:marLeft w:val="0"/>
      <w:marRight w:val="0"/>
      <w:marTop w:val="0"/>
      <w:marBottom w:val="0"/>
      <w:divBdr>
        <w:top w:val="none" w:sz="0" w:space="0" w:color="auto"/>
        <w:left w:val="none" w:sz="0" w:space="0" w:color="auto"/>
        <w:bottom w:val="none" w:sz="0" w:space="0" w:color="auto"/>
        <w:right w:val="none" w:sz="0" w:space="0" w:color="auto"/>
      </w:divBdr>
    </w:div>
    <w:div w:id="1315141262">
      <w:bodyDiv w:val="1"/>
      <w:marLeft w:val="0"/>
      <w:marRight w:val="0"/>
      <w:marTop w:val="0"/>
      <w:marBottom w:val="0"/>
      <w:divBdr>
        <w:top w:val="none" w:sz="0" w:space="0" w:color="auto"/>
        <w:left w:val="none" w:sz="0" w:space="0" w:color="auto"/>
        <w:bottom w:val="none" w:sz="0" w:space="0" w:color="auto"/>
        <w:right w:val="none" w:sz="0" w:space="0" w:color="auto"/>
      </w:divBdr>
    </w:div>
    <w:div w:id="1651054772">
      <w:bodyDiv w:val="1"/>
      <w:marLeft w:val="0"/>
      <w:marRight w:val="0"/>
      <w:marTop w:val="0"/>
      <w:marBottom w:val="0"/>
      <w:divBdr>
        <w:top w:val="none" w:sz="0" w:space="0" w:color="auto"/>
        <w:left w:val="none" w:sz="0" w:space="0" w:color="auto"/>
        <w:bottom w:val="none" w:sz="0" w:space="0" w:color="auto"/>
        <w:right w:val="none" w:sz="0" w:space="0" w:color="auto"/>
      </w:divBdr>
      <w:divsChild>
        <w:div w:id="2004627721">
          <w:marLeft w:val="0"/>
          <w:marRight w:val="0"/>
          <w:marTop w:val="0"/>
          <w:marBottom w:val="0"/>
          <w:divBdr>
            <w:top w:val="none" w:sz="0" w:space="0" w:color="auto"/>
            <w:left w:val="none" w:sz="0" w:space="0" w:color="auto"/>
            <w:bottom w:val="none" w:sz="0" w:space="0" w:color="auto"/>
            <w:right w:val="none" w:sz="0" w:space="0" w:color="auto"/>
          </w:divBdr>
          <w:divsChild>
            <w:div w:id="914510473">
              <w:marLeft w:val="0"/>
              <w:marRight w:val="0"/>
              <w:marTop w:val="0"/>
              <w:marBottom w:val="0"/>
              <w:divBdr>
                <w:top w:val="none" w:sz="0" w:space="0" w:color="auto"/>
                <w:left w:val="none" w:sz="0" w:space="0" w:color="auto"/>
                <w:bottom w:val="none" w:sz="0" w:space="0" w:color="auto"/>
                <w:right w:val="none" w:sz="0" w:space="0" w:color="auto"/>
              </w:divBdr>
            </w:div>
          </w:divsChild>
        </w:div>
        <w:div w:id="1042175134">
          <w:marLeft w:val="0"/>
          <w:marRight w:val="0"/>
          <w:marTop w:val="0"/>
          <w:marBottom w:val="0"/>
          <w:divBdr>
            <w:top w:val="none" w:sz="0" w:space="0" w:color="auto"/>
            <w:left w:val="none" w:sz="0" w:space="0" w:color="auto"/>
            <w:bottom w:val="none" w:sz="0" w:space="0" w:color="auto"/>
            <w:right w:val="none" w:sz="0" w:space="0" w:color="auto"/>
          </w:divBdr>
          <w:divsChild>
            <w:div w:id="1379237184">
              <w:marLeft w:val="0"/>
              <w:marRight w:val="0"/>
              <w:marTop w:val="0"/>
              <w:marBottom w:val="0"/>
              <w:divBdr>
                <w:top w:val="none" w:sz="0" w:space="0" w:color="auto"/>
                <w:left w:val="none" w:sz="0" w:space="0" w:color="auto"/>
                <w:bottom w:val="none" w:sz="0" w:space="0" w:color="auto"/>
                <w:right w:val="none" w:sz="0" w:space="0" w:color="auto"/>
              </w:divBdr>
              <w:divsChild>
                <w:div w:id="806975038">
                  <w:marLeft w:val="0"/>
                  <w:marRight w:val="0"/>
                  <w:marTop w:val="0"/>
                  <w:marBottom w:val="0"/>
                  <w:divBdr>
                    <w:top w:val="none" w:sz="0" w:space="0" w:color="auto"/>
                    <w:left w:val="none" w:sz="0" w:space="0" w:color="auto"/>
                    <w:bottom w:val="none" w:sz="0" w:space="0" w:color="auto"/>
                    <w:right w:val="none" w:sz="0" w:space="0" w:color="auto"/>
                  </w:divBdr>
                  <w:divsChild>
                    <w:div w:id="1113548662">
                      <w:marLeft w:val="0"/>
                      <w:marRight w:val="0"/>
                      <w:marTop w:val="0"/>
                      <w:marBottom w:val="0"/>
                      <w:divBdr>
                        <w:top w:val="none" w:sz="0" w:space="0" w:color="auto"/>
                        <w:left w:val="none" w:sz="0" w:space="0" w:color="auto"/>
                        <w:bottom w:val="none" w:sz="0" w:space="0" w:color="auto"/>
                        <w:right w:val="none" w:sz="0" w:space="0" w:color="auto"/>
                      </w:divBdr>
                      <w:divsChild>
                        <w:div w:id="243884828">
                          <w:marLeft w:val="0"/>
                          <w:marRight w:val="0"/>
                          <w:marTop w:val="0"/>
                          <w:marBottom w:val="0"/>
                          <w:divBdr>
                            <w:top w:val="none" w:sz="0" w:space="0" w:color="auto"/>
                            <w:left w:val="none" w:sz="0" w:space="0" w:color="auto"/>
                            <w:bottom w:val="none" w:sz="0" w:space="0" w:color="auto"/>
                            <w:right w:val="none" w:sz="0" w:space="0" w:color="auto"/>
                          </w:divBdr>
                          <w:divsChild>
                            <w:div w:id="1753509169">
                              <w:marLeft w:val="0"/>
                              <w:marRight w:val="0"/>
                              <w:marTop w:val="0"/>
                              <w:marBottom w:val="0"/>
                              <w:divBdr>
                                <w:top w:val="none" w:sz="0" w:space="0" w:color="auto"/>
                                <w:left w:val="none" w:sz="0" w:space="0" w:color="auto"/>
                                <w:bottom w:val="none" w:sz="0" w:space="0" w:color="auto"/>
                                <w:right w:val="none" w:sz="0" w:space="0" w:color="auto"/>
                              </w:divBdr>
                              <w:divsChild>
                                <w:div w:id="581066628">
                                  <w:marLeft w:val="0"/>
                                  <w:marRight w:val="0"/>
                                  <w:marTop w:val="0"/>
                                  <w:marBottom w:val="0"/>
                                  <w:divBdr>
                                    <w:top w:val="none" w:sz="0" w:space="0" w:color="auto"/>
                                    <w:left w:val="none" w:sz="0" w:space="0" w:color="auto"/>
                                    <w:bottom w:val="none" w:sz="0" w:space="0" w:color="auto"/>
                                    <w:right w:val="none" w:sz="0" w:space="0" w:color="auto"/>
                                  </w:divBdr>
                                  <w:divsChild>
                                    <w:div w:id="2033146971">
                                      <w:marLeft w:val="0"/>
                                      <w:marRight w:val="0"/>
                                      <w:marTop w:val="0"/>
                                      <w:marBottom w:val="0"/>
                                      <w:divBdr>
                                        <w:top w:val="none" w:sz="0" w:space="0" w:color="auto"/>
                                        <w:left w:val="none" w:sz="0" w:space="0" w:color="auto"/>
                                        <w:bottom w:val="none" w:sz="0" w:space="0" w:color="auto"/>
                                        <w:right w:val="none" w:sz="0" w:space="0" w:color="auto"/>
                                      </w:divBdr>
                                      <w:divsChild>
                                        <w:div w:id="1336609497">
                                          <w:marLeft w:val="240"/>
                                          <w:marRight w:val="0"/>
                                          <w:marTop w:val="0"/>
                                          <w:marBottom w:val="0"/>
                                          <w:divBdr>
                                            <w:top w:val="none" w:sz="0" w:space="0" w:color="auto"/>
                                            <w:left w:val="none" w:sz="0" w:space="0" w:color="auto"/>
                                            <w:bottom w:val="none" w:sz="0" w:space="0" w:color="auto"/>
                                            <w:right w:val="none" w:sz="0" w:space="0" w:color="auto"/>
                                          </w:divBdr>
                                        </w:div>
                                        <w:div w:id="1529753353">
                                          <w:marLeft w:val="0"/>
                                          <w:marRight w:val="0"/>
                                          <w:marTop w:val="0"/>
                                          <w:marBottom w:val="0"/>
                                          <w:divBdr>
                                            <w:top w:val="none" w:sz="0" w:space="0" w:color="auto"/>
                                            <w:left w:val="none" w:sz="0" w:space="0" w:color="auto"/>
                                            <w:bottom w:val="none" w:sz="0" w:space="0" w:color="auto"/>
                                            <w:right w:val="none" w:sz="0" w:space="0" w:color="auto"/>
                                          </w:divBdr>
                                          <w:divsChild>
                                            <w:div w:id="822889656">
                                              <w:marLeft w:val="0"/>
                                              <w:marRight w:val="0"/>
                                              <w:marTop w:val="0"/>
                                              <w:marBottom w:val="0"/>
                                              <w:divBdr>
                                                <w:top w:val="none" w:sz="0" w:space="0" w:color="auto"/>
                                                <w:left w:val="none" w:sz="0" w:space="0" w:color="auto"/>
                                                <w:bottom w:val="none" w:sz="0" w:space="0" w:color="auto"/>
                                                <w:right w:val="none" w:sz="0" w:space="0" w:color="auto"/>
                                              </w:divBdr>
                                              <w:divsChild>
                                                <w:div w:id="43051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7" ma:contentTypeDescription="Create a new document." ma:contentTypeScope="" ma:versionID="1f7404444a51804cfbd84530f701fda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021e1f4cfdfa1b29b3d85a3d7bb07201"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FCCA6BD4-9DFE-4BE7-967B-8EBE20323153}"/>
</file>

<file path=customXml/itemProps2.xml><?xml version="1.0" encoding="utf-8"?>
<ds:datastoreItem xmlns:ds="http://schemas.openxmlformats.org/officeDocument/2006/customXml" ds:itemID="{852F6C77-D60D-4F1C-85F9-11757CDE4469}">
  <ds:schemaRefs>
    <ds:schemaRef ds:uri="http://schemas.microsoft.com/sharepoint/v3/contenttype/forms"/>
  </ds:schemaRefs>
</ds:datastoreItem>
</file>

<file path=customXml/itemProps3.xml><?xml version="1.0" encoding="utf-8"?>
<ds:datastoreItem xmlns:ds="http://schemas.openxmlformats.org/officeDocument/2006/customXml" ds:itemID="{6117E708-4212-4805-A826-EE8D49A2040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Pages>
  <Words>1036</Words>
  <Characters>5906</Characters>
  <Application>Microsoft Office Word</Application>
  <DocSecurity>0</DocSecurity>
  <Lines>49</Lines>
  <Paragraphs>13</Paragraphs>
  <ScaleCrop>false</ScaleCrop>
  <Company/>
  <LinksUpToDate>false</LinksUpToDate>
  <CharactersWithSpaces>6929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 Martin</dc:creator>
  <cp:keywords/>
  <dc:description/>
  <cp:lastModifiedBy>Danielle Martin</cp:lastModifiedBy>
  <cp:revision>6</cp:revision>
  <dcterms:created xsi:type="dcterms:W3CDTF">2019-10-25T00:24:00Z</dcterms:created>
  <dcterms:modified xsi:type="dcterms:W3CDTF">2019-10-25T00:41:00Z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