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CDB22C" w14:textId="77777777" w:rsidR="009114A0" w:rsidRDefault="009114A0" w:rsidP="00E81510"/>
    <w:p w14:paraId="3ECDB22D" w14:textId="77777777" w:rsidR="00C8463C" w:rsidRPr="00C8463C" w:rsidRDefault="00C8463C" w:rsidP="00C8463C">
      <w:pPr>
        <w:widowControl/>
        <w:contextualSpacing/>
        <w:rPr>
          <w:rFonts w:eastAsiaTheme="minorEastAsia" w:cstheme="minorHAnsi"/>
          <w:b/>
          <w:i/>
          <w:sz w:val="26"/>
          <w:szCs w:val="26"/>
          <w:lang w:bidi="en-US"/>
        </w:rPr>
      </w:pPr>
      <w:r w:rsidRPr="00C8463C">
        <w:rPr>
          <w:rFonts w:eastAsiaTheme="minorEastAsia" w:cstheme="minorHAnsi"/>
          <w:b/>
          <w:i/>
          <w:sz w:val="26"/>
          <w:szCs w:val="26"/>
          <w:lang w:bidi="en-US"/>
        </w:rPr>
        <w:t>Sub-Awardee Risk Assessment Matrix and Process</w:t>
      </w:r>
    </w:p>
    <w:p w14:paraId="3ECDB22E" w14:textId="77777777" w:rsidR="00C8463C" w:rsidRDefault="00C8463C" w:rsidP="00C8463C">
      <w:pPr>
        <w:widowControl/>
        <w:spacing w:after="120"/>
        <w:contextualSpacing/>
        <w:rPr>
          <w:rFonts w:eastAsiaTheme="minorEastAsia" w:cstheme="minorHAnsi"/>
          <w:b/>
          <w:i/>
          <w:sz w:val="26"/>
          <w:szCs w:val="26"/>
          <w:lang w:bidi="en-US"/>
        </w:rPr>
      </w:pPr>
    </w:p>
    <w:p w14:paraId="3ECDB22F" w14:textId="77777777" w:rsidR="0068054A" w:rsidRPr="0068054A" w:rsidRDefault="0068054A" w:rsidP="00C8463C">
      <w:pPr>
        <w:widowControl/>
        <w:spacing w:after="120"/>
        <w:contextualSpacing/>
        <w:rPr>
          <w:rFonts w:eastAsiaTheme="minorEastAsia" w:cstheme="minorHAnsi"/>
          <w:sz w:val="24"/>
          <w:szCs w:val="24"/>
          <w:lang w:bidi="en-US"/>
        </w:rPr>
      </w:pPr>
      <w:r w:rsidRPr="0068054A">
        <w:rPr>
          <w:rFonts w:eastAsiaTheme="minorEastAsia" w:cstheme="minorHAnsi"/>
          <w:sz w:val="24"/>
          <w:szCs w:val="24"/>
          <w:lang w:bidi="en-US"/>
        </w:rPr>
        <w:t xml:space="preserve">General guidance for the technical selection panel </w:t>
      </w:r>
    </w:p>
    <w:p w14:paraId="3ECDB230" w14:textId="77777777" w:rsidR="0068054A" w:rsidRPr="00C8463C" w:rsidRDefault="0068054A" w:rsidP="00C8463C">
      <w:pPr>
        <w:widowControl/>
        <w:spacing w:after="120"/>
        <w:contextualSpacing/>
        <w:rPr>
          <w:rFonts w:eastAsiaTheme="minorEastAsia" w:cstheme="minorHAnsi"/>
          <w:b/>
          <w:i/>
          <w:sz w:val="26"/>
          <w:szCs w:val="26"/>
          <w:lang w:bidi="en-US"/>
        </w:rPr>
      </w:pPr>
    </w:p>
    <w:p w14:paraId="3ECDB231" w14:textId="77777777" w:rsidR="00C8463C" w:rsidRDefault="00C8463C" w:rsidP="00C8463C">
      <w:pPr>
        <w:widowControl/>
        <w:spacing w:after="120"/>
        <w:contextualSpacing/>
        <w:rPr>
          <w:rFonts w:eastAsiaTheme="minorEastAsia" w:cstheme="minorHAnsi"/>
          <w:b/>
          <w:sz w:val="24"/>
          <w:szCs w:val="24"/>
          <w:lang w:bidi="en-US"/>
        </w:rPr>
      </w:pPr>
      <w:r w:rsidRPr="00C8463C">
        <w:rPr>
          <w:rFonts w:eastAsiaTheme="minorEastAsia" w:cstheme="minorHAnsi"/>
          <w:b/>
          <w:sz w:val="24"/>
          <w:szCs w:val="24"/>
          <w:lang w:bidi="en-US"/>
        </w:rPr>
        <w:t>Risk Factors Based on the Sub</w:t>
      </w:r>
      <w:r w:rsidR="0068054A">
        <w:rPr>
          <w:rFonts w:eastAsiaTheme="minorEastAsia" w:cstheme="minorHAnsi"/>
          <w:b/>
          <w:sz w:val="24"/>
          <w:szCs w:val="24"/>
          <w:lang w:bidi="en-US"/>
        </w:rPr>
        <w:t>-</w:t>
      </w:r>
      <w:r w:rsidRPr="00C8463C">
        <w:rPr>
          <w:rFonts w:eastAsiaTheme="minorEastAsia" w:cstheme="minorHAnsi"/>
          <w:b/>
          <w:sz w:val="24"/>
          <w:szCs w:val="24"/>
          <w:lang w:bidi="en-US"/>
        </w:rPr>
        <w:t>recipient Organization</w:t>
      </w:r>
    </w:p>
    <w:p w14:paraId="3ECDB232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b/>
          <w:sz w:val="24"/>
          <w:szCs w:val="24"/>
          <w:lang w:bidi="en-US"/>
        </w:rPr>
      </w:pPr>
    </w:p>
    <w:tbl>
      <w:tblPr>
        <w:tblW w:w="13835" w:type="dxa"/>
        <w:tblInd w:w="144" w:type="dxa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Layout w:type="fixed"/>
        <w:tblCellMar>
          <w:top w:w="29" w:type="dxa"/>
          <w:left w:w="29" w:type="dxa"/>
          <w:bottom w:w="14" w:type="dxa"/>
          <w:right w:w="14" w:type="dxa"/>
        </w:tblCellMar>
        <w:tblLook w:val="0000" w:firstRow="0" w:lastRow="0" w:firstColumn="0" w:lastColumn="0" w:noHBand="0" w:noVBand="0"/>
      </w:tblPr>
      <w:tblGrid>
        <w:gridCol w:w="2855"/>
        <w:gridCol w:w="3381"/>
        <w:gridCol w:w="3549"/>
        <w:gridCol w:w="4050"/>
      </w:tblGrid>
      <w:tr w:rsidR="00C8463C" w:rsidRPr="00C8463C" w14:paraId="3ECDB237" w14:textId="77777777" w:rsidTr="00EF680D">
        <w:trPr>
          <w:trHeight w:val="308"/>
        </w:trPr>
        <w:tc>
          <w:tcPr>
            <w:tcW w:w="2855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</w:tcPr>
          <w:p w14:paraId="3ECDB233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Category</w:t>
            </w:r>
          </w:p>
        </w:tc>
        <w:tc>
          <w:tcPr>
            <w:tcW w:w="3381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</w:tcPr>
          <w:p w14:paraId="3ECDB234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Lower Risk</w:t>
            </w:r>
          </w:p>
        </w:tc>
        <w:tc>
          <w:tcPr>
            <w:tcW w:w="3549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</w:tcPr>
          <w:p w14:paraId="3ECDB235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Medium Risk</w:t>
            </w:r>
          </w:p>
        </w:tc>
        <w:tc>
          <w:tcPr>
            <w:tcW w:w="4050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</w:tcPr>
          <w:p w14:paraId="3ECDB236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Higher Risk</w:t>
            </w:r>
          </w:p>
        </w:tc>
      </w:tr>
      <w:tr w:rsidR="00C8463C" w:rsidRPr="00C8463C" w14:paraId="3ECDB23C" w14:textId="77777777" w:rsidTr="00EF680D">
        <w:trPr>
          <w:trHeight w:val="734"/>
        </w:trPr>
        <w:tc>
          <w:tcPr>
            <w:tcW w:w="2855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</w:tcPr>
          <w:p w14:paraId="3ECDB238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Foreign vs. Domestic</w:t>
            </w:r>
          </w:p>
        </w:tc>
        <w:tc>
          <w:tcPr>
            <w:tcW w:w="3381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</w:tcPr>
          <w:p w14:paraId="3ECDB239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U.S. based </w:t>
            </w:r>
          </w:p>
        </w:tc>
        <w:tc>
          <w:tcPr>
            <w:tcW w:w="3549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</w:tcPr>
          <w:p w14:paraId="3ECDB23A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Foreign location with stable government and financial systems</w:t>
            </w:r>
          </w:p>
        </w:tc>
        <w:tc>
          <w:tcPr>
            <w:tcW w:w="4050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</w:tcPr>
          <w:p w14:paraId="3ECDB23B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Foreign location with unstable government or financial systems or restricted location</w:t>
            </w:r>
          </w:p>
        </w:tc>
      </w:tr>
      <w:tr w:rsidR="00C8463C" w:rsidRPr="00C8463C" w14:paraId="3ECDB241" w14:textId="77777777" w:rsidTr="00EF680D">
        <w:trPr>
          <w:trHeight w:val="1103"/>
        </w:trPr>
        <w:tc>
          <w:tcPr>
            <w:tcW w:w="2855" w:type="dxa"/>
            <w:shd w:val="clear" w:color="auto" w:fill="FFFFFF" w:themeFill="background1"/>
          </w:tcPr>
          <w:p w14:paraId="3ECDB23D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Sub-recipient Organization Type</w:t>
            </w:r>
          </w:p>
        </w:tc>
        <w:tc>
          <w:tcPr>
            <w:tcW w:w="3381" w:type="dxa"/>
            <w:shd w:val="clear" w:color="auto" w:fill="FFFFFF" w:themeFill="background1"/>
          </w:tcPr>
          <w:p w14:paraId="3ECDB23E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Non-profit subject to federal audit requirements, USG Direct Contractor subject to DCAA audit</w:t>
            </w:r>
          </w:p>
        </w:tc>
        <w:tc>
          <w:tcPr>
            <w:tcW w:w="3549" w:type="dxa"/>
            <w:shd w:val="clear" w:color="auto" w:fill="FFFFFF" w:themeFill="background1"/>
          </w:tcPr>
          <w:p w14:paraId="3ECDB23F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Non-profit not subject to federal audit requirements</w:t>
            </w:r>
          </w:p>
        </w:tc>
        <w:tc>
          <w:tcPr>
            <w:tcW w:w="4050" w:type="dxa"/>
            <w:shd w:val="clear" w:color="auto" w:fill="FFFFFF" w:themeFill="background1"/>
          </w:tcPr>
          <w:p w14:paraId="3ECDB240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Grass root organizations and other foreign entities not fully registered with the local authorities. For-profit organizations not subject to federal or other audit regulations </w:t>
            </w:r>
          </w:p>
        </w:tc>
      </w:tr>
      <w:tr w:rsidR="00C8463C" w:rsidRPr="00C8463C" w14:paraId="3ECDB246" w14:textId="77777777" w:rsidTr="00EF680D">
        <w:trPr>
          <w:trHeight w:val="563"/>
        </w:trPr>
        <w:tc>
          <w:tcPr>
            <w:tcW w:w="2855" w:type="dxa"/>
            <w:shd w:val="clear" w:color="auto" w:fill="FFFFFF" w:themeFill="background1"/>
          </w:tcPr>
          <w:p w14:paraId="3ECDB242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Maturity of Organization</w:t>
            </w:r>
          </w:p>
        </w:tc>
        <w:tc>
          <w:tcPr>
            <w:tcW w:w="3381" w:type="dxa"/>
            <w:shd w:val="clear" w:color="auto" w:fill="FFFFFF" w:themeFill="background1"/>
          </w:tcPr>
          <w:p w14:paraId="3ECDB243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Mature (more than 10 years in same business)</w:t>
            </w:r>
          </w:p>
        </w:tc>
        <w:tc>
          <w:tcPr>
            <w:tcW w:w="3549" w:type="dxa"/>
            <w:shd w:val="clear" w:color="auto" w:fill="FFFFFF" w:themeFill="background1"/>
          </w:tcPr>
          <w:p w14:paraId="3ECDB244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5-10 years in business</w:t>
            </w:r>
          </w:p>
        </w:tc>
        <w:tc>
          <w:tcPr>
            <w:tcW w:w="4050" w:type="dxa"/>
            <w:shd w:val="clear" w:color="auto" w:fill="FFFFFF" w:themeFill="background1"/>
          </w:tcPr>
          <w:p w14:paraId="3ECDB245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Start-up, no fiscal controls in place yet, or under 5 years with no regular audits </w:t>
            </w:r>
          </w:p>
        </w:tc>
      </w:tr>
      <w:tr w:rsidR="00C8463C" w:rsidRPr="00C8463C" w14:paraId="3ECDB24F" w14:textId="77777777" w:rsidTr="00EF680D">
        <w:tc>
          <w:tcPr>
            <w:tcW w:w="2855" w:type="dxa"/>
            <w:shd w:val="clear" w:color="auto" w:fill="FFFFFF" w:themeFill="background1"/>
          </w:tcPr>
          <w:p w14:paraId="3ECDB247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b/>
                <w:bCs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Sub-recipient’s prior experience with similar subawards or awarding agency</w:t>
            </w:r>
          </w:p>
        </w:tc>
        <w:tc>
          <w:tcPr>
            <w:tcW w:w="3381" w:type="dxa"/>
            <w:shd w:val="clear" w:color="auto" w:fill="FFFFFF" w:themeFill="background1"/>
          </w:tcPr>
          <w:p w14:paraId="3ECDB248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Sub-recipient has prior experience with the same/similar sub-awards, and received over $750k (US-based) or $300k (Non-US based) a year </w:t>
            </w:r>
          </w:p>
          <w:p w14:paraId="3ECDB249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 </w:t>
            </w:r>
          </w:p>
          <w:p w14:paraId="3ECDB24A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also receives awards directly from the awarding agency</w:t>
            </w:r>
          </w:p>
        </w:tc>
        <w:tc>
          <w:tcPr>
            <w:tcW w:w="3549" w:type="dxa"/>
            <w:shd w:val="clear" w:color="auto" w:fill="FFFFFF" w:themeFill="background1"/>
          </w:tcPr>
          <w:p w14:paraId="3ECDB24B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has limited prior experience as a prime recipient with type of award, or</w:t>
            </w:r>
          </w:p>
          <w:p w14:paraId="3ECDB24C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 </w:t>
            </w:r>
          </w:p>
          <w:p w14:paraId="3ECDB24D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received less than $300k a year in Federal awards</w:t>
            </w:r>
          </w:p>
        </w:tc>
        <w:tc>
          <w:tcPr>
            <w:tcW w:w="4050" w:type="dxa"/>
            <w:shd w:val="clear" w:color="auto" w:fill="FFFFFF" w:themeFill="background1"/>
          </w:tcPr>
          <w:p w14:paraId="3ECDB24E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does not have any prior experience with the type of award, and is unfamiliar with awarding agency’s requirements</w:t>
            </w:r>
          </w:p>
        </w:tc>
      </w:tr>
      <w:tr w:rsidR="00C8463C" w:rsidRPr="00C8463C" w14:paraId="3ECDB254" w14:textId="77777777" w:rsidTr="00EF680D">
        <w:tc>
          <w:tcPr>
            <w:tcW w:w="2855" w:type="dxa"/>
            <w:shd w:val="clear" w:color="auto" w:fill="FFFFFF" w:themeFill="background1"/>
          </w:tcPr>
          <w:p w14:paraId="3ECDB250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Prior experience working with Partners</w:t>
            </w:r>
          </w:p>
        </w:tc>
        <w:tc>
          <w:tcPr>
            <w:tcW w:w="3381" w:type="dxa"/>
            <w:shd w:val="clear" w:color="auto" w:fill="FFFFFF" w:themeFill="background1"/>
          </w:tcPr>
          <w:p w14:paraId="3ECDB251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Previous positive experience as PDC sub-recipient </w:t>
            </w:r>
          </w:p>
        </w:tc>
        <w:tc>
          <w:tcPr>
            <w:tcW w:w="3549" w:type="dxa"/>
            <w:shd w:val="clear" w:color="auto" w:fill="FFFFFF" w:themeFill="background1"/>
          </w:tcPr>
          <w:p w14:paraId="3ECDB252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Previous experience as PDC sub-recipient, but may have some minor concerns </w:t>
            </w:r>
          </w:p>
        </w:tc>
        <w:tc>
          <w:tcPr>
            <w:tcW w:w="4050" w:type="dxa"/>
            <w:shd w:val="clear" w:color="auto" w:fill="FFFFFF" w:themeFill="background1"/>
          </w:tcPr>
          <w:p w14:paraId="3ECDB253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New sub-recipient or previous negative experience </w:t>
            </w:r>
          </w:p>
        </w:tc>
      </w:tr>
      <w:tr w:rsidR="00C8463C" w:rsidRPr="00C8463C" w14:paraId="3ECDB25D" w14:textId="77777777" w:rsidTr="00EF680D">
        <w:tc>
          <w:tcPr>
            <w:tcW w:w="2855" w:type="dxa"/>
            <w:shd w:val="clear" w:color="auto" w:fill="FFFFFF" w:themeFill="background1"/>
          </w:tcPr>
          <w:p w14:paraId="3ECDB255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Audit Results &amp; Accounting/Procurement Systems</w:t>
            </w:r>
          </w:p>
        </w:tc>
        <w:tc>
          <w:tcPr>
            <w:tcW w:w="3381" w:type="dxa"/>
            <w:shd w:val="clear" w:color="auto" w:fill="FFFFFF" w:themeFill="background1"/>
          </w:tcPr>
          <w:p w14:paraId="3ECDB256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Has annual audit with unqualified opinion </w:t>
            </w:r>
          </w:p>
        </w:tc>
        <w:tc>
          <w:tcPr>
            <w:tcW w:w="3549" w:type="dxa"/>
            <w:shd w:val="clear" w:color="auto" w:fill="FFFFFF" w:themeFill="background1"/>
          </w:tcPr>
          <w:p w14:paraId="3ECDB257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Has annual third-party financial audit</w:t>
            </w:r>
          </w:p>
          <w:p w14:paraId="3ECDB258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</w:p>
          <w:p w14:paraId="3ECDB259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has a new or substantially changed systems, or personnel for project administration</w:t>
            </w:r>
          </w:p>
        </w:tc>
        <w:tc>
          <w:tcPr>
            <w:tcW w:w="4050" w:type="dxa"/>
            <w:shd w:val="clear" w:color="auto" w:fill="FFFFFF" w:themeFill="background1"/>
          </w:tcPr>
          <w:p w14:paraId="3ECDB25A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Has not had a financial audit by a 3rd party, or current audit has material weaknesses and reportable conditions or other findings</w:t>
            </w:r>
          </w:p>
          <w:p w14:paraId="3ECDB25B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 </w:t>
            </w:r>
          </w:p>
          <w:p w14:paraId="3ECDB25C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</w:p>
        </w:tc>
      </w:tr>
    </w:tbl>
    <w:p w14:paraId="3ECDB25E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lang w:bidi="en-US"/>
        </w:rPr>
        <w:sectPr w:rsidR="00C8463C" w:rsidRPr="00C8463C" w:rsidSect="00C8463C">
          <w:headerReference w:type="default" r:id="rId11"/>
          <w:footerReference w:type="default" r:id="rId12"/>
          <w:type w:val="continuous"/>
          <w:pgSz w:w="15840" w:h="12240" w:orient="landscape" w:code="1"/>
          <w:pgMar w:top="720" w:right="936" w:bottom="1080" w:left="936" w:header="0" w:footer="0" w:gutter="0"/>
          <w:cols w:space="720"/>
          <w:docGrid w:linePitch="360"/>
        </w:sectPr>
      </w:pPr>
    </w:p>
    <w:p w14:paraId="3ECDB25F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b/>
          <w:sz w:val="24"/>
          <w:szCs w:val="24"/>
          <w:lang w:bidi="en-US"/>
        </w:rPr>
      </w:pPr>
      <w:r w:rsidRPr="00C8463C">
        <w:rPr>
          <w:rFonts w:eastAsiaTheme="minorEastAsia" w:cstheme="minorHAnsi"/>
          <w:b/>
          <w:sz w:val="24"/>
          <w:szCs w:val="24"/>
          <w:lang w:bidi="en-US"/>
        </w:rPr>
        <w:lastRenderedPageBreak/>
        <w:t>Risk Factors Based on the Subrecipient Organization</w:t>
      </w:r>
    </w:p>
    <w:tbl>
      <w:tblPr>
        <w:tblW w:w="13506" w:type="dxa"/>
        <w:tblInd w:w="144" w:type="dxa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Layout w:type="fixed"/>
        <w:tblCellMar>
          <w:top w:w="29" w:type="dxa"/>
          <w:left w:w="43" w:type="dxa"/>
          <w:bottom w:w="14" w:type="dxa"/>
          <w:right w:w="14" w:type="dxa"/>
        </w:tblCellMar>
        <w:tblLook w:val="0000" w:firstRow="0" w:lastRow="0" w:firstColumn="0" w:lastColumn="0" w:noHBand="0" w:noVBand="0"/>
      </w:tblPr>
      <w:tblGrid>
        <w:gridCol w:w="2445"/>
        <w:gridCol w:w="2790"/>
        <w:gridCol w:w="3780"/>
        <w:gridCol w:w="4491"/>
      </w:tblGrid>
      <w:tr w:rsidR="00C8463C" w:rsidRPr="00C8463C" w14:paraId="3ECDB264" w14:textId="77777777" w:rsidTr="00EF680D">
        <w:trPr>
          <w:trHeight w:val="435"/>
        </w:trPr>
        <w:tc>
          <w:tcPr>
            <w:tcW w:w="2445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  <w:vAlign w:val="center"/>
          </w:tcPr>
          <w:p w14:paraId="3ECDB260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Category</w:t>
            </w:r>
          </w:p>
        </w:tc>
        <w:tc>
          <w:tcPr>
            <w:tcW w:w="2790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  <w:vAlign w:val="center"/>
          </w:tcPr>
          <w:p w14:paraId="3ECDB261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Lower Risk</w:t>
            </w:r>
          </w:p>
        </w:tc>
        <w:tc>
          <w:tcPr>
            <w:tcW w:w="3780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  <w:vAlign w:val="center"/>
          </w:tcPr>
          <w:p w14:paraId="3ECDB262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Medium Risk</w:t>
            </w:r>
          </w:p>
        </w:tc>
        <w:tc>
          <w:tcPr>
            <w:tcW w:w="4491" w:type="dxa"/>
            <w:tcBorders>
              <w:bottom w:val="single" w:sz="8" w:space="0" w:color="404040" w:themeColor="text1" w:themeTint="BF"/>
            </w:tcBorders>
            <w:shd w:val="clear" w:color="auto" w:fill="8DB3E2" w:themeFill="text2" w:themeFillTint="66"/>
            <w:vAlign w:val="center"/>
          </w:tcPr>
          <w:p w14:paraId="3ECDB263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jc w:val="center"/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</w:pPr>
            <w:r w:rsidRPr="00C8463C">
              <w:rPr>
                <w:rFonts w:eastAsiaTheme="minorEastAsia" w:cstheme="minorHAnsi"/>
                <w:b/>
                <w:bCs/>
                <w:color w:val="7030A0"/>
                <w:sz w:val="24"/>
                <w:szCs w:val="24"/>
              </w:rPr>
              <w:t>Higher Risk</w:t>
            </w:r>
          </w:p>
        </w:tc>
      </w:tr>
      <w:tr w:rsidR="00C8463C" w:rsidRPr="00C8463C" w14:paraId="3ECDB26B" w14:textId="77777777" w:rsidTr="00EF680D">
        <w:trPr>
          <w:trHeight w:val="1418"/>
        </w:trPr>
        <w:tc>
          <w:tcPr>
            <w:tcW w:w="2445" w:type="dxa"/>
            <w:shd w:val="clear" w:color="auto" w:fill="FFFFFF" w:themeFill="background1"/>
            <w:vAlign w:val="center"/>
          </w:tcPr>
          <w:p w14:paraId="3ECDB265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Type of Procurement Instrument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3ECDB266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Fixed-price contract, Fixed obligation award based on milestones, where results are easily quantifiable into benchmarks or deliverables</w:t>
            </w:r>
          </w:p>
        </w:tc>
        <w:tc>
          <w:tcPr>
            <w:tcW w:w="3780" w:type="dxa"/>
            <w:shd w:val="clear" w:color="auto" w:fill="FFFFFF" w:themeFill="background1"/>
            <w:vAlign w:val="center"/>
          </w:tcPr>
          <w:p w14:paraId="3ECDB267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Standard sub-grant. Sub-Agreement where Partners has substantial involvement clause </w:t>
            </w:r>
          </w:p>
        </w:tc>
        <w:tc>
          <w:tcPr>
            <w:tcW w:w="4491" w:type="dxa"/>
            <w:shd w:val="clear" w:color="auto" w:fill="FFFFFF" w:themeFill="background1"/>
            <w:vAlign w:val="center"/>
          </w:tcPr>
          <w:p w14:paraId="3ECDB268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Cost reimbursement contract. Long term consultancy agreement with non-</w:t>
            </w:r>
            <w:r w:rsidR="002C494A">
              <w:rPr>
                <w:rFonts w:eastAsiaTheme="minorEastAsia" w:cstheme="minorHAnsi"/>
                <w:color w:val="000000"/>
              </w:rPr>
              <w:t>Partners n</w:t>
            </w:r>
            <w:r w:rsidRPr="00C8463C">
              <w:rPr>
                <w:rFonts w:eastAsiaTheme="minorEastAsia" w:cstheme="minorHAnsi"/>
                <w:color w:val="000000"/>
              </w:rPr>
              <w:t>etwork member.  Loan agreement. Second tier recipients assumed as part of the arrangement</w:t>
            </w:r>
          </w:p>
          <w:p w14:paraId="3ECDB269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  <w:sz w:val="10"/>
                <w:szCs w:val="10"/>
              </w:rPr>
            </w:pPr>
            <w:r w:rsidRPr="00C8463C">
              <w:rPr>
                <w:rFonts w:eastAsiaTheme="minorEastAsia" w:cstheme="minorHAnsi"/>
                <w:color w:val="000000"/>
                <w:sz w:val="10"/>
                <w:szCs w:val="10"/>
              </w:rPr>
              <w:t xml:space="preserve"> </w:t>
            </w:r>
          </w:p>
          <w:p w14:paraId="3ECDB26A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</w:p>
        </w:tc>
      </w:tr>
      <w:tr w:rsidR="00C8463C" w:rsidRPr="00C8463C" w14:paraId="3ECDB270" w14:textId="77777777" w:rsidTr="00EF680D">
        <w:tc>
          <w:tcPr>
            <w:tcW w:w="2445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  <w:vAlign w:val="center"/>
          </w:tcPr>
          <w:p w14:paraId="3ECDB26C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 xml:space="preserve">Relationship Between Partners and Sub-recipient </w:t>
            </w:r>
          </w:p>
        </w:tc>
        <w:tc>
          <w:tcPr>
            <w:tcW w:w="2790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  <w:vAlign w:val="center"/>
          </w:tcPr>
          <w:p w14:paraId="3ECDB26D" w14:textId="77777777" w:rsidR="00C8463C" w:rsidRPr="00C8463C" w:rsidRDefault="00C8463C" w:rsidP="0068054A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Sub-recipient is a member of Partners network </w:t>
            </w:r>
          </w:p>
        </w:tc>
        <w:tc>
          <w:tcPr>
            <w:tcW w:w="3780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</w:tcPr>
          <w:p w14:paraId="3ECDB26E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</w:rPr>
            </w:pPr>
            <w:r w:rsidRPr="00C8463C">
              <w:rPr>
                <w:rFonts w:eastAsiaTheme="minorEastAsia" w:cstheme="minorHAnsi"/>
              </w:rPr>
              <w:t xml:space="preserve">Sub-recipient is an established entity, with at least 3 years of history with Partners </w:t>
            </w:r>
          </w:p>
        </w:tc>
        <w:tc>
          <w:tcPr>
            <w:tcW w:w="4491" w:type="dxa"/>
            <w:tcBorders>
              <w:bottom w:val="single" w:sz="8" w:space="0" w:color="404040" w:themeColor="text1" w:themeTint="BF"/>
            </w:tcBorders>
            <w:shd w:val="clear" w:color="auto" w:fill="FFFFFF" w:themeFill="background1"/>
            <w:vAlign w:val="center"/>
          </w:tcPr>
          <w:p w14:paraId="3ECDB26F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No previous history with Partners</w:t>
            </w:r>
          </w:p>
        </w:tc>
      </w:tr>
      <w:tr w:rsidR="00C8463C" w:rsidRPr="00C8463C" w14:paraId="3ECDB275" w14:textId="77777777" w:rsidTr="00EF680D">
        <w:tc>
          <w:tcPr>
            <w:tcW w:w="2445" w:type="dxa"/>
            <w:shd w:val="clear" w:color="auto" w:fill="FFFFFF" w:themeFill="background1"/>
          </w:tcPr>
          <w:p w14:paraId="3ECDB271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b/>
                <w:bCs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 xml:space="preserve">Proposed Financial Mechanism 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3ECDB272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 xml:space="preserve">Reimbursement of sub-recipient’s costs based on submitted expense reports </w:t>
            </w:r>
          </w:p>
        </w:tc>
        <w:tc>
          <w:tcPr>
            <w:tcW w:w="3780" w:type="dxa"/>
            <w:shd w:val="clear" w:color="auto" w:fill="FFFFFF" w:themeFill="background1"/>
          </w:tcPr>
          <w:p w14:paraId="3ECDB273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</w:rPr>
            </w:pPr>
            <w:r w:rsidRPr="00C8463C">
              <w:rPr>
                <w:rFonts w:eastAsiaTheme="minorEastAsia" w:cstheme="minorHAnsi"/>
                <w:color w:val="000000"/>
              </w:rPr>
              <w:t>Advances covering up to 30 days of the sub-recipient’s cash needs</w:t>
            </w:r>
          </w:p>
        </w:tc>
        <w:tc>
          <w:tcPr>
            <w:tcW w:w="4491" w:type="dxa"/>
            <w:shd w:val="clear" w:color="auto" w:fill="FFFFFF" w:themeFill="background1"/>
            <w:vAlign w:val="center"/>
          </w:tcPr>
          <w:p w14:paraId="3ECDB274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Advance payments covering up to 2 months of sub-recipient’s cash needs, also covering second-tier recipient’s needs</w:t>
            </w:r>
          </w:p>
        </w:tc>
      </w:tr>
      <w:tr w:rsidR="00C8463C" w:rsidRPr="00C8463C" w14:paraId="3ECDB27B" w14:textId="77777777" w:rsidTr="00EF680D">
        <w:tc>
          <w:tcPr>
            <w:tcW w:w="2445" w:type="dxa"/>
            <w:shd w:val="clear" w:color="auto" w:fill="FFFFFF" w:themeFill="background1"/>
          </w:tcPr>
          <w:p w14:paraId="3ECDB276" w14:textId="77777777" w:rsidR="00C8463C" w:rsidRPr="00C8463C" w:rsidRDefault="00C8463C" w:rsidP="00C8463C">
            <w:pPr>
              <w:widowControl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contextualSpacing/>
              <w:rPr>
                <w:rFonts w:eastAsiaTheme="minorEastAsia" w:cstheme="minorHAnsi"/>
                <w:b/>
                <w:bCs/>
                <w:color w:val="000000"/>
              </w:rPr>
            </w:pPr>
            <w:r w:rsidRPr="00C8463C">
              <w:rPr>
                <w:rFonts w:eastAsiaTheme="minorEastAsia" w:cstheme="minorHAnsi"/>
                <w:b/>
                <w:bCs/>
                <w:color w:val="000000"/>
              </w:rPr>
              <w:t>FM Personnel and Accounting software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3ECDB277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has sufficient workforce in the accounting unit to perform full scale of controls over the funding. Sub-recipient operates on an automated accounting software. Sub-recipient maintains accounting policy and procedures.</w:t>
            </w:r>
          </w:p>
        </w:tc>
        <w:tc>
          <w:tcPr>
            <w:tcW w:w="3780" w:type="dxa"/>
            <w:shd w:val="clear" w:color="auto" w:fill="FFFFFF" w:themeFill="background1"/>
          </w:tcPr>
          <w:p w14:paraId="3ECDB278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lacks one of the criteria below:</w:t>
            </w:r>
          </w:p>
          <w:p w14:paraId="3ECDB279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</w:rPr>
            </w:pPr>
            <w:r w:rsidRPr="00C8463C">
              <w:rPr>
                <w:rFonts w:eastAsiaTheme="minorEastAsia" w:cstheme="minorHAnsi"/>
                <w:color w:val="000000"/>
              </w:rPr>
              <w:t>Sufficient workforce in the accounting unit to perform full scale of controls over the funding. Sub-recipient operates on an automated accounting software. Sub-recipient maintains Chart of accounts. Sub-recipient maintains accounting policy and procedures.</w:t>
            </w:r>
          </w:p>
        </w:tc>
        <w:tc>
          <w:tcPr>
            <w:tcW w:w="4491" w:type="dxa"/>
            <w:shd w:val="clear" w:color="auto" w:fill="FFFFFF" w:themeFill="background1"/>
          </w:tcPr>
          <w:p w14:paraId="3ECDB27A" w14:textId="77777777" w:rsidR="00C8463C" w:rsidRPr="00C8463C" w:rsidRDefault="00C8463C" w:rsidP="00C8463C">
            <w:pPr>
              <w:widowControl/>
              <w:autoSpaceDE w:val="0"/>
              <w:autoSpaceDN w:val="0"/>
              <w:adjustRightInd w:val="0"/>
              <w:rPr>
                <w:rFonts w:eastAsiaTheme="minorEastAsia" w:cstheme="minorHAnsi"/>
                <w:color w:val="000000"/>
              </w:rPr>
            </w:pPr>
            <w:r w:rsidRPr="00C8463C">
              <w:rPr>
                <w:rFonts w:eastAsiaTheme="minorEastAsia" w:cstheme="minorHAnsi"/>
                <w:color w:val="000000"/>
              </w:rPr>
              <w:t>Sub-recipient lacks two of the criteria below: Sufficient workforce in the accounting unit to perform full scale of controls over the funding. Sub-recipient operates on an automated accounting software. Sub-recipient maintains Chart of accounts. Sub-recipient maintains accounting policy and procedures.</w:t>
            </w:r>
          </w:p>
        </w:tc>
      </w:tr>
    </w:tbl>
    <w:p w14:paraId="3ECDB27C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color w:val="000000" w:themeColor="text1"/>
          <w:lang w:bidi="en-US"/>
        </w:rPr>
        <w:sectPr w:rsidR="00C8463C" w:rsidRPr="00C8463C" w:rsidSect="00CB0F8F">
          <w:headerReference w:type="default" r:id="rId13"/>
          <w:footerReference w:type="default" r:id="rId14"/>
          <w:pgSz w:w="15840" w:h="12240" w:orient="landscape" w:code="1"/>
          <w:pgMar w:top="576" w:right="1080" w:bottom="936" w:left="1080" w:header="720" w:footer="720" w:gutter="0"/>
          <w:cols w:space="720"/>
          <w:docGrid w:linePitch="360"/>
        </w:sectPr>
      </w:pPr>
    </w:p>
    <w:p w14:paraId="3ECDB27D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b/>
          <w:color w:val="000000" w:themeColor="text1"/>
          <w:lang w:bidi="en-US"/>
        </w:rPr>
      </w:pPr>
      <w:r w:rsidRPr="00C8463C">
        <w:rPr>
          <w:rFonts w:eastAsiaTheme="minorEastAsia" w:cstheme="minorHAnsi"/>
          <w:b/>
          <w:color w:val="000000" w:themeColor="text1"/>
          <w:lang w:bidi="en-US"/>
        </w:rPr>
        <w:lastRenderedPageBreak/>
        <w:t>Partners technical teams establishes a risk-based approach to sub-recipient monitoring, focusing more frequent and robust monitoring efforts on those sub-recipients who are deemed to pose an elevated risk for potential non-compliance.</w:t>
      </w:r>
    </w:p>
    <w:p w14:paraId="3ECDB27E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 xml:space="preserve"> </w:t>
      </w:r>
    </w:p>
    <w:p w14:paraId="3ECDB27F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b/>
          <w:color w:val="1F497D" w:themeColor="text2"/>
          <w:lang w:bidi="en-US"/>
        </w:rPr>
      </w:pPr>
      <w:r w:rsidRPr="00C8463C">
        <w:rPr>
          <w:rFonts w:eastAsiaTheme="minorEastAsia" w:cstheme="minorHAnsi"/>
          <w:b/>
          <w:i/>
          <w:lang w:bidi="en-US"/>
        </w:rPr>
        <w:t>The Risk Assessment Matrix</w:t>
      </w:r>
      <w:r w:rsidRPr="00C8463C">
        <w:rPr>
          <w:rFonts w:eastAsiaTheme="minorEastAsia" w:cstheme="minorHAnsi"/>
          <w:b/>
          <w:color w:val="1F497D" w:themeColor="text2"/>
          <w:lang w:bidi="en-US"/>
        </w:rPr>
        <w:t>:</w:t>
      </w:r>
    </w:p>
    <w:p w14:paraId="3ECDB280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The Risk Assessment Matrix is a tool designed to assess a sub-recipient’s risk and help determine the level of monitoring required. The examples in the matrix are intended as guidance; a complete risk assessment should consider the sub-recipient and sub-award on a case-by-case basis.</w:t>
      </w:r>
    </w:p>
    <w:p w14:paraId="3ECDB281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 xml:space="preserve"> </w:t>
      </w:r>
    </w:p>
    <w:p w14:paraId="3ECDB282" w14:textId="77777777" w:rsidR="00C8463C" w:rsidRPr="00C8463C" w:rsidRDefault="00C8463C" w:rsidP="00C8463C">
      <w:pPr>
        <w:widowControl/>
        <w:contextualSpacing/>
        <w:rPr>
          <w:rFonts w:eastAsiaTheme="minorEastAsia" w:cstheme="minorHAnsi"/>
          <w:b/>
          <w:color w:val="000000" w:themeColor="text1"/>
          <w:lang w:bidi="en-US"/>
        </w:rPr>
      </w:pPr>
      <w:r w:rsidRPr="00C8463C">
        <w:rPr>
          <w:rFonts w:eastAsiaTheme="minorEastAsia" w:cstheme="minorHAnsi"/>
          <w:b/>
          <w:color w:val="000000" w:themeColor="text1"/>
          <w:lang w:bidi="en-US"/>
        </w:rPr>
        <w:t>Explanation of risk levels:</w:t>
      </w:r>
    </w:p>
    <w:p w14:paraId="3ECDB283" w14:textId="77777777" w:rsidR="00C8463C" w:rsidRPr="00C8463C" w:rsidRDefault="00C8463C" w:rsidP="00C8463C">
      <w:pPr>
        <w:widowControl/>
        <w:contextualSpacing/>
        <w:rPr>
          <w:rFonts w:eastAsiaTheme="minorEastAsia" w:cstheme="minorHAnsi"/>
          <w:b/>
          <w:color w:val="000000" w:themeColor="text1"/>
          <w:lang w:bidi="en-US"/>
        </w:rPr>
      </w:pPr>
    </w:p>
    <w:p w14:paraId="3ECDB284" w14:textId="77777777" w:rsidR="00C8463C" w:rsidRPr="00C8463C" w:rsidRDefault="00C8463C" w:rsidP="00C8463C">
      <w:pPr>
        <w:widowControl/>
        <w:spacing w:after="120"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b/>
          <w:color w:val="000000" w:themeColor="text1"/>
          <w:lang w:bidi="en-US"/>
        </w:rPr>
        <w:t xml:space="preserve">HIGH </w:t>
      </w:r>
      <w:r w:rsidRPr="00C8463C">
        <w:rPr>
          <w:rFonts w:eastAsiaTheme="minorEastAsia" w:cstheme="minorHAnsi"/>
          <w:color w:val="000000" w:themeColor="text1"/>
          <w:lang w:bidi="en-US"/>
        </w:rPr>
        <w:t xml:space="preserve">– The risk associated with engaging the sub-recipient could compromise the project’s goals, objectives, or compliance the prime sponsor’s terms and conditions.  </w:t>
      </w:r>
    </w:p>
    <w:p w14:paraId="3ECDB285" w14:textId="77777777" w:rsidR="00C8463C" w:rsidRPr="00C8463C" w:rsidRDefault="00C8463C" w:rsidP="00C8463C">
      <w:pPr>
        <w:widowControl/>
        <w:spacing w:after="120"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b/>
          <w:color w:val="000000" w:themeColor="text1"/>
          <w:lang w:bidi="en-US"/>
        </w:rPr>
        <w:t>MEDIUM</w:t>
      </w:r>
      <w:r w:rsidRPr="00C8463C">
        <w:rPr>
          <w:rFonts w:eastAsiaTheme="minorEastAsia" w:cstheme="minorHAnsi"/>
          <w:color w:val="000000" w:themeColor="text1"/>
          <w:lang w:bidi="en-US"/>
        </w:rPr>
        <w:t xml:space="preserve"> – The risk associated with engaging the sub-recipient could result in Partners operating inefficiently and/or expending unplanned resources to meet the project’s goals and objectives.</w:t>
      </w:r>
    </w:p>
    <w:p w14:paraId="3ECDB286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b/>
          <w:color w:val="000000" w:themeColor="text1"/>
          <w:lang w:bidi="en-US"/>
        </w:rPr>
        <w:t xml:space="preserve">LOW </w:t>
      </w:r>
      <w:r w:rsidRPr="00C8463C">
        <w:rPr>
          <w:rFonts w:eastAsiaTheme="minorEastAsia" w:cstheme="minorHAnsi"/>
          <w:color w:val="000000" w:themeColor="text1"/>
          <w:lang w:bidi="en-US"/>
        </w:rPr>
        <w:t>– The risk associated with engaging the sub-recipient has no anticipated measurable effect on the achievement of the project’s goals and objectives.</w:t>
      </w:r>
    </w:p>
    <w:p w14:paraId="3ECDB287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 xml:space="preserve"> </w:t>
      </w:r>
    </w:p>
    <w:p w14:paraId="3ECDB288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i/>
          <w:color w:val="000000" w:themeColor="text1"/>
          <w:lang w:bidi="en-US"/>
        </w:rPr>
      </w:pPr>
      <w:r w:rsidRPr="00C8463C">
        <w:rPr>
          <w:rFonts w:eastAsiaTheme="minorEastAsia" w:cstheme="minorHAnsi"/>
          <w:b/>
          <w:i/>
          <w:lang w:bidi="en-US"/>
        </w:rPr>
        <w:t>Threshold Questions:</w:t>
      </w:r>
      <w:r w:rsidRPr="00C8463C">
        <w:rPr>
          <w:rFonts w:eastAsiaTheme="minorEastAsia" w:cstheme="minorHAnsi"/>
          <w:i/>
          <w:color w:val="000000" w:themeColor="text1"/>
          <w:lang w:bidi="en-US"/>
        </w:rPr>
        <w:t xml:space="preserve">  A sub-award cannot be issued if the sub-recipient meets any the following requirements: </w:t>
      </w:r>
    </w:p>
    <w:p w14:paraId="3ECDB289" w14:textId="77777777" w:rsidR="00C8463C" w:rsidRPr="00C8463C" w:rsidRDefault="00C8463C" w:rsidP="00C8463C">
      <w:pPr>
        <w:widowControl/>
        <w:spacing w:after="120"/>
        <w:contextualSpacing/>
        <w:rPr>
          <w:rFonts w:eastAsiaTheme="minorEastAsia" w:cstheme="minorHAnsi"/>
          <w:i/>
          <w:color w:val="000000" w:themeColor="text1"/>
          <w:lang w:bidi="en-US"/>
        </w:rPr>
      </w:pPr>
    </w:p>
    <w:p w14:paraId="3ECDB28A" w14:textId="77777777" w:rsidR="00C8463C" w:rsidRPr="00C8463C" w:rsidRDefault="00C8463C" w:rsidP="00C8463C">
      <w:pPr>
        <w:widowControl/>
        <w:numPr>
          <w:ilvl w:val="0"/>
          <w:numId w:val="7"/>
        </w:numPr>
        <w:spacing w:after="120"/>
        <w:contextualSpacing/>
        <w:rPr>
          <w:rFonts w:eastAsiaTheme="minorEastAsia" w:cstheme="minorHAnsi"/>
          <w:b/>
          <w:color w:val="000000" w:themeColor="text1"/>
          <w:u w:val="single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The sub-recipient is debarred or suspended</w:t>
      </w:r>
    </w:p>
    <w:p w14:paraId="3ECDB28B" w14:textId="258D245B" w:rsidR="00C8463C" w:rsidRPr="00C8463C" w:rsidRDefault="00C8463C" w:rsidP="00C8463C">
      <w:pPr>
        <w:widowControl/>
        <w:numPr>
          <w:ilvl w:val="0"/>
          <w:numId w:val="7"/>
        </w:numPr>
        <w:spacing w:after="120"/>
        <w:contextualSpacing/>
        <w:rPr>
          <w:rFonts w:eastAsiaTheme="minorEastAsia" w:cstheme="minorHAnsi"/>
          <w:b/>
          <w:color w:val="000000" w:themeColor="text1"/>
          <w:u w:val="single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 xml:space="preserve">The sub-recipient </w:t>
      </w:r>
      <w:r w:rsidR="00C543E8">
        <w:rPr>
          <w:rFonts w:eastAsiaTheme="minorEastAsia" w:cstheme="minorHAnsi"/>
          <w:color w:val="000000" w:themeColor="text1"/>
          <w:lang w:bidi="en-US"/>
        </w:rPr>
        <w:t xml:space="preserve">does not have </w:t>
      </w:r>
      <w:r w:rsidRPr="00C8463C">
        <w:rPr>
          <w:rFonts w:eastAsiaTheme="minorEastAsia" w:cstheme="minorHAnsi"/>
          <w:color w:val="000000" w:themeColor="text1"/>
          <w:lang w:bidi="en-US"/>
        </w:rPr>
        <w:t>a compliant conflict of interest policy in place, if required by the sponsor/award</w:t>
      </w:r>
    </w:p>
    <w:p w14:paraId="3ECDB28C" w14:textId="77777777" w:rsidR="00C8463C" w:rsidRPr="00C8463C" w:rsidRDefault="00C8463C" w:rsidP="00C8463C">
      <w:pPr>
        <w:widowControl/>
        <w:numPr>
          <w:ilvl w:val="0"/>
          <w:numId w:val="7"/>
        </w:numPr>
        <w:spacing w:after="120"/>
        <w:contextualSpacing/>
        <w:rPr>
          <w:rFonts w:eastAsiaTheme="minorEastAsia" w:cstheme="minorHAnsi"/>
          <w:b/>
          <w:color w:val="000000" w:themeColor="text1"/>
          <w:u w:val="single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 xml:space="preserve">The sub-recipient does not maintain legal registration or bank account </w:t>
      </w:r>
    </w:p>
    <w:p w14:paraId="3ECDB28D" w14:textId="77777777" w:rsidR="00C8463C" w:rsidRPr="00C8463C" w:rsidRDefault="00C8463C" w:rsidP="00C8463C">
      <w:pPr>
        <w:widowControl/>
        <w:numPr>
          <w:ilvl w:val="0"/>
          <w:numId w:val="7"/>
        </w:numPr>
        <w:spacing w:after="120"/>
        <w:contextualSpacing/>
        <w:rPr>
          <w:rFonts w:eastAsiaTheme="minorEastAsia" w:cstheme="minorHAnsi"/>
          <w:b/>
          <w:color w:val="000000" w:themeColor="text1"/>
          <w:u w:val="single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Financial management and accounting systems are inadequate to account for award funds in accordance with federal requirements</w:t>
      </w:r>
    </w:p>
    <w:p w14:paraId="3ECDB28E" w14:textId="77777777" w:rsidR="00C8463C" w:rsidRPr="00C8463C" w:rsidRDefault="00C8463C" w:rsidP="00C8463C">
      <w:pPr>
        <w:widowControl/>
        <w:contextualSpacing/>
        <w:rPr>
          <w:rFonts w:eastAsiaTheme="minorEastAsia" w:cstheme="minorHAnsi"/>
          <w:b/>
          <w:color w:val="000000" w:themeColor="text1"/>
          <w:lang w:bidi="en-US"/>
        </w:rPr>
      </w:pPr>
    </w:p>
    <w:p w14:paraId="3ECDB28F" w14:textId="77777777" w:rsidR="00C8463C" w:rsidRPr="00C8463C" w:rsidRDefault="00C8463C" w:rsidP="00C8463C">
      <w:pPr>
        <w:widowControl/>
        <w:contextualSpacing/>
        <w:rPr>
          <w:rFonts w:eastAsiaTheme="minorEastAsia" w:cstheme="minorHAnsi"/>
          <w:b/>
          <w:color w:val="000000" w:themeColor="text1"/>
          <w:lang w:bidi="en-US"/>
        </w:rPr>
      </w:pPr>
      <w:r w:rsidRPr="00C8463C">
        <w:rPr>
          <w:rFonts w:eastAsiaTheme="minorEastAsia" w:cstheme="minorHAnsi"/>
          <w:b/>
          <w:color w:val="000000" w:themeColor="text1"/>
          <w:lang w:bidi="en-US"/>
        </w:rPr>
        <w:t>Examples of monitoring activities to include in sub-recipient monitoring plan based on results of the risk assessment:</w:t>
      </w:r>
    </w:p>
    <w:p w14:paraId="3ECDB290" w14:textId="77777777" w:rsidR="00C8463C" w:rsidRPr="00C8463C" w:rsidRDefault="00C8463C" w:rsidP="00C8463C">
      <w:pPr>
        <w:widowControl/>
        <w:spacing w:after="20"/>
        <w:rPr>
          <w:rFonts w:eastAsiaTheme="minorEastAsia" w:cstheme="minorHAnsi"/>
          <w:b/>
          <w:i/>
          <w:lang w:bidi="en-US"/>
        </w:rPr>
      </w:pPr>
    </w:p>
    <w:p w14:paraId="3ECDB291" w14:textId="77777777" w:rsidR="00C8463C" w:rsidRPr="00C8463C" w:rsidRDefault="00C8463C" w:rsidP="00C8463C">
      <w:pPr>
        <w:widowControl/>
        <w:numPr>
          <w:ilvl w:val="0"/>
          <w:numId w:val="5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 xml:space="preserve">Provide the sub-recipient with recommendations to addressing identified risks  </w:t>
      </w:r>
    </w:p>
    <w:p w14:paraId="3ECDB292" w14:textId="77777777" w:rsidR="00C8463C" w:rsidRPr="00C8463C" w:rsidRDefault="00C8463C" w:rsidP="00C8463C">
      <w:pPr>
        <w:widowControl/>
        <w:numPr>
          <w:ilvl w:val="0"/>
          <w:numId w:val="5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Solicit sub-recipient’s response in the form of management comments to the recommendations</w:t>
      </w:r>
    </w:p>
    <w:p w14:paraId="3ECDB293" w14:textId="77777777" w:rsidR="00C8463C" w:rsidRPr="00C8463C" w:rsidRDefault="00C8463C" w:rsidP="00C8463C">
      <w:pPr>
        <w:widowControl/>
        <w:numPr>
          <w:ilvl w:val="0"/>
          <w:numId w:val="5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Develop a schedule to implement changes and improvements as per the recommendations</w:t>
      </w:r>
    </w:p>
    <w:p w14:paraId="3ECDB294" w14:textId="77777777" w:rsidR="00C8463C" w:rsidRPr="00C8463C" w:rsidRDefault="00C8463C" w:rsidP="00C8463C">
      <w:pPr>
        <w:widowControl/>
        <w:numPr>
          <w:ilvl w:val="0"/>
          <w:numId w:val="5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Decide if full funding can be committed into the sub-award pending the progress of how sub-recipient implements recommendations</w:t>
      </w:r>
    </w:p>
    <w:p w14:paraId="3ECDB295" w14:textId="77777777" w:rsidR="00C8463C" w:rsidRPr="00C8463C" w:rsidRDefault="00C8463C" w:rsidP="00C8463C">
      <w:pPr>
        <w:widowControl/>
        <w:numPr>
          <w:ilvl w:val="0"/>
          <w:numId w:val="5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Decide if special terms and conditions need to be inserted into the sub-award clause to maintain a stronger control over the sub-recipient’s performance</w:t>
      </w:r>
    </w:p>
    <w:p w14:paraId="3ECDB296" w14:textId="77777777" w:rsidR="00C8463C" w:rsidRPr="00C8463C" w:rsidRDefault="00C8463C" w:rsidP="00C8463C">
      <w:pPr>
        <w:widowControl/>
        <w:numPr>
          <w:ilvl w:val="0"/>
          <w:numId w:val="5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Require that all the costs are supported by adequate documentation such as vendor invoices, canceled checks, time and attendance records, approved purchase orders, receiving documents, etc.</w:t>
      </w:r>
    </w:p>
    <w:p w14:paraId="3ECDB297" w14:textId="77777777" w:rsidR="00C8463C" w:rsidRPr="00C8463C" w:rsidRDefault="00C8463C" w:rsidP="00C8463C">
      <w:pPr>
        <w:widowControl/>
        <w:numPr>
          <w:ilvl w:val="0"/>
          <w:numId w:val="6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Schedule site visits to review records and observe operations</w:t>
      </w:r>
    </w:p>
    <w:p w14:paraId="3ECDB298" w14:textId="77777777" w:rsidR="00C8463C" w:rsidRPr="00C8463C" w:rsidRDefault="00C8463C" w:rsidP="00C8463C">
      <w:pPr>
        <w:widowControl/>
        <w:numPr>
          <w:ilvl w:val="0"/>
          <w:numId w:val="6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Maintain close communication with sub-recipient, including conference calls, skype meetings, phone calls, and document as appropriate</w:t>
      </w:r>
    </w:p>
    <w:p w14:paraId="3ECDB299" w14:textId="77777777" w:rsidR="00C8463C" w:rsidRPr="00C8463C" w:rsidRDefault="00C8463C" w:rsidP="00C8463C">
      <w:pPr>
        <w:widowControl/>
        <w:numPr>
          <w:ilvl w:val="0"/>
          <w:numId w:val="6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lastRenderedPageBreak/>
        <w:t>Arrange for Finance team to perform additional desk reviews, and/or ask sub-recipient to perform self-assessment activities</w:t>
      </w:r>
    </w:p>
    <w:p w14:paraId="3ECDB29A" w14:textId="77777777" w:rsidR="00C8463C" w:rsidRDefault="00C8463C" w:rsidP="00C8463C">
      <w:pPr>
        <w:widowControl/>
        <w:numPr>
          <w:ilvl w:val="0"/>
          <w:numId w:val="6"/>
        </w:numPr>
        <w:spacing w:after="20"/>
        <w:contextualSpacing/>
        <w:rPr>
          <w:rFonts w:eastAsiaTheme="minorEastAsia" w:cstheme="minorHAnsi"/>
          <w:color w:val="000000" w:themeColor="text1"/>
          <w:lang w:bidi="en-US"/>
        </w:rPr>
      </w:pPr>
      <w:r w:rsidRPr="00C8463C">
        <w:rPr>
          <w:rFonts w:eastAsiaTheme="minorEastAsia" w:cstheme="minorHAnsi"/>
          <w:color w:val="000000" w:themeColor="text1"/>
          <w:lang w:bidi="en-US"/>
        </w:rPr>
        <w:t>Require third-party evaluations.</w:t>
      </w:r>
    </w:p>
    <w:p w14:paraId="3ECDB29C" w14:textId="0338F9EA" w:rsidR="00034AB7" w:rsidRPr="000F0C29" w:rsidRDefault="00034AB7" w:rsidP="000F0C29">
      <w:pPr>
        <w:widowControl/>
        <w:numPr>
          <w:ilvl w:val="0"/>
          <w:numId w:val="6"/>
        </w:numPr>
        <w:spacing w:after="20"/>
        <w:contextualSpacing/>
      </w:pPr>
      <w:r w:rsidRPr="00034AB7">
        <w:rPr>
          <w:rFonts w:eastAsiaTheme="minorEastAsia" w:cstheme="minorHAnsi"/>
          <w:color w:val="000000" w:themeColor="text1"/>
          <w:lang w:bidi="en-US"/>
        </w:rPr>
        <w:t xml:space="preserve"> </w:t>
      </w:r>
      <w:r w:rsidR="00C8463C" w:rsidRPr="00034AB7">
        <w:rPr>
          <w:rFonts w:eastAsiaTheme="minorEastAsia" w:cstheme="minorHAnsi"/>
          <w:color w:val="000000" w:themeColor="text1"/>
          <w:lang w:bidi="en-US"/>
        </w:rPr>
        <w:t>Provide technical assistance and trainin</w:t>
      </w:r>
      <w:r w:rsidRPr="00034AB7">
        <w:rPr>
          <w:rFonts w:eastAsiaTheme="minorEastAsia" w:cstheme="minorHAnsi"/>
          <w:color w:val="000000" w:themeColor="text1"/>
          <w:lang w:bidi="en-US"/>
        </w:rPr>
        <w:t>g.</w:t>
      </w:r>
    </w:p>
    <w:sectPr w:rsidR="00034AB7" w:rsidRPr="000F0C29" w:rsidSect="00787970">
      <w:headerReference w:type="default" r:id="rId15"/>
      <w:footerReference w:type="default" r:id="rId16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CDB29F" w14:textId="77777777" w:rsidR="00D63AFC" w:rsidRDefault="00D63AFC" w:rsidP="00605C8E">
      <w:r>
        <w:separator/>
      </w:r>
    </w:p>
  </w:endnote>
  <w:endnote w:type="continuationSeparator" w:id="0">
    <w:p w14:paraId="3ECDB2A0" w14:textId="77777777" w:rsidR="00D63AFC" w:rsidRDefault="00D63AFC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DB2A2" w14:textId="77777777" w:rsidR="00C8463C" w:rsidRDefault="00C8463C">
    <w:pPr>
      <w:pStyle w:val="Footer"/>
    </w:pPr>
    <w:r>
      <w:t xml:space="preserve">Updated </w:t>
    </w:r>
    <w:r w:rsidR="0068054A">
      <w:t>12</w:t>
    </w:r>
    <w:r>
      <w:t>/</w:t>
    </w:r>
    <w:r w:rsidR="0068054A">
      <w:t>26</w:t>
    </w:r>
    <w:r>
      <w:t>/201</w:t>
    </w:r>
    <w:r w:rsidR="0068054A">
      <w:t>8</w:t>
    </w:r>
  </w:p>
  <w:p w14:paraId="3ECDB2A3" w14:textId="77777777" w:rsidR="0068054A" w:rsidRDefault="0068054A">
    <w:pPr>
      <w:pStyle w:val="Footer"/>
    </w:pPr>
  </w:p>
  <w:p w14:paraId="3ECDB2A4" w14:textId="77777777" w:rsidR="00C8463C" w:rsidRDefault="00C8463C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DB2A7" w14:textId="20B66244" w:rsidR="00C8463C" w:rsidRDefault="00C8463C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DB2A9" w14:textId="77777777" w:rsidR="00FE177B" w:rsidRDefault="00FE177B" w:rsidP="00D35FB0">
    <w:pPr>
      <w:pStyle w:val="Footer"/>
      <w:jc w:val="right"/>
    </w:pPr>
    <w:r>
      <w:rPr>
        <w:noProof/>
      </w:rPr>
      <w:drawing>
        <wp:inline distT="0" distB="0" distL="0" distR="0" wp14:anchorId="3ECDB2AE" wp14:editId="40FA92D4">
          <wp:extent cx="4602172" cy="419735"/>
          <wp:effectExtent l="0" t="0" r="8255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6138" cy="420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CDB29D" w14:textId="77777777" w:rsidR="00D63AFC" w:rsidRDefault="00D63AFC" w:rsidP="00605C8E">
      <w:r>
        <w:separator/>
      </w:r>
    </w:p>
  </w:footnote>
  <w:footnote w:type="continuationSeparator" w:id="0">
    <w:p w14:paraId="3ECDB29E" w14:textId="77777777" w:rsidR="00D63AFC" w:rsidRDefault="00D63AFC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DB2A1" w14:textId="77777777" w:rsidR="00C8463C" w:rsidRPr="002152BE" w:rsidRDefault="0068054A" w:rsidP="00B36E1B">
    <w:pPr>
      <w:pStyle w:val="Heading2"/>
      <w:tabs>
        <w:tab w:val="left" w:pos="2280"/>
      </w:tabs>
      <w:ind w:firstLine="720"/>
      <w:jc w:val="center"/>
      <w:rPr>
        <w:b w:val="0"/>
      </w:rPr>
    </w:pPr>
    <w:r>
      <w:rPr>
        <w:noProof/>
      </w:rPr>
      <w:drawing>
        <wp:inline distT="0" distB="0" distL="0" distR="0" wp14:anchorId="3ECDB2AA" wp14:editId="0DBF942D">
          <wp:extent cx="2225040" cy="752475"/>
          <wp:effectExtent l="0" t="0" r="3810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22734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DB2A5" w14:textId="77777777" w:rsidR="00C8463C" w:rsidRPr="00CB0F8F" w:rsidRDefault="00C8463C" w:rsidP="00CB0F8F">
    <w:pPr>
      <w:pStyle w:val="Heading1"/>
      <w:rPr>
        <w:color w:val="1F497D" w:themeColor="text2"/>
      </w:rPr>
    </w:pPr>
    <w:r w:rsidRPr="00CB0F8F">
      <w:rPr>
        <w:color w:val="1F497D" w:themeColor="text2"/>
      </w:rPr>
      <w:t xml:space="preserve">Risk Assessment </w:t>
    </w:r>
    <w:r>
      <w:rPr>
        <w:color w:val="1F497D" w:themeColor="text2"/>
      </w:rPr>
      <w:t>Process:</w:t>
    </w:r>
    <w:r w:rsidRPr="00CB0F8F">
      <w:rPr>
        <w:color w:val="1F497D" w:themeColor="text2"/>
      </w:rPr>
      <w:t xml:space="preserve">  </w:t>
    </w:r>
    <w:r w:rsidRPr="00CB0F8F">
      <w:rPr>
        <w:b w:val="0"/>
        <w:color w:val="1F497D" w:themeColor="text2"/>
      </w:rPr>
      <w:t xml:space="preserve">Subrecipient Monitoring </w:t>
    </w:r>
  </w:p>
  <w:p w14:paraId="3ECDB2A6" w14:textId="77777777" w:rsidR="00C8463C" w:rsidRPr="002152BE" w:rsidRDefault="00C8463C">
    <w:pPr>
      <w:pStyle w:val="Head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DB2A8" w14:textId="7DDCBD69" w:rsidR="00FE177B" w:rsidRDefault="00FE177B">
    <w:pPr>
      <w:pStyle w:val="Header"/>
    </w:pPr>
    <w:r>
      <w:rPr>
        <w:noProof/>
      </w:rPr>
      <w:drawing>
        <wp:inline distT="0" distB="0" distL="0" distR="0" wp14:anchorId="3ECDB2AC" wp14:editId="186B3276">
          <wp:extent cx="2278380" cy="720090"/>
          <wp:effectExtent l="0" t="0" r="7620" b="381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278816" cy="7202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85B5FF4" w14:textId="77777777" w:rsidR="000705B6" w:rsidRDefault="00070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26606F"/>
    <w:multiLevelType w:val="hybridMultilevel"/>
    <w:tmpl w:val="DE68CDAA"/>
    <w:lvl w:ilvl="0" w:tplc="31CA9D8E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0C3D2F"/>
    <w:multiLevelType w:val="hybridMultilevel"/>
    <w:tmpl w:val="F990A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C5186"/>
    <w:multiLevelType w:val="hybridMultilevel"/>
    <w:tmpl w:val="B6683E6A"/>
    <w:lvl w:ilvl="0" w:tplc="99F0F0B0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05193"/>
    <w:multiLevelType w:val="hybridMultilevel"/>
    <w:tmpl w:val="509E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D0B77"/>
    <w:multiLevelType w:val="hybridMultilevel"/>
    <w:tmpl w:val="8C18E2D6"/>
    <w:lvl w:ilvl="0" w:tplc="1F764D6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9439F0"/>
    <w:multiLevelType w:val="multilevel"/>
    <w:tmpl w:val="DC5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33EDC"/>
    <w:multiLevelType w:val="hybridMultilevel"/>
    <w:tmpl w:val="BAF0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03D3A"/>
    <w:multiLevelType w:val="hybridMultilevel"/>
    <w:tmpl w:val="49EE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13BCE"/>
    <w:rsid w:val="00034AB7"/>
    <w:rsid w:val="00036ED3"/>
    <w:rsid w:val="00061423"/>
    <w:rsid w:val="000705B6"/>
    <w:rsid w:val="000F0C29"/>
    <w:rsid w:val="0013637F"/>
    <w:rsid w:val="001872FB"/>
    <w:rsid w:val="001F3C34"/>
    <w:rsid w:val="002377DA"/>
    <w:rsid w:val="002C494A"/>
    <w:rsid w:val="002F28C2"/>
    <w:rsid w:val="00335A7C"/>
    <w:rsid w:val="00376B45"/>
    <w:rsid w:val="0038019A"/>
    <w:rsid w:val="003C4CB6"/>
    <w:rsid w:val="004041BC"/>
    <w:rsid w:val="004D4A2D"/>
    <w:rsid w:val="004E306D"/>
    <w:rsid w:val="00516119"/>
    <w:rsid w:val="005E1FDA"/>
    <w:rsid w:val="00605C8E"/>
    <w:rsid w:val="006072F4"/>
    <w:rsid w:val="00643A5D"/>
    <w:rsid w:val="0068054A"/>
    <w:rsid w:val="006958D9"/>
    <w:rsid w:val="006C69A6"/>
    <w:rsid w:val="00703699"/>
    <w:rsid w:val="00787970"/>
    <w:rsid w:val="007E3C93"/>
    <w:rsid w:val="007E46AD"/>
    <w:rsid w:val="00861ECA"/>
    <w:rsid w:val="008658C5"/>
    <w:rsid w:val="0089434D"/>
    <w:rsid w:val="008A2E4F"/>
    <w:rsid w:val="008D462F"/>
    <w:rsid w:val="009114A0"/>
    <w:rsid w:val="009772DB"/>
    <w:rsid w:val="009845BA"/>
    <w:rsid w:val="00A1126E"/>
    <w:rsid w:val="00A55C59"/>
    <w:rsid w:val="00A70881"/>
    <w:rsid w:val="00A70A2E"/>
    <w:rsid w:val="00C543E8"/>
    <w:rsid w:val="00C8463C"/>
    <w:rsid w:val="00D35FB0"/>
    <w:rsid w:val="00D63AFC"/>
    <w:rsid w:val="00E81510"/>
    <w:rsid w:val="00EC4678"/>
    <w:rsid w:val="00F12BB4"/>
    <w:rsid w:val="00F1626F"/>
    <w:rsid w:val="00F2495C"/>
    <w:rsid w:val="00FD3A7D"/>
    <w:rsid w:val="00FE177B"/>
    <w:rsid w:val="00FE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ECDB22C"/>
  <w15:docId w15:val="{65F61EFF-E83E-4544-8B47-184358A4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3C"/>
    <w:pPr>
      <w:keepNext/>
      <w:keepLines/>
      <w:widowControl/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63C"/>
    <w:pPr>
      <w:keepNext/>
      <w:keepLines/>
      <w:widowControl/>
      <w:spacing w:before="200"/>
      <w:contextualSpacing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2F4"/>
    <w:rPr>
      <w:b/>
      <w:bCs/>
    </w:rPr>
  </w:style>
  <w:style w:type="character" w:styleId="Hyperlink">
    <w:name w:val="Hyperlink"/>
    <w:basedOn w:val="DefaultParagraphFont"/>
    <w:uiPriority w:val="99"/>
    <w:unhideWhenUsed/>
    <w:rsid w:val="009772D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846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C846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9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9597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B200D9-A36B-48A0-9648-82C464D5811F}"/>
</file>

<file path=customXml/itemProps2.xml><?xml version="1.0" encoding="utf-8"?>
<ds:datastoreItem xmlns:ds="http://schemas.openxmlformats.org/officeDocument/2006/customXml" ds:itemID="{1F7E70B1-6F41-4955-AB4C-C4149844CA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432DD0-E65C-486C-A1CE-81B119F62D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336150-1A30-4027-94D6-C305E2D04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Danielle Martin</cp:lastModifiedBy>
  <cp:revision>13</cp:revision>
  <cp:lastPrinted>2016-04-12T14:19:00Z</cp:lastPrinted>
  <dcterms:created xsi:type="dcterms:W3CDTF">2018-12-26T15:06:00Z</dcterms:created>
  <dcterms:modified xsi:type="dcterms:W3CDTF">2021-02-26T02:44:00Z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1122800</vt:r8>
  </property>
  <property fmtid="{D5CDD505-2E9C-101B-9397-08002B2CF9AE}" pid="6" name="MediaServiceImageTags">
    <vt:lpwstr/>
  </property>
</Properties>
</file>