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C39BF" w14:textId="77777777" w:rsidR="00DF1070" w:rsidRPr="00605BF4" w:rsidRDefault="00DE213F">
      <w:pPr>
        <w:rPr>
          <w:rFonts w:ascii="Arial" w:hAnsi="Arial" w:cs="Arial"/>
          <w:b/>
          <w:bCs/>
          <w:sz w:val="32"/>
          <w:szCs w:val="32"/>
        </w:rPr>
      </w:pPr>
      <w:r w:rsidRPr="00605BF4">
        <w:rPr>
          <w:rFonts w:ascii="Arial" w:hAnsi="Arial" w:cs="Arial"/>
          <w:b/>
          <w:bCs/>
          <w:sz w:val="32"/>
          <w:szCs w:val="32"/>
        </w:rPr>
        <w:t>Beneficios para un trabajador por planilla en Guatemala:</w:t>
      </w:r>
    </w:p>
    <w:p w14:paraId="1E0FF7E8" w14:textId="4B90E0D3" w:rsidR="00DE213F" w:rsidRPr="00DE213F" w:rsidRDefault="00DE213F" w:rsidP="00DE213F">
      <w:pPr>
        <w:shd w:val="clear" w:color="auto" w:fill="FFFFFF"/>
        <w:spacing w:after="480" w:line="360" w:lineRule="atLeast"/>
        <w:rPr>
          <w:rFonts w:ascii="Arial" w:eastAsia="Times New Roman" w:hAnsi="Arial" w:cs="Arial"/>
          <w:sz w:val="24"/>
          <w:szCs w:val="24"/>
          <w:lang w:eastAsia="es-GT"/>
        </w:rPr>
      </w:pPr>
      <w:bookmarkStart w:id="0" w:name="_GoBack"/>
      <w:r w:rsidRPr="00DE213F">
        <w:rPr>
          <w:rFonts w:ascii="Arial" w:eastAsia="Times New Roman" w:hAnsi="Arial" w:cs="Arial"/>
          <w:sz w:val="24"/>
          <w:szCs w:val="24"/>
          <w:lang w:eastAsia="es-GT"/>
        </w:rPr>
        <w:t>Según el artículo 109 de la Constitución Política de Guatemala, los</w:t>
      </w:r>
      <w:r w:rsidRPr="00DE213F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 trabajadores que laboren por planilla</w:t>
      </w:r>
      <w:r w:rsidRPr="00DE213F">
        <w:rPr>
          <w:rFonts w:ascii="Arial" w:eastAsia="Times New Roman" w:hAnsi="Arial" w:cs="Arial"/>
          <w:sz w:val="24"/>
          <w:szCs w:val="24"/>
          <w:lang w:eastAsia="es-GT"/>
        </w:rPr>
        <w:t> serán equiparados en salarios, </w:t>
      </w:r>
      <w:r w:rsidRPr="00DE213F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prestaciones</w:t>
      </w:r>
      <w:r w:rsidRPr="00DE213F">
        <w:rPr>
          <w:rFonts w:ascii="Arial" w:eastAsia="Times New Roman" w:hAnsi="Arial" w:cs="Arial"/>
          <w:sz w:val="24"/>
          <w:szCs w:val="24"/>
          <w:lang w:eastAsia="es-GT"/>
        </w:rPr>
        <w:t> y derechos a los otros trabajadores del Estado. Así que estos son algunos de los beneficios que disfruta un trabajador por planilla en </w:t>
      </w:r>
      <w:r w:rsidRPr="00DE213F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Guatemala</w:t>
      </w:r>
      <w:r w:rsidRPr="00DE213F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bookmarkEnd w:id="0"/>
    <w:p w14:paraId="65A63680" w14:textId="77777777" w:rsidR="00DE213F" w:rsidRPr="00DE213F" w:rsidRDefault="00DE213F" w:rsidP="00DE213F">
      <w:pPr>
        <w:shd w:val="clear" w:color="auto" w:fill="FFFFFF"/>
        <w:spacing w:before="480" w:after="120" w:line="24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DE213F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Prestaciones laborales que goza un trabajador por planilla</w:t>
      </w:r>
    </w:p>
    <w:p w14:paraId="3485C7AF" w14:textId="77777777" w:rsidR="00DE213F" w:rsidRPr="00DE213F" w:rsidRDefault="00DE213F" w:rsidP="00DE213F">
      <w:pPr>
        <w:shd w:val="clear" w:color="auto" w:fill="FFFFFF"/>
        <w:spacing w:before="360" w:after="120" w:line="24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DE213F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Indemnización</w:t>
      </w:r>
      <w:r w:rsidR="009464A9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 Art. 82 Código del trabajo</w:t>
      </w:r>
    </w:p>
    <w:p w14:paraId="0B4A4FBB" w14:textId="77777777" w:rsidR="00DE213F" w:rsidRPr="00DE213F" w:rsidRDefault="00DE213F" w:rsidP="00DE213F">
      <w:pPr>
        <w:shd w:val="clear" w:color="auto" w:fill="FFFFFF"/>
        <w:spacing w:after="480" w:line="360" w:lineRule="atLeast"/>
        <w:rPr>
          <w:rFonts w:ascii="Arial" w:eastAsia="Times New Roman" w:hAnsi="Arial" w:cs="Arial"/>
          <w:sz w:val="24"/>
          <w:szCs w:val="24"/>
          <w:lang w:eastAsia="es-GT"/>
        </w:rPr>
      </w:pPr>
      <w:r w:rsidRPr="00DE213F">
        <w:rPr>
          <w:rFonts w:ascii="Arial" w:eastAsia="Times New Roman" w:hAnsi="Arial" w:cs="Arial"/>
          <w:sz w:val="24"/>
          <w:szCs w:val="24"/>
          <w:lang w:eastAsia="es-GT"/>
        </w:rPr>
        <w:t>Se entrega al trabajador que haya sido despedido sin causa justificada. El cálculo de dicho pago es equivalente a un mes de </w:t>
      </w:r>
      <w:r w:rsidRPr="00DE213F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salario</w:t>
      </w:r>
      <w:r w:rsidRPr="00DE213F">
        <w:rPr>
          <w:rFonts w:ascii="Arial" w:eastAsia="Times New Roman" w:hAnsi="Arial" w:cs="Arial"/>
          <w:sz w:val="24"/>
          <w:szCs w:val="24"/>
          <w:lang w:eastAsia="es-GT"/>
        </w:rPr>
        <w:t> por cada año de servicios continuos prestados. Además, este no excederá de diez meses de salario, según la constitución. </w:t>
      </w:r>
    </w:p>
    <w:p w14:paraId="3CE17387" w14:textId="77777777" w:rsidR="00DE213F" w:rsidRPr="00605BF4" w:rsidRDefault="00DE213F" w:rsidP="00DE213F">
      <w:pPr>
        <w:pStyle w:val="Heading3"/>
        <w:shd w:val="clear" w:color="auto" w:fill="FFFFFF"/>
        <w:spacing w:before="360" w:beforeAutospacing="0" w:after="120" w:afterAutospacing="0" w:line="240" w:lineRule="atLeast"/>
        <w:rPr>
          <w:rFonts w:ascii="Arial" w:hAnsi="Arial" w:cs="Arial"/>
          <w:sz w:val="24"/>
          <w:szCs w:val="24"/>
        </w:rPr>
      </w:pPr>
      <w:r w:rsidRPr="00605BF4">
        <w:rPr>
          <w:rFonts w:ascii="Arial" w:hAnsi="Arial" w:cs="Arial"/>
          <w:sz w:val="24"/>
          <w:szCs w:val="24"/>
        </w:rPr>
        <w:t>Vacaciones</w:t>
      </w:r>
    </w:p>
    <w:p w14:paraId="3019DD88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Según el artículo 130 del Código de Trabajo, todo trabajador tiene derecho a un período de </w:t>
      </w:r>
      <w:r w:rsidRPr="00605BF4">
        <w:rPr>
          <w:rStyle w:val="Strong"/>
          <w:rFonts w:ascii="Arial" w:hAnsi="Arial" w:cs="Arial"/>
        </w:rPr>
        <w:t>vacaciones remuneradas</w:t>
      </w:r>
      <w:r w:rsidRPr="00605BF4">
        <w:rPr>
          <w:rFonts w:ascii="Arial" w:hAnsi="Arial" w:cs="Arial"/>
        </w:rPr>
        <w:t> después de cada año de trabajo continuo. La duración mínima del descanso es de 15 días hábiles.</w:t>
      </w:r>
    </w:p>
    <w:p w14:paraId="6B547BED" w14:textId="77777777" w:rsidR="00DE213F" w:rsidRPr="00605BF4" w:rsidRDefault="00DE213F" w:rsidP="00DE213F">
      <w:pPr>
        <w:pStyle w:val="Heading3"/>
        <w:shd w:val="clear" w:color="auto" w:fill="FFFFFF"/>
        <w:spacing w:before="360" w:beforeAutospacing="0" w:after="120" w:afterAutospacing="0" w:line="240" w:lineRule="atLeast"/>
        <w:rPr>
          <w:rFonts w:ascii="Arial" w:hAnsi="Arial" w:cs="Arial"/>
          <w:sz w:val="24"/>
          <w:szCs w:val="24"/>
        </w:rPr>
      </w:pPr>
      <w:r w:rsidRPr="00605BF4">
        <w:rPr>
          <w:rFonts w:ascii="Arial" w:hAnsi="Arial" w:cs="Arial"/>
          <w:sz w:val="24"/>
          <w:szCs w:val="24"/>
        </w:rPr>
        <w:t>Aguinaldo</w:t>
      </w:r>
    </w:p>
    <w:p w14:paraId="232324EA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Este es un</w:t>
      </w:r>
      <w:r w:rsidRPr="00605BF4">
        <w:rPr>
          <w:rStyle w:val="Strong"/>
          <w:rFonts w:ascii="Arial" w:hAnsi="Arial" w:cs="Arial"/>
        </w:rPr>
        <w:t> pago anual</w:t>
      </w:r>
      <w:r w:rsidRPr="00605BF4">
        <w:rPr>
          <w:rFonts w:ascii="Arial" w:hAnsi="Arial" w:cs="Arial"/>
        </w:rPr>
        <w:t> que tiene todo trabajador desde el primer día de su labor. De hecho, está establecido en el decreto 76-78 del Congreso de la República de Guatemala —la ley Reguladora del Aguinaldo— que todo patrono queda obligado a otorgar este</w:t>
      </w:r>
      <w:r w:rsidRPr="00605BF4">
        <w:rPr>
          <w:rStyle w:val="Strong"/>
          <w:rFonts w:ascii="Arial" w:hAnsi="Arial" w:cs="Arial"/>
        </w:rPr>
        <w:t> sueldo</w:t>
      </w:r>
      <w:r w:rsidRPr="00605BF4">
        <w:rPr>
          <w:rFonts w:ascii="Arial" w:hAnsi="Arial" w:cs="Arial"/>
        </w:rPr>
        <w:t> a sus trabajadores. Este equivale al 100% del salario ordinario mensual por un año de servicios continuos o parte del correspondiente si no se ha cumplido el año.</w:t>
      </w:r>
    </w:p>
    <w:p w14:paraId="164BFB8E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Además, este se paga en un 50% en la primera quincena de diciembre y el resto en la segunda quincena de enero.</w:t>
      </w:r>
    </w:p>
    <w:p w14:paraId="7BFE2231" w14:textId="77777777" w:rsidR="00DE213F" w:rsidRPr="00605BF4" w:rsidRDefault="00DE213F" w:rsidP="00DE213F">
      <w:pPr>
        <w:pStyle w:val="Heading3"/>
        <w:shd w:val="clear" w:color="auto" w:fill="FFFFFF"/>
        <w:spacing w:before="360" w:beforeAutospacing="0" w:after="120" w:afterAutospacing="0" w:line="240" w:lineRule="atLeast"/>
        <w:rPr>
          <w:rFonts w:ascii="Arial" w:hAnsi="Arial" w:cs="Arial"/>
          <w:sz w:val="24"/>
          <w:szCs w:val="24"/>
        </w:rPr>
      </w:pPr>
      <w:r w:rsidRPr="00605BF4">
        <w:rPr>
          <w:rFonts w:ascii="Arial" w:hAnsi="Arial" w:cs="Arial"/>
          <w:sz w:val="24"/>
          <w:szCs w:val="24"/>
        </w:rPr>
        <w:t>Bono 14</w:t>
      </w:r>
    </w:p>
    <w:p w14:paraId="5F72A710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La </w:t>
      </w:r>
      <w:r w:rsidRPr="00605BF4">
        <w:rPr>
          <w:rStyle w:val="Strong"/>
          <w:rFonts w:ascii="Arial" w:hAnsi="Arial" w:cs="Arial"/>
        </w:rPr>
        <w:t>Bonificación Anual para Trabajadores del sector Privado y Público</w:t>
      </w:r>
      <w:r w:rsidRPr="00605BF4">
        <w:rPr>
          <w:rFonts w:ascii="Arial" w:hAnsi="Arial" w:cs="Arial"/>
        </w:rPr>
        <w:t xml:space="preserve"> posee su base legal en el Decreto 42-92. Esta también equivale a un 100% del salario </w:t>
      </w:r>
      <w:r w:rsidRPr="00605BF4">
        <w:rPr>
          <w:rFonts w:ascii="Arial" w:hAnsi="Arial" w:cs="Arial"/>
        </w:rPr>
        <w:lastRenderedPageBreak/>
        <w:t>ordinario al mes. Al igual que el aguinaldo, se paga completo si el trabajador ha laborado por un año ininterrumpido. Si la relación laboral ha sido menor a un año, la prestación es proporcional al tiempo laborado.</w:t>
      </w:r>
    </w:p>
    <w:p w14:paraId="4C7FF4FE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Esta se paga durante la primera quincena del mes de julio de cada año.</w:t>
      </w:r>
    </w:p>
    <w:p w14:paraId="63E6887E" w14:textId="77777777" w:rsidR="00DE213F" w:rsidRPr="00605BF4" w:rsidRDefault="00DE213F" w:rsidP="00DE213F">
      <w:pPr>
        <w:pStyle w:val="Heading3"/>
        <w:shd w:val="clear" w:color="auto" w:fill="FFFFFF"/>
        <w:spacing w:before="360" w:beforeAutospacing="0" w:after="120" w:afterAutospacing="0" w:line="240" w:lineRule="atLeast"/>
        <w:rPr>
          <w:rFonts w:ascii="Arial" w:hAnsi="Arial" w:cs="Arial"/>
          <w:sz w:val="24"/>
          <w:szCs w:val="24"/>
        </w:rPr>
      </w:pPr>
      <w:r w:rsidRPr="00605BF4">
        <w:rPr>
          <w:rFonts w:ascii="Arial" w:hAnsi="Arial" w:cs="Arial"/>
          <w:sz w:val="24"/>
          <w:szCs w:val="24"/>
        </w:rPr>
        <w:t>Bonificación incentivo para sector privado</w:t>
      </w:r>
    </w:p>
    <w:p w14:paraId="1E0F29E9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Esta bonificación es medida en cada empresa privada por productividad y eficiencia en mutuo acuerdo con los trabajadores y la empresa. Tiene sus bases legales en el decreto 78-89, Ley de </w:t>
      </w:r>
      <w:r w:rsidRPr="00605BF4">
        <w:rPr>
          <w:rStyle w:val="Strong"/>
          <w:rFonts w:ascii="Arial" w:hAnsi="Arial" w:cs="Arial"/>
        </w:rPr>
        <w:t>Bonificación Incentivo para los Trabajadores del Sector Privado</w:t>
      </w:r>
      <w:r w:rsidRPr="00605BF4">
        <w:rPr>
          <w:rFonts w:ascii="Arial" w:hAnsi="Arial" w:cs="Arial"/>
        </w:rPr>
        <w:t>.</w:t>
      </w:r>
    </w:p>
    <w:p w14:paraId="46C784D8" w14:textId="77777777" w:rsidR="00DE213F" w:rsidRPr="00605BF4" w:rsidRDefault="00DE213F" w:rsidP="00DE213F">
      <w:pPr>
        <w:pStyle w:val="Heading3"/>
        <w:shd w:val="clear" w:color="auto" w:fill="FFFFFF"/>
        <w:spacing w:before="360" w:beforeAutospacing="0" w:after="120" w:afterAutospacing="0" w:line="240" w:lineRule="atLeast"/>
        <w:rPr>
          <w:rFonts w:ascii="Arial" w:hAnsi="Arial" w:cs="Arial"/>
          <w:sz w:val="24"/>
          <w:szCs w:val="24"/>
        </w:rPr>
      </w:pPr>
      <w:r w:rsidRPr="00605BF4">
        <w:rPr>
          <w:rFonts w:ascii="Arial" w:hAnsi="Arial" w:cs="Arial"/>
          <w:sz w:val="24"/>
          <w:szCs w:val="24"/>
        </w:rPr>
        <w:t>IGSS</w:t>
      </w:r>
    </w:p>
    <w:p w14:paraId="6F402AF5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Según el acuerdo 1123 del Instituto Guatemalteco de Seguridad Social —IGSS—, todo patrono que tenga 3 o más trabajadores está obligado a inscribirse en el </w:t>
      </w:r>
      <w:r w:rsidRPr="00605BF4">
        <w:rPr>
          <w:rStyle w:val="Strong"/>
          <w:rFonts w:ascii="Arial" w:hAnsi="Arial" w:cs="Arial"/>
        </w:rPr>
        <w:t>Régimen de Seguridad Social</w:t>
      </w:r>
      <w:r w:rsidRPr="00605BF4">
        <w:rPr>
          <w:rFonts w:ascii="Arial" w:hAnsi="Arial" w:cs="Arial"/>
        </w:rPr>
        <w:t>. De esta forma, los trabajadores estarán cubiertos por el seguro social que el estado brinda a la población.</w:t>
      </w:r>
    </w:p>
    <w:p w14:paraId="0BBCE6B4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La cuota patronal que cada empleador debe aportar es del 12.67% de los salarios de sus trabajadores. El aporte del trabajador es del 4.83% de su salario.</w:t>
      </w:r>
    </w:p>
    <w:p w14:paraId="68EB37DE" w14:textId="77777777" w:rsidR="00DE213F" w:rsidRPr="00605BF4" w:rsidRDefault="00DE213F" w:rsidP="00DE213F">
      <w:pPr>
        <w:pStyle w:val="Heading3"/>
        <w:shd w:val="clear" w:color="auto" w:fill="FFFFFF"/>
        <w:spacing w:before="360" w:beforeAutospacing="0" w:after="120" w:afterAutospacing="0" w:line="240" w:lineRule="atLeast"/>
        <w:rPr>
          <w:rFonts w:ascii="Arial" w:hAnsi="Arial" w:cs="Arial"/>
          <w:sz w:val="24"/>
          <w:szCs w:val="24"/>
        </w:rPr>
      </w:pPr>
      <w:r w:rsidRPr="00605BF4">
        <w:rPr>
          <w:rFonts w:ascii="Arial" w:hAnsi="Arial" w:cs="Arial"/>
          <w:sz w:val="24"/>
          <w:szCs w:val="24"/>
        </w:rPr>
        <w:t>IRTRA</w:t>
      </w:r>
    </w:p>
    <w:p w14:paraId="22CB2D7F" w14:textId="77777777" w:rsidR="00DE213F" w:rsidRPr="00605BF4" w:rsidRDefault="00DE213F" w:rsidP="00DE213F">
      <w:pPr>
        <w:pStyle w:val="NormalWeb"/>
        <w:shd w:val="clear" w:color="auto" w:fill="FFFFFF"/>
        <w:spacing w:before="0" w:beforeAutospacing="0" w:after="480" w:afterAutospacing="0" w:line="360" w:lineRule="atLeast"/>
        <w:rPr>
          <w:rFonts w:ascii="Arial" w:hAnsi="Arial" w:cs="Arial"/>
        </w:rPr>
      </w:pPr>
      <w:r w:rsidRPr="00605BF4">
        <w:rPr>
          <w:rFonts w:ascii="Arial" w:hAnsi="Arial" w:cs="Arial"/>
        </w:rPr>
        <w:t>El </w:t>
      </w:r>
      <w:r w:rsidRPr="00605BF4">
        <w:rPr>
          <w:rStyle w:val="Strong"/>
          <w:rFonts w:ascii="Arial" w:hAnsi="Arial" w:cs="Arial"/>
        </w:rPr>
        <w:t>Instituto de Recreación de los Trabajadores de la Empresa Privada de Guatemala —IRTRA—</w:t>
      </w:r>
      <w:r w:rsidRPr="00605BF4">
        <w:rPr>
          <w:rFonts w:ascii="Arial" w:hAnsi="Arial" w:cs="Arial"/>
        </w:rPr>
        <w:t> se dedica a brindar el derecho a recreación que un empleado debe gozar. Además, el carné para entrar a las instalaciones de dicho instituto es brindado a trabajadores del sector privado.</w:t>
      </w:r>
    </w:p>
    <w:p w14:paraId="679D1F8D" w14:textId="77777777" w:rsidR="00DE213F" w:rsidRDefault="00DE213F"/>
    <w:sectPr w:rsidR="00DE2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3F"/>
    <w:rsid w:val="0038410A"/>
    <w:rsid w:val="0056422D"/>
    <w:rsid w:val="00605BF4"/>
    <w:rsid w:val="009464A9"/>
    <w:rsid w:val="00DE213F"/>
    <w:rsid w:val="00DF1070"/>
    <w:rsid w:val="00F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092D"/>
  <w15:chartTrackingRefBased/>
  <w15:docId w15:val="{2722059B-59F6-40E1-B14D-2C0217CE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21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Heading3">
    <w:name w:val="heading 3"/>
    <w:basedOn w:val="Normal"/>
    <w:link w:val="Heading3Char"/>
    <w:uiPriority w:val="9"/>
    <w:qFormat/>
    <w:rsid w:val="00DE21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213F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Heading3Char">
    <w:name w:val="Heading 3 Char"/>
    <w:basedOn w:val="DefaultParagraphFont"/>
    <w:link w:val="Heading3"/>
    <w:uiPriority w:val="9"/>
    <w:rsid w:val="00DE213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DE2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Strong">
    <w:name w:val="Strong"/>
    <w:basedOn w:val="DefaultParagraphFont"/>
    <w:uiPriority w:val="22"/>
    <w:qFormat/>
    <w:rsid w:val="00DE2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8805BBE-91A5-4413-9210-57BE75D927F5}"/>
</file>

<file path=customXml/itemProps2.xml><?xml version="1.0" encoding="utf-8"?>
<ds:datastoreItem xmlns:ds="http://schemas.openxmlformats.org/officeDocument/2006/customXml" ds:itemID="{C00B4C5C-1F60-424C-8641-939918EC9C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429B5-8068-48A2-ACAF-6C51DD8570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Tom</dc:creator>
  <cp:keywords/>
  <dc:description/>
  <cp:lastModifiedBy>Janira Romero</cp:lastModifiedBy>
  <cp:revision>3</cp:revision>
  <dcterms:created xsi:type="dcterms:W3CDTF">2019-10-31T14:39:00Z</dcterms:created>
  <dcterms:modified xsi:type="dcterms:W3CDTF">2019-10-31T14:40:00Z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