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63902F" w14:textId="45057892" w:rsidR="0078014C" w:rsidRPr="0078014C" w:rsidRDefault="0078014C" w:rsidP="00445200">
      <w:pPr>
        <w:spacing w:after="0" w:line="240" w:lineRule="auto"/>
        <w:jc w:val="both"/>
        <w:rPr>
          <w:rStyle w:val="p"/>
          <w:rFonts w:asciiTheme="minorHAnsi" w:hAnsiTheme="minorHAnsi" w:cstheme="minorHAnsi"/>
          <w:b/>
          <w:bCs/>
          <w:szCs w:val="24"/>
        </w:rPr>
      </w:pPr>
      <w:r w:rsidRPr="0078014C">
        <w:rPr>
          <w:rStyle w:val="p"/>
          <w:rFonts w:asciiTheme="minorHAnsi" w:hAnsiTheme="minorHAnsi" w:cstheme="minorHAnsi"/>
          <w:b/>
          <w:bCs/>
          <w:szCs w:val="24"/>
        </w:rPr>
        <w:t xml:space="preserve">USAID COST PRINCIPLES: </w:t>
      </w:r>
    </w:p>
    <w:p w14:paraId="582A8E0B" w14:textId="728FD822" w:rsidR="003C2FB7" w:rsidRPr="0078014C" w:rsidRDefault="003C2FB7" w:rsidP="00445200">
      <w:pPr>
        <w:spacing w:after="0" w:line="240" w:lineRule="auto"/>
        <w:jc w:val="both"/>
        <w:rPr>
          <w:rStyle w:val="p"/>
          <w:rFonts w:asciiTheme="minorHAnsi" w:hAnsiTheme="minorHAnsi" w:cstheme="minorHAnsi"/>
          <w:b/>
          <w:bCs/>
          <w:szCs w:val="24"/>
        </w:rPr>
      </w:pPr>
      <w:r w:rsidRPr="0078014C">
        <w:rPr>
          <w:rStyle w:val="p"/>
          <w:rFonts w:asciiTheme="minorHAnsi" w:hAnsiTheme="minorHAnsi" w:cstheme="minorHAnsi"/>
          <w:szCs w:val="24"/>
        </w:rPr>
        <w:t xml:space="preserve">The Cost Principles state which elements of cost require prior approval and which are unallowable, the </w:t>
      </w:r>
      <w:r w:rsidRPr="0078014C">
        <w:rPr>
          <w:rStyle w:val="p"/>
          <w:rFonts w:asciiTheme="minorHAnsi" w:hAnsiTheme="minorHAnsi" w:cstheme="minorHAnsi"/>
          <w:b/>
          <w:bCs/>
          <w:szCs w:val="24"/>
        </w:rPr>
        <w:t xml:space="preserve">XX </w:t>
      </w:r>
      <w:r w:rsidRPr="0078014C">
        <w:rPr>
          <w:rStyle w:val="p"/>
          <w:rFonts w:asciiTheme="minorHAnsi" w:hAnsiTheme="minorHAnsi" w:cstheme="minorHAnsi"/>
          <w:szCs w:val="24"/>
        </w:rPr>
        <w:t xml:space="preserve">next to the Cost Principle means it has an element of un-allowability.  If the Cost Principles is highlighted in yellow that means it requires prior approval under certain circumstances.  If it has both an </w:t>
      </w:r>
      <w:r w:rsidRPr="0078014C">
        <w:rPr>
          <w:rStyle w:val="p"/>
          <w:rFonts w:asciiTheme="minorHAnsi" w:hAnsiTheme="minorHAnsi" w:cstheme="minorHAnsi"/>
          <w:b/>
          <w:bCs/>
          <w:szCs w:val="24"/>
        </w:rPr>
        <w:t xml:space="preserve">XX </w:t>
      </w:r>
      <w:r w:rsidRPr="0078014C">
        <w:rPr>
          <w:rStyle w:val="p"/>
          <w:rFonts w:asciiTheme="minorHAnsi" w:hAnsiTheme="minorHAnsi" w:cstheme="minorHAnsi"/>
          <w:szCs w:val="24"/>
        </w:rPr>
        <w:t>and is highlighted in yellow then there are circu</w:t>
      </w:r>
      <w:r w:rsidR="00445200" w:rsidRPr="0078014C">
        <w:rPr>
          <w:rStyle w:val="p"/>
          <w:rFonts w:asciiTheme="minorHAnsi" w:hAnsiTheme="minorHAnsi" w:cstheme="minorHAnsi"/>
          <w:szCs w:val="24"/>
        </w:rPr>
        <w:t>m</w:t>
      </w:r>
      <w:r w:rsidRPr="0078014C">
        <w:rPr>
          <w:rStyle w:val="p"/>
          <w:rFonts w:asciiTheme="minorHAnsi" w:hAnsiTheme="minorHAnsi" w:cstheme="minorHAnsi"/>
          <w:szCs w:val="24"/>
        </w:rPr>
        <w:t xml:space="preserve">stances that require prior approval and others that are unallowable. One must always read the paragraphs explaining the details of the Cost Principles before expenditure.  If it is not highlighted or does not have the </w:t>
      </w:r>
      <w:r w:rsidRPr="0078014C">
        <w:rPr>
          <w:rStyle w:val="p"/>
          <w:rFonts w:asciiTheme="minorHAnsi" w:hAnsiTheme="minorHAnsi" w:cstheme="minorHAnsi"/>
          <w:b/>
          <w:bCs/>
          <w:szCs w:val="24"/>
        </w:rPr>
        <w:t>XX</w:t>
      </w:r>
      <w:r w:rsidRPr="0078014C">
        <w:rPr>
          <w:rStyle w:val="p"/>
          <w:rFonts w:asciiTheme="minorHAnsi" w:hAnsiTheme="minorHAnsi" w:cstheme="minorHAnsi"/>
          <w:szCs w:val="24"/>
        </w:rPr>
        <w:t xml:space="preserve"> then it is allowable and the US Government has provided guidance on how that cost should be treated</w:t>
      </w:r>
      <w:r w:rsidR="00445200" w:rsidRPr="0078014C">
        <w:rPr>
          <w:rStyle w:val="p"/>
          <w:rFonts w:asciiTheme="minorHAnsi" w:hAnsiTheme="minorHAnsi" w:cstheme="minorHAnsi"/>
          <w:b/>
          <w:bCs/>
          <w:szCs w:val="24"/>
        </w:rPr>
        <w:t xml:space="preserve">. </w:t>
      </w:r>
    </w:p>
    <w:p w14:paraId="21D78286" w14:textId="77777777" w:rsidR="00FE185E" w:rsidRDefault="00FE185E" w:rsidP="003C2FB7">
      <w:pPr>
        <w:spacing w:line="240" w:lineRule="auto"/>
        <w:jc w:val="both"/>
        <w:rPr>
          <w:rFonts w:asciiTheme="minorHAnsi" w:hAnsiTheme="minorHAnsi" w:cstheme="minorHAnsi"/>
          <w:b/>
          <w:bCs/>
          <w:szCs w:val="24"/>
        </w:rPr>
      </w:pPr>
    </w:p>
    <w:p w14:paraId="77D37470" w14:textId="2C24FBAA" w:rsidR="003C2FB7" w:rsidRPr="0078014C" w:rsidRDefault="003C2FB7" w:rsidP="003C2FB7">
      <w:pPr>
        <w:spacing w:line="240" w:lineRule="auto"/>
        <w:jc w:val="both"/>
        <w:rPr>
          <w:rFonts w:asciiTheme="minorHAnsi" w:hAnsiTheme="minorHAnsi" w:cstheme="minorHAnsi"/>
          <w:b/>
          <w:bCs/>
          <w:szCs w:val="24"/>
        </w:rPr>
      </w:pPr>
      <w:r w:rsidRPr="0078014C">
        <w:rPr>
          <w:rFonts w:asciiTheme="minorHAnsi" w:hAnsiTheme="minorHAnsi" w:cstheme="minorHAnsi"/>
          <w:b/>
          <w:bCs/>
          <w:szCs w:val="24"/>
        </w:rPr>
        <w:t xml:space="preserve">Cost Principles Master List: </w:t>
      </w:r>
    </w:p>
    <w:p w14:paraId="0626DF1B" w14:textId="77777777" w:rsidR="003C2FB7" w:rsidRPr="0078014C" w:rsidRDefault="003C2FB7" w:rsidP="003C2FB7">
      <w:pPr>
        <w:spacing w:after="0" w:line="240" w:lineRule="auto"/>
        <w:jc w:val="both"/>
        <w:rPr>
          <w:rFonts w:asciiTheme="minorHAnsi" w:hAnsiTheme="minorHAnsi" w:cstheme="minorHAnsi"/>
          <w:szCs w:val="24"/>
          <w:lang w:val="en-US"/>
        </w:rPr>
      </w:pPr>
      <w:r w:rsidRPr="0078014C">
        <w:rPr>
          <w:rFonts w:asciiTheme="minorHAnsi" w:hAnsiTheme="minorHAnsi" w:cstheme="minorHAnsi"/>
          <w:szCs w:val="24"/>
          <w:lang w:val="en-US"/>
        </w:rPr>
        <w:t xml:space="preserve">2 cfr 200.420 Considerations for selected items of cost. </w:t>
      </w:r>
    </w:p>
    <w:p w14:paraId="1C49D060" w14:textId="77777777" w:rsidR="003C2FB7" w:rsidRPr="0078014C" w:rsidRDefault="003C2FB7" w:rsidP="003C2FB7">
      <w:pPr>
        <w:spacing w:after="0" w:line="240" w:lineRule="auto"/>
        <w:jc w:val="both"/>
        <w:rPr>
          <w:rFonts w:asciiTheme="minorHAnsi" w:hAnsiTheme="minorHAnsi" w:cstheme="minorHAnsi"/>
          <w:szCs w:val="24"/>
          <w:lang w:val="en-US"/>
        </w:rPr>
      </w:pPr>
      <w:r w:rsidRPr="0078014C">
        <w:rPr>
          <w:rFonts w:asciiTheme="minorHAnsi" w:hAnsiTheme="minorHAnsi" w:cstheme="minorHAnsi"/>
          <w:b/>
          <w:bCs/>
          <w:szCs w:val="24"/>
          <w:lang w:val="en-US"/>
        </w:rPr>
        <w:t xml:space="preserve">XX </w:t>
      </w:r>
      <w:r w:rsidRPr="0078014C">
        <w:rPr>
          <w:rFonts w:asciiTheme="minorHAnsi" w:hAnsiTheme="minorHAnsi" w:cstheme="minorHAnsi"/>
          <w:szCs w:val="24"/>
          <w:lang w:val="en-US"/>
        </w:rPr>
        <w:t xml:space="preserve">2 cfr 200.421   Advertising and public relations. </w:t>
      </w:r>
    </w:p>
    <w:p w14:paraId="56CBA3E1"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lang w:val="en-US"/>
        </w:rPr>
        <w:t xml:space="preserve">2 cfr 200.422   Advisory Council. </w:t>
      </w:r>
    </w:p>
    <w:p w14:paraId="5D5AC0A2"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rPr>
        <w:t xml:space="preserve">XX </w:t>
      </w:r>
      <w:r w:rsidRPr="0078014C">
        <w:rPr>
          <w:rFonts w:asciiTheme="minorHAnsi" w:hAnsiTheme="minorHAnsi" w:cstheme="minorHAnsi"/>
          <w:szCs w:val="24"/>
        </w:rPr>
        <w:t xml:space="preserve">2 cfr 200.423   Alcoholic beverages. </w:t>
      </w:r>
    </w:p>
    <w:p w14:paraId="7D9CF524"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rPr>
        <w:t xml:space="preserve">XX </w:t>
      </w:r>
      <w:r w:rsidRPr="0078014C">
        <w:rPr>
          <w:rFonts w:asciiTheme="minorHAnsi" w:hAnsiTheme="minorHAnsi" w:cstheme="minorHAnsi"/>
          <w:szCs w:val="24"/>
        </w:rPr>
        <w:t>2 cfr</w:t>
      </w:r>
      <w:r w:rsidRPr="0078014C">
        <w:rPr>
          <w:rFonts w:asciiTheme="minorHAnsi" w:hAnsiTheme="minorHAnsi" w:cstheme="minorHAnsi"/>
          <w:b/>
          <w:bCs/>
          <w:szCs w:val="24"/>
        </w:rPr>
        <w:t xml:space="preserve"> </w:t>
      </w:r>
      <w:r w:rsidRPr="0078014C">
        <w:rPr>
          <w:rFonts w:asciiTheme="minorHAnsi" w:hAnsiTheme="minorHAnsi" w:cstheme="minorHAnsi"/>
          <w:szCs w:val="24"/>
        </w:rPr>
        <w:t xml:space="preserve">200.424   Alumni/ae activities. </w:t>
      </w:r>
    </w:p>
    <w:p w14:paraId="097574AC"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rPr>
        <w:t xml:space="preserve">XX </w:t>
      </w:r>
      <w:r w:rsidRPr="0078014C">
        <w:rPr>
          <w:rFonts w:asciiTheme="minorHAnsi" w:hAnsiTheme="minorHAnsi" w:cstheme="minorHAnsi"/>
          <w:szCs w:val="24"/>
        </w:rPr>
        <w:t xml:space="preserve">2 cfr 200.425   Audit services. (If an audit is not required, the US may not pay for it). </w:t>
      </w:r>
    </w:p>
    <w:p w14:paraId="7A099112"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rPr>
        <w:t xml:space="preserve">XX </w:t>
      </w:r>
      <w:r w:rsidRPr="0078014C">
        <w:rPr>
          <w:rFonts w:asciiTheme="minorHAnsi" w:hAnsiTheme="minorHAnsi" w:cstheme="minorHAnsi"/>
          <w:szCs w:val="24"/>
        </w:rPr>
        <w:t>2 cfr</w:t>
      </w:r>
      <w:r w:rsidRPr="0078014C">
        <w:rPr>
          <w:rFonts w:asciiTheme="minorHAnsi" w:hAnsiTheme="minorHAnsi" w:cstheme="minorHAnsi"/>
          <w:b/>
          <w:bCs/>
          <w:szCs w:val="24"/>
        </w:rPr>
        <w:t xml:space="preserve"> </w:t>
      </w:r>
      <w:r w:rsidRPr="0078014C">
        <w:rPr>
          <w:rFonts w:asciiTheme="minorHAnsi" w:hAnsiTheme="minorHAnsi" w:cstheme="minorHAnsi"/>
          <w:szCs w:val="24"/>
        </w:rPr>
        <w:t xml:space="preserve">200.426   Bad debts. </w:t>
      </w:r>
    </w:p>
    <w:p w14:paraId="5C0F4E48"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rPr>
        <w:t>2 cfr 200.427   Bonding costs.</w:t>
      </w:r>
    </w:p>
    <w:p w14:paraId="523B0BFA"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rPr>
        <w:t>2 cfr 200.428   Collections of improper payments.</w:t>
      </w:r>
    </w:p>
    <w:p w14:paraId="3E475E45"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rPr>
        <w:t xml:space="preserve">XX </w:t>
      </w:r>
      <w:r w:rsidRPr="0078014C">
        <w:rPr>
          <w:rFonts w:asciiTheme="minorHAnsi" w:hAnsiTheme="minorHAnsi" w:cstheme="minorHAnsi"/>
          <w:szCs w:val="24"/>
        </w:rPr>
        <w:t>2 cfr 200.429   Commencement and convocation costs.</w:t>
      </w:r>
    </w:p>
    <w:p w14:paraId="52F85ED9"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highlight w:val="yellow"/>
        </w:rPr>
        <w:t>2 cfr 200.430   Compensation—personal services.</w:t>
      </w:r>
    </w:p>
    <w:p w14:paraId="1D5B863F"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highlight w:val="yellow"/>
        </w:rPr>
        <w:t>2 cfr 200.431   Compensation—fringe benefits.</w:t>
      </w:r>
    </w:p>
    <w:p w14:paraId="5B39E970"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rPr>
        <w:t>2 cfr 200.432   Conferences.</w:t>
      </w:r>
    </w:p>
    <w:p w14:paraId="57BD63A0"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rPr>
        <w:t xml:space="preserve">XX </w:t>
      </w:r>
      <w:r w:rsidRPr="0078014C">
        <w:rPr>
          <w:rFonts w:asciiTheme="minorHAnsi" w:hAnsiTheme="minorHAnsi" w:cstheme="minorHAnsi"/>
          <w:szCs w:val="24"/>
        </w:rPr>
        <w:t xml:space="preserve">2 cfr 200.433   Contingency provisions. </w:t>
      </w:r>
    </w:p>
    <w:p w14:paraId="17A3C738"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rPr>
        <w:t xml:space="preserve">XX </w:t>
      </w:r>
      <w:r w:rsidRPr="0078014C">
        <w:rPr>
          <w:rFonts w:asciiTheme="minorHAnsi" w:hAnsiTheme="minorHAnsi" w:cstheme="minorHAnsi"/>
          <w:szCs w:val="24"/>
        </w:rPr>
        <w:t xml:space="preserve">2 cfr 200.434   Contributions and donations. </w:t>
      </w:r>
    </w:p>
    <w:p w14:paraId="011E7DDF"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lang w:val="en-US"/>
        </w:rPr>
        <w:t xml:space="preserve">XX </w:t>
      </w:r>
      <w:r w:rsidRPr="0078014C">
        <w:rPr>
          <w:rFonts w:asciiTheme="minorHAnsi" w:hAnsiTheme="minorHAnsi" w:cstheme="minorHAnsi"/>
          <w:szCs w:val="24"/>
          <w:lang w:val="en-US"/>
        </w:rPr>
        <w:t xml:space="preserve">2 cfr 200.435   Defense and prosecution of criminal and civil proceedings, claims, appeals and patent infringements. </w:t>
      </w:r>
    </w:p>
    <w:p w14:paraId="09CF9547" w14:textId="77777777" w:rsidR="003C2FB7" w:rsidRPr="0078014C" w:rsidRDefault="003C2FB7" w:rsidP="003C2FB7">
      <w:pPr>
        <w:spacing w:after="0" w:line="240" w:lineRule="auto"/>
        <w:jc w:val="both"/>
        <w:rPr>
          <w:rFonts w:asciiTheme="minorHAnsi" w:hAnsiTheme="minorHAnsi" w:cstheme="minorHAnsi"/>
          <w:szCs w:val="24"/>
          <w:lang w:val="en-US"/>
        </w:rPr>
      </w:pPr>
      <w:r w:rsidRPr="0078014C">
        <w:rPr>
          <w:rFonts w:asciiTheme="minorHAnsi" w:hAnsiTheme="minorHAnsi" w:cstheme="minorHAnsi"/>
          <w:szCs w:val="24"/>
          <w:lang w:val="en-US"/>
        </w:rPr>
        <w:t xml:space="preserve">2 cfr 200.436   Depreciation. </w:t>
      </w:r>
    </w:p>
    <w:p w14:paraId="7B9E8049"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lang w:val="en-US"/>
        </w:rPr>
        <w:t xml:space="preserve">2 cfr 200.437   Employee health and welfare costs. </w:t>
      </w:r>
    </w:p>
    <w:p w14:paraId="0AAC5E68" w14:textId="77777777" w:rsidR="003C2FB7" w:rsidRPr="0078014C" w:rsidRDefault="003C2FB7" w:rsidP="003C2FB7">
      <w:pPr>
        <w:spacing w:after="0" w:line="240" w:lineRule="auto"/>
        <w:jc w:val="both"/>
        <w:rPr>
          <w:rFonts w:asciiTheme="minorHAnsi" w:hAnsiTheme="minorHAnsi" w:cstheme="minorHAnsi"/>
          <w:szCs w:val="24"/>
          <w:highlight w:val="yellow"/>
        </w:rPr>
      </w:pPr>
      <w:r w:rsidRPr="0078014C">
        <w:rPr>
          <w:rFonts w:asciiTheme="minorHAnsi" w:hAnsiTheme="minorHAnsi" w:cstheme="minorHAnsi"/>
          <w:b/>
          <w:bCs/>
          <w:szCs w:val="24"/>
          <w:highlight w:val="yellow"/>
        </w:rPr>
        <w:t xml:space="preserve">XX </w:t>
      </w:r>
      <w:r w:rsidRPr="0078014C">
        <w:rPr>
          <w:rFonts w:asciiTheme="minorHAnsi" w:hAnsiTheme="minorHAnsi" w:cstheme="minorHAnsi"/>
          <w:szCs w:val="24"/>
          <w:highlight w:val="yellow"/>
        </w:rPr>
        <w:t xml:space="preserve">2 cfr 200.438   Entertainment costs. </w:t>
      </w:r>
    </w:p>
    <w:p w14:paraId="11AE6A9D" w14:textId="77777777" w:rsidR="003C2FB7" w:rsidRPr="0078014C" w:rsidRDefault="003C2FB7" w:rsidP="003C2FB7">
      <w:pPr>
        <w:spacing w:after="0" w:line="240" w:lineRule="auto"/>
        <w:jc w:val="both"/>
        <w:rPr>
          <w:rFonts w:asciiTheme="minorHAnsi" w:hAnsiTheme="minorHAnsi" w:cstheme="minorHAnsi"/>
          <w:szCs w:val="24"/>
          <w:highlight w:val="yellow"/>
        </w:rPr>
      </w:pPr>
      <w:r w:rsidRPr="0078014C">
        <w:rPr>
          <w:rFonts w:asciiTheme="minorHAnsi" w:hAnsiTheme="minorHAnsi" w:cstheme="minorHAnsi"/>
          <w:szCs w:val="24"/>
          <w:highlight w:val="yellow"/>
          <w:lang w:val="en-US"/>
        </w:rPr>
        <w:t xml:space="preserve">2 cfr 200.439   Equipment and other capital expenditures. </w:t>
      </w:r>
    </w:p>
    <w:p w14:paraId="6B3CD0AA" w14:textId="77777777" w:rsidR="003C2FB7" w:rsidRPr="0078014C" w:rsidRDefault="003C2FB7" w:rsidP="003C2FB7">
      <w:pPr>
        <w:spacing w:after="0" w:line="240" w:lineRule="auto"/>
        <w:jc w:val="both"/>
        <w:rPr>
          <w:rFonts w:asciiTheme="minorHAnsi" w:hAnsiTheme="minorHAnsi" w:cstheme="minorHAnsi"/>
          <w:szCs w:val="24"/>
          <w:highlight w:val="yellow"/>
        </w:rPr>
      </w:pPr>
      <w:r w:rsidRPr="0078014C">
        <w:rPr>
          <w:rFonts w:asciiTheme="minorHAnsi" w:hAnsiTheme="minorHAnsi" w:cstheme="minorHAnsi"/>
          <w:szCs w:val="24"/>
          <w:highlight w:val="yellow"/>
        </w:rPr>
        <w:t xml:space="preserve">2 cfr 200.440   Exchange rates. </w:t>
      </w:r>
    </w:p>
    <w:p w14:paraId="171DFC7A" w14:textId="77777777" w:rsidR="003C2FB7" w:rsidRPr="0078014C" w:rsidRDefault="003C2FB7" w:rsidP="003C2FB7">
      <w:pPr>
        <w:tabs>
          <w:tab w:val="left" w:pos="1080"/>
        </w:tabs>
        <w:spacing w:after="0" w:line="240" w:lineRule="auto"/>
        <w:jc w:val="both"/>
        <w:rPr>
          <w:rFonts w:asciiTheme="minorHAnsi" w:hAnsiTheme="minorHAnsi" w:cstheme="minorHAnsi"/>
          <w:szCs w:val="24"/>
          <w:highlight w:val="yellow"/>
        </w:rPr>
      </w:pPr>
      <w:r w:rsidRPr="0078014C">
        <w:rPr>
          <w:rFonts w:asciiTheme="minorHAnsi" w:hAnsiTheme="minorHAnsi" w:cstheme="minorHAnsi"/>
          <w:b/>
          <w:bCs/>
          <w:szCs w:val="24"/>
          <w:highlight w:val="yellow"/>
          <w:lang w:val="en-US"/>
        </w:rPr>
        <w:t xml:space="preserve">XX </w:t>
      </w:r>
      <w:r w:rsidRPr="0078014C">
        <w:rPr>
          <w:rFonts w:asciiTheme="minorHAnsi" w:hAnsiTheme="minorHAnsi" w:cstheme="minorHAnsi"/>
          <w:szCs w:val="24"/>
          <w:highlight w:val="yellow"/>
          <w:lang w:val="en-US"/>
        </w:rPr>
        <w:t xml:space="preserve">2 cfr 200.441   Fines, penalties, damages and other settlements. </w:t>
      </w:r>
    </w:p>
    <w:p w14:paraId="746B8B64"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highlight w:val="yellow"/>
          <w:lang w:val="en-US"/>
        </w:rPr>
        <w:t xml:space="preserve">XX </w:t>
      </w:r>
      <w:r w:rsidRPr="0078014C">
        <w:rPr>
          <w:rFonts w:asciiTheme="minorHAnsi" w:hAnsiTheme="minorHAnsi" w:cstheme="minorHAnsi"/>
          <w:szCs w:val="24"/>
          <w:highlight w:val="yellow"/>
          <w:lang w:val="en-US"/>
        </w:rPr>
        <w:t>2 cfr 200.442   Fundraising and investment management costs.</w:t>
      </w:r>
      <w:r w:rsidRPr="0078014C">
        <w:rPr>
          <w:rFonts w:asciiTheme="minorHAnsi" w:hAnsiTheme="minorHAnsi" w:cstheme="minorHAnsi"/>
          <w:szCs w:val="24"/>
          <w:lang w:val="en-US"/>
        </w:rPr>
        <w:t xml:space="preserve"> </w:t>
      </w:r>
    </w:p>
    <w:p w14:paraId="5CCF6892"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lang w:val="en-US"/>
        </w:rPr>
        <w:t xml:space="preserve">2 cfr 200.443   Gains and losses on disposition of depreciable assets. </w:t>
      </w:r>
    </w:p>
    <w:p w14:paraId="1BEBA2F3"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rPr>
        <w:t xml:space="preserve">2 cfr 200.444   General costs of government. </w:t>
      </w:r>
    </w:p>
    <w:p w14:paraId="39D70C0F"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highlight w:val="yellow"/>
        </w:rPr>
        <w:t xml:space="preserve">XX </w:t>
      </w:r>
      <w:r w:rsidRPr="0078014C">
        <w:rPr>
          <w:rFonts w:asciiTheme="minorHAnsi" w:hAnsiTheme="minorHAnsi" w:cstheme="minorHAnsi"/>
          <w:szCs w:val="24"/>
          <w:highlight w:val="yellow"/>
        </w:rPr>
        <w:t>2 cfr 200.445   Goods or services for personal use</w:t>
      </w:r>
      <w:r w:rsidRPr="0078014C">
        <w:rPr>
          <w:rFonts w:asciiTheme="minorHAnsi" w:hAnsiTheme="minorHAnsi" w:cstheme="minorHAnsi"/>
          <w:szCs w:val="24"/>
        </w:rPr>
        <w:t xml:space="preserve">. </w:t>
      </w:r>
    </w:p>
    <w:p w14:paraId="09F675BE"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lang w:val="en-US"/>
        </w:rPr>
        <w:t xml:space="preserve">XX </w:t>
      </w:r>
      <w:r w:rsidRPr="0078014C">
        <w:rPr>
          <w:rFonts w:asciiTheme="minorHAnsi" w:hAnsiTheme="minorHAnsi" w:cstheme="minorHAnsi"/>
          <w:szCs w:val="24"/>
          <w:lang w:val="en-US"/>
        </w:rPr>
        <w:t xml:space="preserve">2 cfr 200.446   Idle facilities and idle capacity. </w:t>
      </w:r>
    </w:p>
    <w:p w14:paraId="4F0FA8C7"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highlight w:val="yellow"/>
        </w:rPr>
        <w:t>2 cfr 200.447   Insurance and indemnification. (Assurance)</w:t>
      </w:r>
    </w:p>
    <w:p w14:paraId="26CAC152"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rPr>
        <w:t xml:space="preserve">XX </w:t>
      </w:r>
      <w:r w:rsidRPr="0078014C">
        <w:rPr>
          <w:rFonts w:asciiTheme="minorHAnsi" w:hAnsiTheme="minorHAnsi" w:cstheme="minorHAnsi"/>
          <w:szCs w:val="24"/>
        </w:rPr>
        <w:t xml:space="preserve">2 cfr 200.448   Intellectual property. </w:t>
      </w:r>
    </w:p>
    <w:p w14:paraId="4B673743" w14:textId="77777777" w:rsidR="003C2FB7" w:rsidRPr="0078014C" w:rsidRDefault="003C2FB7" w:rsidP="003C2FB7">
      <w:pPr>
        <w:spacing w:after="0" w:line="240" w:lineRule="auto"/>
        <w:jc w:val="both"/>
        <w:rPr>
          <w:rFonts w:asciiTheme="minorHAnsi" w:hAnsiTheme="minorHAnsi" w:cstheme="minorHAnsi"/>
          <w:szCs w:val="24"/>
          <w:lang w:val="en-US"/>
        </w:rPr>
      </w:pPr>
      <w:r w:rsidRPr="0078014C">
        <w:rPr>
          <w:rFonts w:asciiTheme="minorHAnsi" w:hAnsiTheme="minorHAnsi" w:cstheme="minorHAnsi"/>
          <w:szCs w:val="24"/>
          <w:lang w:val="en-US"/>
        </w:rPr>
        <w:t xml:space="preserve">2 cfr 200.449   Interest. </w:t>
      </w:r>
    </w:p>
    <w:p w14:paraId="51BFE253" w14:textId="77777777" w:rsidR="003C2FB7" w:rsidRPr="0078014C" w:rsidRDefault="003C2FB7" w:rsidP="003C2FB7">
      <w:pPr>
        <w:spacing w:after="0" w:line="240" w:lineRule="auto"/>
        <w:jc w:val="both"/>
        <w:rPr>
          <w:rFonts w:asciiTheme="minorHAnsi" w:hAnsiTheme="minorHAnsi" w:cstheme="minorHAnsi"/>
          <w:szCs w:val="24"/>
          <w:lang w:val="en-US"/>
        </w:rPr>
      </w:pPr>
      <w:r w:rsidRPr="0078014C">
        <w:rPr>
          <w:rFonts w:asciiTheme="minorHAnsi" w:hAnsiTheme="minorHAnsi" w:cstheme="minorHAnsi"/>
          <w:b/>
          <w:bCs/>
          <w:szCs w:val="24"/>
          <w:lang w:val="en-US"/>
        </w:rPr>
        <w:t xml:space="preserve">XX </w:t>
      </w:r>
      <w:r w:rsidRPr="0078014C">
        <w:rPr>
          <w:rFonts w:asciiTheme="minorHAnsi" w:hAnsiTheme="minorHAnsi" w:cstheme="minorHAnsi"/>
          <w:szCs w:val="24"/>
          <w:lang w:val="en-US"/>
        </w:rPr>
        <w:t xml:space="preserve">2 cfr 200.450   Lobbying/Advocacy to the US Gov’t </w:t>
      </w:r>
    </w:p>
    <w:p w14:paraId="495A73F3"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lang w:val="en-US"/>
        </w:rPr>
        <w:t xml:space="preserve">XX </w:t>
      </w:r>
      <w:r w:rsidRPr="0078014C">
        <w:rPr>
          <w:rFonts w:asciiTheme="minorHAnsi" w:hAnsiTheme="minorHAnsi" w:cstheme="minorHAnsi"/>
          <w:szCs w:val="24"/>
          <w:lang w:val="en-US"/>
        </w:rPr>
        <w:t xml:space="preserve">2 cfr 200.451   Losses on other awards or contracts. </w:t>
      </w:r>
    </w:p>
    <w:p w14:paraId="2E1F1D66"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rPr>
        <w:t xml:space="preserve">2 cfr 200.452   Maintenance and repair costs. </w:t>
      </w:r>
    </w:p>
    <w:p w14:paraId="7AB7B003"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lang w:val="en-US"/>
        </w:rPr>
        <w:t>2 cfr 200.453   Materials and supplies costs, including costs of computing devices.</w:t>
      </w:r>
    </w:p>
    <w:p w14:paraId="73E85ABF" w14:textId="77777777" w:rsidR="003C2FB7" w:rsidRPr="0078014C" w:rsidRDefault="003C2FB7" w:rsidP="003C2FB7">
      <w:pPr>
        <w:spacing w:after="0" w:line="240" w:lineRule="auto"/>
        <w:jc w:val="both"/>
        <w:rPr>
          <w:rFonts w:asciiTheme="minorHAnsi" w:hAnsiTheme="minorHAnsi" w:cstheme="minorHAnsi"/>
          <w:szCs w:val="24"/>
          <w:highlight w:val="yellow"/>
        </w:rPr>
      </w:pPr>
      <w:r w:rsidRPr="0078014C">
        <w:rPr>
          <w:rFonts w:asciiTheme="minorHAnsi" w:hAnsiTheme="minorHAnsi" w:cstheme="minorHAnsi"/>
          <w:b/>
          <w:bCs/>
          <w:szCs w:val="24"/>
          <w:highlight w:val="yellow"/>
          <w:lang w:val="en-US"/>
        </w:rPr>
        <w:t xml:space="preserve">XX </w:t>
      </w:r>
      <w:r w:rsidRPr="0078014C">
        <w:rPr>
          <w:rFonts w:asciiTheme="minorHAnsi" w:hAnsiTheme="minorHAnsi" w:cstheme="minorHAnsi"/>
          <w:szCs w:val="24"/>
          <w:highlight w:val="yellow"/>
          <w:lang w:val="en-US"/>
        </w:rPr>
        <w:t>2 cfr 200.454   Memberships, subscriptions, and professional activity costs.</w:t>
      </w:r>
    </w:p>
    <w:p w14:paraId="33EE54BD" w14:textId="77777777" w:rsidR="003C2FB7" w:rsidRPr="0078014C" w:rsidRDefault="003C2FB7" w:rsidP="003C2FB7">
      <w:pPr>
        <w:spacing w:after="0" w:line="240" w:lineRule="auto"/>
        <w:jc w:val="both"/>
        <w:rPr>
          <w:rFonts w:asciiTheme="minorHAnsi" w:hAnsiTheme="minorHAnsi" w:cstheme="minorHAnsi"/>
          <w:szCs w:val="24"/>
          <w:highlight w:val="yellow"/>
        </w:rPr>
      </w:pPr>
      <w:r w:rsidRPr="0078014C">
        <w:rPr>
          <w:rFonts w:asciiTheme="minorHAnsi" w:hAnsiTheme="minorHAnsi" w:cstheme="minorHAnsi"/>
          <w:szCs w:val="24"/>
          <w:highlight w:val="yellow"/>
        </w:rPr>
        <w:t>2 cfr 200.455   Organisation costs.</w:t>
      </w:r>
    </w:p>
    <w:p w14:paraId="59359A2B"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highlight w:val="yellow"/>
        </w:rPr>
        <w:t>2 cfr 200.456   Participant support costs.</w:t>
      </w:r>
      <w:r w:rsidRPr="0078014C">
        <w:rPr>
          <w:rFonts w:asciiTheme="minorHAnsi" w:hAnsiTheme="minorHAnsi" w:cstheme="minorHAnsi"/>
          <w:szCs w:val="24"/>
        </w:rPr>
        <w:t xml:space="preserve"> </w:t>
      </w:r>
    </w:p>
    <w:p w14:paraId="786856B5"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rPr>
        <w:t xml:space="preserve">2 cfr 200.457   Plant and security costs. </w:t>
      </w:r>
    </w:p>
    <w:p w14:paraId="55D35DF5"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highlight w:val="yellow"/>
        </w:rPr>
        <w:t>2 cfr 200.458   Pre-award costs.</w:t>
      </w:r>
    </w:p>
    <w:p w14:paraId="28C851C1"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rPr>
        <w:t>2 cfr 200.459   Professional service costs.</w:t>
      </w:r>
    </w:p>
    <w:p w14:paraId="27F5131C"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rPr>
        <w:t xml:space="preserve">2 cfr 200.460   Proposal costs. </w:t>
      </w:r>
    </w:p>
    <w:p w14:paraId="7FEAE346"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rPr>
        <w:t xml:space="preserve">2 cfr 200.461   Publication and printing costs. </w:t>
      </w:r>
    </w:p>
    <w:p w14:paraId="711DE6EB"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highlight w:val="yellow"/>
        </w:rPr>
        <w:t>2 cfr 200.462   Rearrangement and reconversion costs.</w:t>
      </w:r>
    </w:p>
    <w:p w14:paraId="2330B431" w14:textId="77777777" w:rsidR="003C2FB7" w:rsidRPr="0078014C" w:rsidRDefault="003C2FB7" w:rsidP="003C2FB7">
      <w:pPr>
        <w:spacing w:after="0" w:line="240" w:lineRule="auto"/>
        <w:jc w:val="both"/>
        <w:rPr>
          <w:rFonts w:asciiTheme="minorHAnsi" w:hAnsiTheme="minorHAnsi" w:cstheme="minorHAnsi"/>
          <w:szCs w:val="24"/>
          <w:lang w:val="en-US"/>
        </w:rPr>
      </w:pPr>
      <w:r w:rsidRPr="0078014C">
        <w:rPr>
          <w:rFonts w:asciiTheme="minorHAnsi" w:hAnsiTheme="minorHAnsi" w:cstheme="minorHAnsi"/>
          <w:szCs w:val="24"/>
          <w:lang w:val="en-US"/>
        </w:rPr>
        <w:t>2 cfr 200.463   Recruiting costs.</w:t>
      </w:r>
    </w:p>
    <w:p w14:paraId="1E7D8828" w14:textId="77777777" w:rsidR="003C2FB7" w:rsidRPr="0078014C" w:rsidRDefault="003C2FB7" w:rsidP="003C2FB7">
      <w:pPr>
        <w:spacing w:after="0" w:line="240" w:lineRule="auto"/>
        <w:jc w:val="both"/>
        <w:rPr>
          <w:rFonts w:asciiTheme="minorHAnsi" w:hAnsiTheme="minorHAnsi" w:cstheme="minorHAnsi"/>
          <w:szCs w:val="24"/>
          <w:lang w:val="en-US"/>
        </w:rPr>
      </w:pPr>
      <w:r w:rsidRPr="0078014C">
        <w:rPr>
          <w:rFonts w:asciiTheme="minorHAnsi" w:hAnsiTheme="minorHAnsi" w:cstheme="minorHAnsi"/>
          <w:b/>
          <w:bCs/>
          <w:szCs w:val="24"/>
          <w:lang w:val="en-US"/>
        </w:rPr>
        <w:t xml:space="preserve">XX </w:t>
      </w:r>
      <w:r w:rsidRPr="0078014C">
        <w:rPr>
          <w:rFonts w:asciiTheme="minorHAnsi" w:hAnsiTheme="minorHAnsi" w:cstheme="minorHAnsi"/>
          <w:szCs w:val="24"/>
          <w:lang w:val="en-US"/>
        </w:rPr>
        <w:t xml:space="preserve">2 cfr 200.464   Relocation costs of employees. </w:t>
      </w:r>
    </w:p>
    <w:p w14:paraId="50DD1D87"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lang w:val="en-US"/>
        </w:rPr>
        <w:t xml:space="preserve">2 cfr 200.465   Rental costs of real property and equipment. </w:t>
      </w:r>
    </w:p>
    <w:p w14:paraId="4DC2AA52"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lang w:val="en-US"/>
        </w:rPr>
        <w:t xml:space="preserve">2 cfr 200.466   Scholarships and student aid costs. </w:t>
      </w:r>
    </w:p>
    <w:p w14:paraId="400CE34E"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highlight w:val="yellow"/>
        </w:rPr>
        <w:lastRenderedPageBreak/>
        <w:t>2 cfr 200.467   Selling and marketing costs.</w:t>
      </w:r>
      <w:r w:rsidRPr="0078014C">
        <w:rPr>
          <w:rFonts w:asciiTheme="minorHAnsi" w:hAnsiTheme="minorHAnsi" w:cstheme="minorHAnsi"/>
          <w:szCs w:val="24"/>
        </w:rPr>
        <w:t xml:space="preserve"> </w:t>
      </w:r>
    </w:p>
    <w:p w14:paraId="4979072B"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rPr>
        <w:t>2 cfr 200.468   Specialized service facilities.</w:t>
      </w:r>
    </w:p>
    <w:p w14:paraId="4314E2AC"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rPr>
        <w:t xml:space="preserve">XX </w:t>
      </w:r>
      <w:r w:rsidRPr="0078014C">
        <w:rPr>
          <w:rFonts w:asciiTheme="minorHAnsi" w:hAnsiTheme="minorHAnsi" w:cstheme="minorHAnsi"/>
          <w:szCs w:val="24"/>
        </w:rPr>
        <w:t>2 cfr 200.469   Student activity costs.</w:t>
      </w:r>
    </w:p>
    <w:p w14:paraId="1348C976"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highlight w:val="yellow"/>
          <w:lang w:val="en-US"/>
        </w:rPr>
        <w:t>2 cfr 200.470   Taxes (including Value Added Tax).</w:t>
      </w:r>
      <w:r w:rsidRPr="0078014C">
        <w:rPr>
          <w:rFonts w:asciiTheme="minorHAnsi" w:hAnsiTheme="minorHAnsi" w:cstheme="minorHAnsi"/>
          <w:szCs w:val="24"/>
          <w:lang w:val="en-US"/>
        </w:rPr>
        <w:t xml:space="preserve"> </w:t>
      </w:r>
    </w:p>
    <w:p w14:paraId="6A6579B3"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rPr>
        <w:t xml:space="preserve">2 cfr 200.471   Termination costs. </w:t>
      </w:r>
    </w:p>
    <w:p w14:paraId="51FAACF4" w14:textId="77777777" w:rsidR="003C2FB7" w:rsidRPr="0078014C" w:rsidRDefault="003C2FB7" w:rsidP="003C2FB7">
      <w:pPr>
        <w:spacing w:after="0" w:line="240" w:lineRule="auto"/>
        <w:jc w:val="both"/>
        <w:rPr>
          <w:rFonts w:asciiTheme="minorHAnsi" w:hAnsiTheme="minorHAnsi" w:cstheme="minorHAnsi"/>
          <w:szCs w:val="24"/>
          <w:lang w:val="en-US"/>
        </w:rPr>
      </w:pPr>
      <w:r w:rsidRPr="0078014C">
        <w:rPr>
          <w:rFonts w:asciiTheme="minorHAnsi" w:hAnsiTheme="minorHAnsi" w:cstheme="minorHAnsi"/>
          <w:szCs w:val="24"/>
          <w:lang w:val="en-US"/>
        </w:rPr>
        <w:t>2 cfr 200.472   Training and education costs.</w:t>
      </w:r>
    </w:p>
    <w:p w14:paraId="18CA002F"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szCs w:val="24"/>
        </w:rPr>
        <w:t xml:space="preserve">2 cfr 200.473   Transportation costs. </w:t>
      </w:r>
    </w:p>
    <w:p w14:paraId="1875C200" w14:textId="77777777" w:rsidR="003C2FB7" w:rsidRPr="0078014C" w:rsidRDefault="003C2FB7" w:rsidP="003C2FB7">
      <w:pPr>
        <w:spacing w:after="0" w:line="240" w:lineRule="auto"/>
        <w:jc w:val="both"/>
        <w:rPr>
          <w:rFonts w:asciiTheme="minorHAnsi" w:hAnsiTheme="minorHAnsi" w:cstheme="minorHAnsi"/>
          <w:szCs w:val="24"/>
        </w:rPr>
      </w:pPr>
      <w:r w:rsidRPr="0078014C">
        <w:rPr>
          <w:rFonts w:asciiTheme="minorHAnsi" w:hAnsiTheme="minorHAnsi" w:cstheme="minorHAnsi"/>
          <w:b/>
          <w:bCs/>
          <w:szCs w:val="24"/>
          <w:highlight w:val="yellow"/>
        </w:rPr>
        <w:t xml:space="preserve">XX </w:t>
      </w:r>
      <w:r w:rsidRPr="0078014C">
        <w:rPr>
          <w:rFonts w:asciiTheme="minorHAnsi" w:hAnsiTheme="minorHAnsi" w:cstheme="minorHAnsi"/>
          <w:szCs w:val="24"/>
          <w:highlight w:val="yellow"/>
        </w:rPr>
        <w:t>2 cfr 200.474   Travel costs.</w:t>
      </w:r>
      <w:r w:rsidRPr="0078014C">
        <w:rPr>
          <w:rFonts w:asciiTheme="minorHAnsi" w:hAnsiTheme="minorHAnsi" w:cstheme="minorHAnsi"/>
          <w:szCs w:val="24"/>
        </w:rPr>
        <w:t xml:space="preserve"> </w:t>
      </w:r>
    </w:p>
    <w:p w14:paraId="43D22758" w14:textId="1DAB4419" w:rsidR="0018092A" w:rsidRPr="0078014C" w:rsidRDefault="00445200" w:rsidP="0078014C">
      <w:pPr>
        <w:spacing w:after="0" w:line="240" w:lineRule="auto"/>
        <w:jc w:val="both"/>
        <w:rPr>
          <w:rFonts w:asciiTheme="minorHAnsi" w:hAnsiTheme="minorHAnsi" w:cstheme="minorHAnsi"/>
          <w:szCs w:val="24"/>
        </w:rPr>
      </w:pPr>
      <w:r w:rsidRPr="0078014C">
        <w:rPr>
          <w:rFonts w:asciiTheme="minorHAnsi" w:hAnsiTheme="minorHAnsi" w:cstheme="minorHAnsi"/>
          <w:szCs w:val="24"/>
        </w:rPr>
        <w:t xml:space="preserve">2 </w:t>
      </w:r>
      <w:r w:rsidR="003C2FB7" w:rsidRPr="0078014C">
        <w:rPr>
          <w:rFonts w:asciiTheme="minorHAnsi" w:hAnsiTheme="minorHAnsi" w:cstheme="minorHAnsi"/>
          <w:szCs w:val="24"/>
        </w:rPr>
        <w:t>cfr 200.475   Truste</w:t>
      </w:r>
      <w:r w:rsidR="0078014C">
        <w:rPr>
          <w:rFonts w:asciiTheme="minorHAnsi" w:hAnsiTheme="minorHAnsi" w:cstheme="minorHAnsi"/>
          <w:szCs w:val="24"/>
        </w:rPr>
        <w:t>es</w:t>
      </w:r>
    </w:p>
    <w:sectPr w:rsidR="0018092A" w:rsidRPr="0078014C" w:rsidSect="0078014C">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8F5C90" w14:textId="77777777" w:rsidR="005F61D5" w:rsidRDefault="005F61D5" w:rsidP="009D3D8B">
      <w:pPr>
        <w:spacing w:after="0" w:line="240" w:lineRule="auto"/>
      </w:pPr>
      <w:r>
        <w:separator/>
      </w:r>
    </w:p>
  </w:endnote>
  <w:endnote w:type="continuationSeparator" w:id="0">
    <w:p w14:paraId="0518713E" w14:textId="77777777" w:rsidR="005F61D5" w:rsidRDefault="005F61D5" w:rsidP="009D3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3760AC" w14:textId="77777777" w:rsidR="0001595A" w:rsidRDefault="000159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2228330"/>
      <w:docPartObj>
        <w:docPartGallery w:val="Page Numbers (Bottom of Page)"/>
        <w:docPartUnique/>
      </w:docPartObj>
    </w:sdtPr>
    <w:sdtEndPr>
      <w:rPr>
        <w:noProof/>
      </w:rPr>
    </w:sdtEndPr>
    <w:sdtContent>
      <w:p w14:paraId="26B03686" w14:textId="1867C13D" w:rsidR="009D3D8B" w:rsidRDefault="009D3D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ADD587" w14:textId="77777777" w:rsidR="009D3D8B" w:rsidRDefault="009D3D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F228A6" w14:textId="77777777" w:rsidR="0001595A" w:rsidRDefault="000159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CC6A77" w14:textId="77777777" w:rsidR="005F61D5" w:rsidRDefault="005F61D5" w:rsidP="009D3D8B">
      <w:pPr>
        <w:spacing w:after="0" w:line="240" w:lineRule="auto"/>
      </w:pPr>
      <w:r>
        <w:separator/>
      </w:r>
    </w:p>
  </w:footnote>
  <w:footnote w:type="continuationSeparator" w:id="0">
    <w:p w14:paraId="193D6B31" w14:textId="77777777" w:rsidR="005F61D5" w:rsidRDefault="005F61D5" w:rsidP="009D3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CF85AA" w14:textId="77777777" w:rsidR="0001595A" w:rsidRDefault="000159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D88F60" w14:textId="77777777" w:rsidR="0001595A" w:rsidRDefault="000159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8989D7" w14:textId="77777777" w:rsidR="0001595A" w:rsidRDefault="000159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0390885"/>
    <w:multiLevelType w:val="hybridMultilevel"/>
    <w:tmpl w:val="0922A1EA"/>
    <w:lvl w:ilvl="0" w:tplc="FF26E84A">
      <w:start w:val="1"/>
      <w:numFmt w:val="decimal"/>
      <w:lvlText w:val="%1)"/>
      <w:lvlJc w:val="left"/>
      <w:pPr>
        <w:ind w:left="360" w:hanging="36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D1866F9"/>
    <w:multiLevelType w:val="hybridMultilevel"/>
    <w:tmpl w:val="B3DA3CA0"/>
    <w:lvl w:ilvl="0" w:tplc="F2F2F53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FB7"/>
    <w:rsid w:val="00004E97"/>
    <w:rsid w:val="0001595A"/>
    <w:rsid w:val="00080A8D"/>
    <w:rsid w:val="0018092A"/>
    <w:rsid w:val="00192E14"/>
    <w:rsid w:val="003C2FB7"/>
    <w:rsid w:val="00445200"/>
    <w:rsid w:val="00486193"/>
    <w:rsid w:val="005536E2"/>
    <w:rsid w:val="005F61D5"/>
    <w:rsid w:val="0078014C"/>
    <w:rsid w:val="009D3D8B"/>
    <w:rsid w:val="00BC11A3"/>
    <w:rsid w:val="00FE1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6FB13"/>
  <w15:chartTrackingRefBased/>
  <w15:docId w15:val="{CEA69E2A-94DA-4477-B592-14A4A23A5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FB7"/>
    <w:rPr>
      <w:rFonts w:ascii="Arial" w:hAnsi="Arial"/>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FB7"/>
    <w:pPr>
      <w:ind w:left="720"/>
      <w:contextualSpacing/>
    </w:pPr>
  </w:style>
  <w:style w:type="character" w:customStyle="1" w:styleId="p">
    <w:name w:val="p"/>
    <w:basedOn w:val="DefaultParagraphFont"/>
    <w:rsid w:val="003C2FB7"/>
  </w:style>
  <w:style w:type="paragraph" w:styleId="BalloonText">
    <w:name w:val="Balloon Text"/>
    <w:basedOn w:val="Normal"/>
    <w:link w:val="BalloonTextChar"/>
    <w:uiPriority w:val="99"/>
    <w:semiHidden/>
    <w:unhideWhenUsed/>
    <w:rsid w:val="004452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5200"/>
    <w:rPr>
      <w:rFonts w:ascii="Segoe UI" w:hAnsi="Segoe UI" w:cs="Segoe UI"/>
      <w:sz w:val="18"/>
      <w:szCs w:val="18"/>
      <w:lang w:val="en-GB"/>
    </w:rPr>
  </w:style>
  <w:style w:type="character" w:styleId="CommentReference">
    <w:name w:val="annotation reference"/>
    <w:basedOn w:val="DefaultParagraphFont"/>
    <w:uiPriority w:val="99"/>
    <w:semiHidden/>
    <w:unhideWhenUsed/>
    <w:rsid w:val="0078014C"/>
    <w:rPr>
      <w:sz w:val="16"/>
      <w:szCs w:val="16"/>
    </w:rPr>
  </w:style>
  <w:style w:type="paragraph" w:styleId="CommentText">
    <w:name w:val="annotation text"/>
    <w:basedOn w:val="Normal"/>
    <w:link w:val="CommentTextChar"/>
    <w:uiPriority w:val="99"/>
    <w:semiHidden/>
    <w:unhideWhenUsed/>
    <w:rsid w:val="0078014C"/>
    <w:pPr>
      <w:spacing w:line="240" w:lineRule="auto"/>
    </w:pPr>
    <w:rPr>
      <w:sz w:val="20"/>
      <w:szCs w:val="20"/>
    </w:rPr>
  </w:style>
  <w:style w:type="character" w:customStyle="1" w:styleId="CommentTextChar">
    <w:name w:val="Comment Text Char"/>
    <w:basedOn w:val="DefaultParagraphFont"/>
    <w:link w:val="CommentText"/>
    <w:uiPriority w:val="99"/>
    <w:semiHidden/>
    <w:rsid w:val="0078014C"/>
    <w:rPr>
      <w:rFonts w:ascii="Arial" w:hAnsi="Arial"/>
      <w:sz w:val="20"/>
      <w:szCs w:val="20"/>
      <w:lang w:val="en-GB"/>
    </w:rPr>
  </w:style>
  <w:style w:type="character" w:customStyle="1" w:styleId="sectno">
    <w:name w:val="sectno"/>
    <w:basedOn w:val="DefaultParagraphFont"/>
    <w:rsid w:val="0078014C"/>
  </w:style>
  <w:style w:type="character" w:customStyle="1" w:styleId="subject">
    <w:name w:val="subject"/>
    <w:basedOn w:val="DefaultParagraphFont"/>
    <w:rsid w:val="0078014C"/>
  </w:style>
  <w:style w:type="character" w:customStyle="1" w:styleId="e-03">
    <w:name w:val="e-03"/>
    <w:basedOn w:val="DefaultParagraphFont"/>
    <w:rsid w:val="0078014C"/>
  </w:style>
  <w:style w:type="paragraph" w:styleId="Header">
    <w:name w:val="header"/>
    <w:basedOn w:val="Normal"/>
    <w:link w:val="HeaderChar"/>
    <w:uiPriority w:val="99"/>
    <w:unhideWhenUsed/>
    <w:rsid w:val="009D3D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D8B"/>
    <w:rPr>
      <w:rFonts w:ascii="Arial" w:hAnsi="Arial"/>
      <w:sz w:val="24"/>
      <w:lang w:val="en-GB"/>
    </w:rPr>
  </w:style>
  <w:style w:type="paragraph" w:styleId="Footer">
    <w:name w:val="footer"/>
    <w:basedOn w:val="Normal"/>
    <w:link w:val="FooterChar"/>
    <w:uiPriority w:val="99"/>
    <w:unhideWhenUsed/>
    <w:rsid w:val="009D3D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D8B"/>
    <w:rPr>
      <w:rFonts w:ascii="Arial" w:hAnsi="Arial"/>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0C07C8-815B-4003-9977-5AA37A486F93}"/>
</file>

<file path=customXml/itemProps2.xml><?xml version="1.0" encoding="utf-8"?>
<ds:datastoreItem xmlns:ds="http://schemas.openxmlformats.org/officeDocument/2006/customXml" ds:itemID="{B943836C-4EE7-40B5-A070-14554DED72B0}"/>
</file>

<file path=customXml/itemProps3.xml><?xml version="1.0" encoding="utf-8"?>
<ds:datastoreItem xmlns:ds="http://schemas.openxmlformats.org/officeDocument/2006/customXml" ds:itemID="{F18FF581-6463-4CFE-BDC8-271C30667B35}"/>
</file>

<file path=docProps/app.xml><?xml version="1.0" encoding="utf-8"?>
<Properties xmlns="http://schemas.openxmlformats.org/officeDocument/2006/extended-properties" xmlns:vt="http://schemas.openxmlformats.org/officeDocument/2006/docPropsVTypes">
  <Template>Normal</Template>
  <TotalTime>1</TotalTime>
  <Pages>2</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Meehan</dc:creator>
  <cp:keywords/>
  <dc:description/>
  <cp:lastModifiedBy>Shannon Meehan</cp:lastModifiedBy>
  <cp:revision>3</cp:revision>
  <dcterms:created xsi:type="dcterms:W3CDTF">2020-07-23T19:26:00Z</dcterms:created>
  <dcterms:modified xsi:type="dcterms:W3CDTF">2020-07-23T19:27:00Z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