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left w:w="0" w:type="dxa"/>
          <w:right w:w="0" w:type="dxa"/>
        </w:tblCellMar>
        <w:tblLook w:val="04A0" w:firstRow="1" w:lastRow="0" w:firstColumn="1" w:lastColumn="0" w:noHBand="0" w:noVBand="1"/>
      </w:tblPr>
      <w:tblGrid>
        <w:gridCol w:w="3418"/>
        <w:gridCol w:w="4052"/>
        <w:gridCol w:w="6840"/>
      </w:tblGrid>
      <w:tr w:rsidR="006F19EE" w:rsidRPr="00100CC0" w14:paraId="6E61629B" w14:textId="77777777" w:rsidTr="00E53526">
        <w:trPr>
          <w:trHeight w:val="439"/>
          <w:jc w:val="center"/>
        </w:trPr>
        <w:tc>
          <w:tcPr>
            <w:tcW w:w="3418" w:type="dxa"/>
            <w:tcBorders>
              <w:top w:val="single" w:sz="8" w:space="0" w:color="auto"/>
              <w:left w:val="single" w:sz="8" w:space="0" w:color="auto"/>
              <w:bottom w:val="single" w:sz="8" w:space="0" w:color="auto"/>
              <w:right w:val="single" w:sz="4" w:space="0" w:color="auto"/>
            </w:tcBorders>
            <w:vAlign w:val="center"/>
          </w:tcPr>
          <w:p w14:paraId="11A83E5E" w14:textId="77777777" w:rsidR="006F19EE" w:rsidRPr="002643B4" w:rsidRDefault="006F19EE" w:rsidP="006F19EE">
            <w:pPr>
              <w:spacing w:line="240" w:lineRule="auto"/>
              <w:jc w:val="center"/>
              <w:rPr>
                <w:rFonts w:ascii="Times New Roman" w:hAnsi="Times New Roman"/>
                <w:b/>
                <w:bCs/>
                <w:color w:val="000000"/>
                <w:sz w:val="28"/>
                <w:szCs w:val="28"/>
              </w:rPr>
            </w:pPr>
            <w:r w:rsidRPr="002643B4">
              <w:rPr>
                <w:rFonts w:ascii="Times New Roman" w:hAnsi="Times New Roman"/>
                <w:b/>
                <w:bCs/>
                <w:color w:val="000000"/>
                <w:sz w:val="28"/>
                <w:szCs w:val="28"/>
              </w:rPr>
              <w:t>Procurement Situation</w:t>
            </w:r>
          </w:p>
        </w:tc>
        <w:tc>
          <w:tcPr>
            <w:tcW w:w="4052" w:type="dxa"/>
            <w:tcBorders>
              <w:top w:val="single" w:sz="8" w:space="0" w:color="auto"/>
              <w:left w:val="single" w:sz="8" w:space="0" w:color="auto"/>
              <w:bottom w:val="single" w:sz="8" w:space="0" w:color="auto"/>
              <w:right w:val="single" w:sz="8" w:space="0" w:color="auto"/>
            </w:tcBorders>
            <w:vAlign w:val="center"/>
          </w:tcPr>
          <w:p w14:paraId="7E6D58E9" w14:textId="77777777" w:rsidR="006F19EE" w:rsidRPr="002643B4" w:rsidRDefault="006F19EE" w:rsidP="006F19EE">
            <w:pPr>
              <w:spacing w:line="240" w:lineRule="auto"/>
              <w:jc w:val="center"/>
              <w:rPr>
                <w:rFonts w:ascii="Times New Roman" w:hAnsi="Times New Roman"/>
                <w:b/>
                <w:bCs/>
                <w:color w:val="000000"/>
                <w:sz w:val="28"/>
                <w:szCs w:val="28"/>
              </w:rPr>
            </w:pPr>
            <w:r w:rsidRPr="002643B4">
              <w:rPr>
                <w:rFonts w:ascii="Times New Roman" w:hAnsi="Times New Roman"/>
                <w:b/>
                <w:bCs/>
                <w:color w:val="000000"/>
                <w:sz w:val="28"/>
                <w:szCs w:val="28"/>
              </w:rPr>
              <w:t>Rationale</w:t>
            </w:r>
          </w:p>
        </w:tc>
        <w:tc>
          <w:tcPr>
            <w:tcW w:w="6840" w:type="dxa"/>
            <w:tcBorders>
              <w:top w:val="single" w:sz="8" w:space="0" w:color="auto"/>
              <w:left w:val="single" w:sz="8" w:space="0" w:color="auto"/>
              <w:bottom w:val="single" w:sz="8" w:space="0" w:color="auto"/>
              <w:right w:val="single" w:sz="8" w:space="0" w:color="auto"/>
            </w:tcBorders>
          </w:tcPr>
          <w:p w14:paraId="43F8EEC3" w14:textId="77777777" w:rsidR="006F19EE" w:rsidRPr="002643B4" w:rsidRDefault="006F19EE" w:rsidP="006F19EE">
            <w:pPr>
              <w:spacing w:line="240" w:lineRule="auto"/>
              <w:jc w:val="center"/>
              <w:rPr>
                <w:rFonts w:ascii="Times New Roman" w:hAnsi="Times New Roman"/>
                <w:b/>
                <w:bCs/>
                <w:color w:val="000000"/>
                <w:sz w:val="28"/>
                <w:szCs w:val="28"/>
              </w:rPr>
            </w:pPr>
            <w:r w:rsidRPr="002643B4">
              <w:rPr>
                <w:rFonts w:ascii="Times New Roman" w:hAnsi="Times New Roman"/>
                <w:b/>
                <w:bCs/>
                <w:color w:val="000000"/>
                <w:sz w:val="28"/>
                <w:szCs w:val="28"/>
              </w:rPr>
              <w:t>Agreement Types</w:t>
            </w:r>
          </w:p>
        </w:tc>
      </w:tr>
      <w:tr w:rsidR="006F19EE" w:rsidRPr="00100CC0" w14:paraId="1CFF7018" w14:textId="77777777" w:rsidTr="00E53526">
        <w:trPr>
          <w:trHeight w:val="3760"/>
          <w:jc w:val="center"/>
        </w:trPr>
        <w:tc>
          <w:tcPr>
            <w:tcW w:w="3418" w:type="dxa"/>
            <w:tcBorders>
              <w:top w:val="nil"/>
              <w:left w:val="single" w:sz="8" w:space="0" w:color="auto"/>
              <w:bottom w:val="single" w:sz="8" w:space="0" w:color="auto"/>
              <w:right w:val="single" w:sz="4" w:space="0" w:color="auto"/>
            </w:tcBorders>
          </w:tcPr>
          <w:p w14:paraId="2910D5DD" w14:textId="77777777" w:rsidR="006F19EE" w:rsidRPr="00100CC0" w:rsidRDefault="006F19EE" w:rsidP="00100CC0">
            <w:pPr>
              <w:numPr>
                <w:ilvl w:val="0"/>
                <w:numId w:val="11"/>
              </w:numPr>
              <w:spacing w:after="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To procure professional technical services</w:t>
            </w:r>
          </w:p>
          <w:p w14:paraId="05E93503"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Will not have decision making authority on a project or be responsible for performing a major part of the project</w:t>
            </w:r>
          </w:p>
          <w:p w14:paraId="5EA370A1"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Anticipated vendor is an incorporated business</w:t>
            </w:r>
          </w:p>
          <w:p w14:paraId="3F24C7B3"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Prime award can be contract, cooperative agreement, or grant</w:t>
            </w:r>
          </w:p>
        </w:tc>
        <w:tc>
          <w:tcPr>
            <w:tcW w:w="4052" w:type="dxa"/>
            <w:tcBorders>
              <w:top w:val="nil"/>
              <w:left w:val="single" w:sz="8" w:space="0" w:color="auto"/>
              <w:bottom w:val="single" w:sz="8" w:space="0" w:color="auto"/>
              <w:right w:val="single" w:sz="8" w:space="0" w:color="auto"/>
            </w:tcBorders>
          </w:tcPr>
          <w:p w14:paraId="010DF77F" w14:textId="77777777" w:rsidR="006F19EE" w:rsidRPr="00100CC0" w:rsidRDefault="006F19EE" w:rsidP="00100CC0">
            <w:pPr>
              <w:tabs>
                <w:tab w:val="left" w:pos="947"/>
              </w:tabs>
              <w:spacing w:line="240" w:lineRule="auto"/>
              <w:ind w:left="137" w:right="225"/>
              <w:rPr>
                <w:rFonts w:ascii="Times New Roman" w:hAnsi="Times New Roman"/>
                <w:b/>
                <w:bCs/>
                <w:color w:val="000000"/>
                <w:sz w:val="24"/>
                <w:szCs w:val="24"/>
              </w:rPr>
            </w:pPr>
            <w:r w:rsidRPr="00100CC0">
              <w:rPr>
                <w:rFonts w:ascii="Times New Roman" w:hAnsi="Times New Roman"/>
                <w:color w:val="000000"/>
                <w:sz w:val="24"/>
                <w:szCs w:val="24"/>
              </w:rPr>
              <w:t xml:space="preserve">Required Instrument: </w:t>
            </w:r>
            <w:r w:rsidRPr="00100CC0">
              <w:rPr>
                <w:rFonts w:ascii="Times New Roman" w:hAnsi="Times New Roman"/>
                <w:b/>
                <w:bCs/>
                <w:color w:val="000000"/>
                <w:sz w:val="24"/>
                <w:szCs w:val="24"/>
              </w:rPr>
              <w:t>Purchase Order Services</w:t>
            </w:r>
          </w:p>
          <w:p w14:paraId="6894FD6C" w14:textId="124DCD5C"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t>Purchase orders are used to purchase specific discrete services from a business (cannot be used for vendors who are independent contractors).</w:t>
            </w:r>
            <w:r w:rsidR="008D13D8" w:rsidRPr="00100CC0">
              <w:rPr>
                <w:rFonts w:ascii="Times New Roman" w:hAnsi="Times New Roman"/>
                <w:color w:val="000000"/>
                <w:sz w:val="24"/>
                <w:szCs w:val="24"/>
              </w:rPr>
              <w:t xml:space="preserve"> </w:t>
            </w:r>
            <w:r w:rsidRPr="00100CC0">
              <w:rPr>
                <w:rFonts w:ascii="Times New Roman" w:hAnsi="Times New Roman"/>
                <w:color w:val="000000"/>
                <w:sz w:val="24"/>
                <w:szCs w:val="24"/>
              </w:rPr>
              <w:t>The deliverables must be clear, concise, and detailed.</w:t>
            </w:r>
            <w:r w:rsidR="008D13D8" w:rsidRPr="00100CC0">
              <w:rPr>
                <w:rFonts w:ascii="Times New Roman" w:hAnsi="Times New Roman"/>
                <w:color w:val="000000"/>
                <w:sz w:val="24"/>
                <w:szCs w:val="24"/>
              </w:rPr>
              <w:t xml:space="preserve"> </w:t>
            </w:r>
            <w:r w:rsidRPr="00100CC0">
              <w:rPr>
                <w:rFonts w:ascii="Times New Roman" w:hAnsi="Times New Roman"/>
                <w:color w:val="000000"/>
                <w:sz w:val="24"/>
                <w:szCs w:val="24"/>
              </w:rPr>
              <w:t>The delivery schedule should have specific tasks corresponding to a payment schedule.</w:t>
            </w:r>
            <w:r w:rsidR="008D13D8" w:rsidRPr="00100CC0">
              <w:rPr>
                <w:rFonts w:ascii="Times New Roman" w:hAnsi="Times New Roman"/>
                <w:b/>
                <w:bCs/>
                <w:color w:val="000000"/>
                <w:sz w:val="24"/>
                <w:szCs w:val="24"/>
              </w:rPr>
              <w:t xml:space="preserve"> </w:t>
            </w:r>
            <w:r w:rsidRPr="00100CC0">
              <w:rPr>
                <w:rFonts w:ascii="Times New Roman" w:hAnsi="Times New Roman"/>
                <w:b/>
                <w:bCs/>
                <w:color w:val="000000"/>
                <w:sz w:val="24"/>
                <w:szCs w:val="24"/>
              </w:rPr>
              <w:t xml:space="preserve">If used for general support services, per </w:t>
            </w:r>
            <w:hyperlink r:id="rId10" w:history="1">
              <w:r w:rsidRPr="004F7922">
                <w:rPr>
                  <w:rStyle w:val="Hyperlink"/>
                  <w:rFonts w:ascii="Times New Roman" w:hAnsi="Times New Roman"/>
                  <w:b/>
                  <w:bCs/>
                  <w:sz w:val="24"/>
                  <w:szCs w:val="24"/>
                </w:rPr>
                <w:t>2 CFR 200.308 (c)(6)</w:t>
              </w:r>
            </w:hyperlink>
            <w:r w:rsidRPr="00100CC0">
              <w:rPr>
                <w:rFonts w:ascii="Times New Roman" w:hAnsi="Times New Roman"/>
                <w:b/>
                <w:bCs/>
                <w:color w:val="000000"/>
                <w:sz w:val="24"/>
                <w:szCs w:val="24"/>
              </w:rPr>
              <w:t xml:space="preserve"> they do not require approval.</w:t>
            </w:r>
          </w:p>
        </w:tc>
        <w:tc>
          <w:tcPr>
            <w:tcW w:w="6840" w:type="dxa"/>
            <w:tcBorders>
              <w:top w:val="nil"/>
              <w:left w:val="single" w:sz="8" w:space="0" w:color="auto"/>
              <w:bottom w:val="single" w:sz="8" w:space="0" w:color="auto"/>
              <w:right w:val="single" w:sz="8" w:space="0" w:color="auto"/>
            </w:tcBorders>
          </w:tcPr>
          <w:p w14:paraId="36CB043F" w14:textId="68A03D9F" w:rsidR="006F19EE" w:rsidRPr="00100CC0" w:rsidRDefault="006F19EE" w:rsidP="00100CC0">
            <w:pPr>
              <w:ind w:left="219" w:right="225"/>
              <w:rPr>
                <w:rFonts w:ascii="Times New Roman" w:hAnsi="Times New Roman"/>
                <w:spacing w:val="-2"/>
                <w:sz w:val="24"/>
                <w:szCs w:val="24"/>
              </w:rPr>
            </w:pPr>
            <w:r w:rsidRPr="00100CC0">
              <w:rPr>
                <w:rFonts w:ascii="Times New Roman" w:hAnsi="Times New Roman"/>
                <w:i/>
                <w:iCs/>
                <w:spacing w:val="-2"/>
                <w:sz w:val="24"/>
                <w:szCs w:val="24"/>
              </w:rPr>
              <w:t>Fixed Price</w:t>
            </w:r>
            <w:r w:rsidRPr="00100CC0">
              <w:rPr>
                <w:rFonts w:ascii="Times New Roman" w:hAnsi="Times New Roman"/>
                <w:spacing w:val="-2"/>
                <w:sz w:val="24"/>
                <w:szCs w:val="24"/>
              </w:rPr>
              <w:t>: A fixed price purchase order provides for a price that is not subject to any adjustment on the basis of the Vendor’s cost experience in performing the work.</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This is used for purchasing when the costs involved in performing the work can be estimated with reasonable certainty.</w:t>
            </w:r>
          </w:p>
          <w:p w14:paraId="20C38358" w14:textId="77854AF8" w:rsidR="006F19EE" w:rsidRPr="00100CC0" w:rsidRDefault="006F19EE" w:rsidP="00100CC0">
            <w:pPr>
              <w:ind w:left="219" w:right="225"/>
              <w:rPr>
                <w:rFonts w:ascii="Times New Roman" w:hAnsi="Times New Roman"/>
                <w:spacing w:val="-2"/>
                <w:sz w:val="24"/>
                <w:szCs w:val="24"/>
              </w:rPr>
            </w:pPr>
            <w:r w:rsidRPr="00100CC0">
              <w:rPr>
                <w:rFonts w:ascii="Times New Roman" w:hAnsi="Times New Roman"/>
                <w:i/>
                <w:iCs/>
                <w:spacing w:val="-2"/>
                <w:sz w:val="24"/>
                <w:szCs w:val="24"/>
              </w:rPr>
              <w:t>Time and Materials</w:t>
            </w:r>
            <w:r w:rsidRPr="00100CC0">
              <w:rPr>
                <w:rFonts w:ascii="Times New Roman" w:hAnsi="Times New Roman"/>
                <w:spacing w:val="-2"/>
                <w:sz w:val="24"/>
                <w:szCs w:val="24"/>
              </w:rPr>
              <w:t>: A time-and-materials purchase order has fixed labor rates that include not only direct labor costs, but also indirect costs, such as fringe benefits, and profit as well.</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The labor rates are charged for actual labor utilized under the purchase orders.</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Materials, such as travel, office supplies, etc. are charged on a cost reimbursable basis and no profit can be attached to materials.</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This type of purchase order is used when it is not possible at the time of awarding the contract to estimate accurately the extent or duration of the work or to anticipate costs with any reasonable degree of certainty.</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 xml:space="preserve">USG discourages this type of </w:t>
            </w:r>
            <w:r w:rsidR="008D13D8" w:rsidRPr="00100CC0">
              <w:rPr>
                <w:rFonts w:ascii="Times New Roman" w:hAnsi="Times New Roman"/>
                <w:spacing w:val="-2"/>
                <w:sz w:val="24"/>
                <w:szCs w:val="24"/>
              </w:rPr>
              <w:t>contract,</w:t>
            </w:r>
            <w:r w:rsidRPr="00100CC0">
              <w:rPr>
                <w:rFonts w:ascii="Times New Roman" w:hAnsi="Times New Roman"/>
                <w:spacing w:val="-2"/>
                <w:sz w:val="24"/>
                <w:szCs w:val="24"/>
              </w:rPr>
              <w:t xml:space="preserve"> but it can be useful for professional services when the length of the engagement is not clear. </w:t>
            </w:r>
          </w:p>
        </w:tc>
      </w:tr>
      <w:tr w:rsidR="006F19EE" w:rsidRPr="00100CC0" w14:paraId="6BF2B824" w14:textId="77777777" w:rsidTr="003234AA">
        <w:trPr>
          <w:trHeight w:val="1267"/>
          <w:jc w:val="center"/>
        </w:trPr>
        <w:tc>
          <w:tcPr>
            <w:tcW w:w="3418" w:type="dxa"/>
            <w:tcBorders>
              <w:top w:val="nil"/>
              <w:left w:val="single" w:sz="8" w:space="0" w:color="auto"/>
              <w:bottom w:val="single" w:sz="8" w:space="0" w:color="auto"/>
              <w:right w:val="single" w:sz="4" w:space="0" w:color="auto"/>
            </w:tcBorders>
          </w:tcPr>
          <w:p w14:paraId="0E7BF9BA"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To procure goods – equipment or supplies</w:t>
            </w:r>
          </w:p>
          <w:p w14:paraId="4528001B"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Will not have decision making authority on a project or be responsible for performing a major part of the project</w:t>
            </w:r>
          </w:p>
          <w:p w14:paraId="2A98D3BE"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Anticipated vendor is an incorporated business</w:t>
            </w:r>
          </w:p>
          <w:p w14:paraId="43FFE1E3"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Prime award can be contract, cooperative agreement, or grant</w:t>
            </w:r>
          </w:p>
        </w:tc>
        <w:tc>
          <w:tcPr>
            <w:tcW w:w="4052" w:type="dxa"/>
            <w:tcBorders>
              <w:top w:val="nil"/>
              <w:left w:val="single" w:sz="8" w:space="0" w:color="auto"/>
              <w:bottom w:val="single" w:sz="8" w:space="0" w:color="auto"/>
              <w:right w:val="single" w:sz="8" w:space="0" w:color="auto"/>
            </w:tcBorders>
          </w:tcPr>
          <w:p w14:paraId="4A898E57" w14:textId="199BC55C" w:rsidR="006F19EE" w:rsidRPr="00100CC0" w:rsidRDefault="006F19EE" w:rsidP="00100CC0">
            <w:pPr>
              <w:tabs>
                <w:tab w:val="left" w:pos="947"/>
              </w:tabs>
              <w:spacing w:line="240" w:lineRule="auto"/>
              <w:ind w:left="137" w:right="225"/>
              <w:rPr>
                <w:rFonts w:ascii="Times New Roman" w:hAnsi="Times New Roman"/>
                <w:b/>
                <w:bCs/>
                <w:color w:val="000000"/>
                <w:sz w:val="24"/>
                <w:szCs w:val="24"/>
              </w:rPr>
            </w:pPr>
            <w:r w:rsidRPr="00100CC0">
              <w:rPr>
                <w:rFonts w:ascii="Times New Roman" w:hAnsi="Times New Roman"/>
                <w:color w:val="000000"/>
                <w:sz w:val="24"/>
                <w:szCs w:val="24"/>
              </w:rPr>
              <w:t xml:space="preserve">Required Instrument: </w:t>
            </w:r>
            <w:r w:rsidRPr="00100CC0">
              <w:rPr>
                <w:rFonts w:ascii="Times New Roman" w:hAnsi="Times New Roman"/>
                <w:b/>
                <w:bCs/>
                <w:color w:val="000000"/>
                <w:sz w:val="24"/>
                <w:szCs w:val="24"/>
              </w:rPr>
              <w:t>Purchase Order Commodities</w:t>
            </w:r>
            <w:r w:rsidR="008827CB" w:rsidRPr="00100CC0">
              <w:rPr>
                <w:rFonts w:ascii="Times New Roman" w:hAnsi="Times New Roman"/>
                <w:b/>
                <w:bCs/>
                <w:color w:val="000000"/>
                <w:sz w:val="24"/>
                <w:szCs w:val="24"/>
              </w:rPr>
              <w:t xml:space="preserve"> (Goods)</w:t>
            </w:r>
          </w:p>
          <w:p w14:paraId="53248408" w14:textId="178D3A0B"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t>Purchase orders are used to purchase specific equipment and/or supplies from a business (cannot be used for vendors who are independent contractors).</w:t>
            </w:r>
            <w:r w:rsidR="008D13D8" w:rsidRPr="00100CC0">
              <w:rPr>
                <w:rFonts w:ascii="Times New Roman" w:hAnsi="Times New Roman"/>
                <w:color w:val="000000"/>
                <w:sz w:val="24"/>
                <w:szCs w:val="24"/>
              </w:rPr>
              <w:t xml:space="preserve"> </w:t>
            </w:r>
            <w:r w:rsidRPr="00100CC0">
              <w:rPr>
                <w:rFonts w:ascii="Times New Roman" w:hAnsi="Times New Roman"/>
                <w:color w:val="000000"/>
                <w:sz w:val="24"/>
                <w:szCs w:val="24"/>
              </w:rPr>
              <w:t>The equipment and or supplies may also include ancillary services such as installation, data plan, or regular maintenance.</w:t>
            </w:r>
            <w:r w:rsidR="008D13D8" w:rsidRPr="00100CC0">
              <w:rPr>
                <w:rFonts w:ascii="Times New Roman" w:hAnsi="Times New Roman"/>
                <w:color w:val="000000"/>
                <w:sz w:val="24"/>
                <w:szCs w:val="24"/>
              </w:rPr>
              <w:t xml:space="preserve"> </w:t>
            </w:r>
            <w:r w:rsidRPr="00100CC0">
              <w:rPr>
                <w:rFonts w:ascii="Times New Roman" w:hAnsi="Times New Roman"/>
                <w:color w:val="000000"/>
                <w:sz w:val="24"/>
                <w:szCs w:val="24"/>
              </w:rPr>
              <w:t>The goods should be described with make and model numbers as well as any additional descriptions (such as if software is preloaded or an engine type).</w:t>
            </w:r>
            <w:r w:rsidR="008D13D8" w:rsidRPr="00100CC0">
              <w:rPr>
                <w:rFonts w:ascii="Times New Roman" w:hAnsi="Times New Roman"/>
                <w:color w:val="000000"/>
                <w:sz w:val="24"/>
                <w:szCs w:val="24"/>
              </w:rPr>
              <w:t xml:space="preserve"> </w:t>
            </w:r>
            <w:r w:rsidRPr="00100CC0">
              <w:rPr>
                <w:rFonts w:ascii="Times New Roman" w:hAnsi="Times New Roman"/>
                <w:b/>
                <w:bCs/>
                <w:color w:val="000000"/>
                <w:sz w:val="24"/>
                <w:szCs w:val="24"/>
              </w:rPr>
              <w:t xml:space="preserve">Per </w:t>
            </w:r>
            <w:hyperlink r:id="rId11" w:history="1">
              <w:r w:rsidRPr="004F7922">
                <w:rPr>
                  <w:rStyle w:val="Hyperlink"/>
                  <w:rFonts w:ascii="Times New Roman" w:hAnsi="Times New Roman"/>
                  <w:b/>
                  <w:bCs/>
                  <w:sz w:val="24"/>
                  <w:szCs w:val="24"/>
                </w:rPr>
                <w:t>2 CFR 200.308 (c)(6)</w:t>
              </w:r>
            </w:hyperlink>
            <w:r w:rsidRPr="00100CC0">
              <w:rPr>
                <w:rFonts w:ascii="Times New Roman" w:hAnsi="Times New Roman"/>
                <w:b/>
                <w:bCs/>
                <w:color w:val="000000"/>
                <w:sz w:val="24"/>
                <w:szCs w:val="24"/>
              </w:rPr>
              <w:t xml:space="preserve"> they do not require approval.</w:t>
            </w:r>
          </w:p>
        </w:tc>
        <w:tc>
          <w:tcPr>
            <w:tcW w:w="6840" w:type="dxa"/>
            <w:tcBorders>
              <w:top w:val="nil"/>
              <w:left w:val="single" w:sz="8" w:space="0" w:color="auto"/>
              <w:bottom w:val="single" w:sz="8" w:space="0" w:color="auto"/>
              <w:right w:val="single" w:sz="8" w:space="0" w:color="auto"/>
            </w:tcBorders>
          </w:tcPr>
          <w:p w14:paraId="3E36F08B" w14:textId="3E8C5824" w:rsidR="006F19EE" w:rsidRPr="00100CC0" w:rsidRDefault="006F19EE" w:rsidP="00100CC0">
            <w:pPr>
              <w:ind w:left="219" w:right="225"/>
              <w:rPr>
                <w:rFonts w:ascii="Times New Roman" w:hAnsi="Times New Roman"/>
                <w:spacing w:val="-2"/>
                <w:sz w:val="24"/>
                <w:szCs w:val="24"/>
              </w:rPr>
            </w:pPr>
            <w:r w:rsidRPr="00100CC0">
              <w:rPr>
                <w:rFonts w:ascii="Times New Roman" w:hAnsi="Times New Roman"/>
                <w:i/>
                <w:iCs/>
                <w:spacing w:val="-2"/>
                <w:sz w:val="24"/>
                <w:szCs w:val="24"/>
              </w:rPr>
              <w:t>Fixed Price:</w:t>
            </w:r>
            <w:r w:rsidRPr="00100CC0">
              <w:rPr>
                <w:rFonts w:ascii="Times New Roman" w:hAnsi="Times New Roman"/>
                <w:spacing w:val="-2"/>
                <w:sz w:val="24"/>
                <w:szCs w:val="24"/>
              </w:rPr>
              <w:t xml:space="preserve"> A fixed price purchase order provides for a price that is not subject to any adjustment on the basis of the Supplier’s cost experience in performing the work.</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 xml:space="preserve">This is used for purchasing when the costs involved in obtaining the equipment and/or supplies is not subject to change. </w:t>
            </w:r>
          </w:p>
        </w:tc>
      </w:tr>
      <w:tr w:rsidR="006F19EE" w:rsidRPr="00100CC0" w14:paraId="031293E1" w14:textId="77777777" w:rsidTr="00E53526">
        <w:trPr>
          <w:trHeight w:val="915"/>
          <w:jc w:val="center"/>
        </w:trPr>
        <w:tc>
          <w:tcPr>
            <w:tcW w:w="3418" w:type="dxa"/>
            <w:tcBorders>
              <w:top w:val="nil"/>
              <w:left w:val="single" w:sz="8" w:space="0" w:color="auto"/>
              <w:bottom w:val="single" w:sz="4" w:space="0" w:color="auto"/>
              <w:right w:val="single" w:sz="4" w:space="0" w:color="auto"/>
            </w:tcBorders>
          </w:tcPr>
          <w:p w14:paraId="598F211B" w14:textId="20547811" w:rsidR="006F19EE" w:rsidRPr="00100CC0" w:rsidRDefault="006F19EE" w:rsidP="00100CC0">
            <w:pPr>
              <w:numPr>
                <w:ilvl w:val="0"/>
                <w:numId w:val="12"/>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 xml:space="preserve">To procure professional technical services (such as legal review, M&amp;E, environmental assessment, </w:t>
            </w:r>
            <w:r w:rsidR="0094364D" w:rsidRPr="00100CC0">
              <w:rPr>
                <w:rFonts w:ascii="Times New Roman" w:hAnsi="Times New Roman"/>
                <w:color w:val="000000"/>
                <w:sz w:val="24"/>
                <w:szCs w:val="24"/>
              </w:rPr>
              <w:t>etc.</w:t>
            </w:r>
            <w:r w:rsidRPr="00100CC0">
              <w:rPr>
                <w:rFonts w:ascii="Times New Roman" w:hAnsi="Times New Roman"/>
                <w:color w:val="000000"/>
                <w:sz w:val="24"/>
                <w:szCs w:val="24"/>
              </w:rPr>
              <w:t>)</w:t>
            </w:r>
          </w:p>
          <w:p w14:paraId="62F5F587" w14:textId="77777777" w:rsidR="006F19EE" w:rsidRPr="00100CC0" w:rsidRDefault="006F19EE" w:rsidP="00100CC0">
            <w:pPr>
              <w:numPr>
                <w:ilvl w:val="0"/>
                <w:numId w:val="12"/>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Will not have decision making authority on a project or be responsible for performing a major part of the project</w:t>
            </w:r>
          </w:p>
          <w:p w14:paraId="10D92B64" w14:textId="77777777" w:rsidR="006F19EE" w:rsidRPr="00100CC0" w:rsidRDefault="006F19EE" w:rsidP="00100CC0">
            <w:pPr>
              <w:numPr>
                <w:ilvl w:val="0"/>
                <w:numId w:val="12"/>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 xml:space="preserve">To be charged to an existing project </w:t>
            </w:r>
          </w:p>
          <w:p w14:paraId="76624BA7" w14:textId="77777777" w:rsidR="006F19EE" w:rsidRPr="00100CC0" w:rsidRDefault="006F19EE" w:rsidP="00100CC0">
            <w:pPr>
              <w:numPr>
                <w:ilvl w:val="0"/>
                <w:numId w:val="12"/>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 xml:space="preserve">Anticipated vendor is an independent contractor </w:t>
            </w:r>
          </w:p>
        </w:tc>
        <w:tc>
          <w:tcPr>
            <w:tcW w:w="4052" w:type="dxa"/>
            <w:tcBorders>
              <w:top w:val="nil"/>
              <w:left w:val="single" w:sz="8" w:space="0" w:color="auto"/>
              <w:bottom w:val="single" w:sz="4" w:space="0" w:color="auto"/>
              <w:right w:val="single" w:sz="8" w:space="0" w:color="auto"/>
            </w:tcBorders>
          </w:tcPr>
          <w:p w14:paraId="33FD4BF1" w14:textId="77777777" w:rsidR="006F19EE" w:rsidRPr="00100CC0" w:rsidRDefault="006F19EE" w:rsidP="00100CC0">
            <w:pPr>
              <w:tabs>
                <w:tab w:val="left" w:pos="947"/>
              </w:tabs>
              <w:spacing w:line="240" w:lineRule="auto"/>
              <w:ind w:left="137" w:right="225"/>
              <w:rPr>
                <w:rFonts w:ascii="Times New Roman" w:hAnsi="Times New Roman"/>
                <w:b/>
                <w:bCs/>
                <w:color w:val="000000"/>
                <w:sz w:val="24"/>
                <w:szCs w:val="24"/>
              </w:rPr>
            </w:pPr>
            <w:r w:rsidRPr="00100CC0">
              <w:rPr>
                <w:rFonts w:ascii="Times New Roman" w:hAnsi="Times New Roman"/>
                <w:color w:val="000000"/>
                <w:sz w:val="24"/>
                <w:szCs w:val="24"/>
              </w:rPr>
              <w:t xml:space="preserve">Required Instrument: </w:t>
            </w:r>
            <w:r w:rsidRPr="00100CC0">
              <w:rPr>
                <w:rFonts w:ascii="Times New Roman" w:hAnsi="Times New Roman"/>
                <w:b/>
                <w:bCs/>
                <w:color w:val="000000"/>
                <w:sz w:val="24"/>
                <w:szCs w:val="24"/>
              </w:rPr>
              <w:t>Consulting agreement</w:t>
            </w:r>
          </w:p>
          <w:p w14:paraId="17572336" w14:textId="1A520013"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b/>
                <w:bCs/>
                <w:color w:val="000000"/>
                <w:sz w:val="24"/>
                <w:szCs w:val="24"/>
              </w:rPr>
              <w:t>Consulting agreements are only for individuals (not businesses)</w:t>
            </w:r>
            <w:r w:rsidRPr="00100CC0">
              <w:rPr>
                <w:rFonts w:ascii="Times New Roman" w:hAnsi="Times New Roman"/>
                <w:color w:val="000000"/>
                <w:sz w:val="24"/>
                <w:szCs w:val="24"/>
              </w:rPr>
              <w:t>.</w:t>
            </w:r>
            <w:r w:rsidR="008D13D8" w:rsidRPr="00100CC0">
              <w:rPr>
                <w:rFonts w:ascii="Times New Roman" w:hAnsi="Times New Roman"/>
                <w:color w:val="000000"/>
                <w:sz w:val="24"/>
                <w:szCs w:val="24"/>
              </w:rPr>
              <w:t xml:space="preserve"> </w:t>
            </w:r>
            <w:r w:rsidRPr="00100CC0">
              <w:rPr>
                <w:rFonts w:ascii="Times New Roman" w:hAnsi="Times New Roman"/>
                <w:color w:val="000000"/>
                <w:sz w:val="24"/>
                <w:szCs w:val="24"/>
              </w:rPr>
              <w:t>These are used in order to retain professional advice or services for a proposal or project from an independent contractor.</w:t>
            </w:r>
            <w:r w:rsidR="008D13D8" w:rsidRPr="00100CC0">
              <w:rPr>
                <w:rFonts w:ascii="Times New Roman" w:hAnsi="Times New Roman"/>
                <w:color w:val="000000"/>
                <w:sz w:val="24"/>
                <w:szCs w:val="24"/>
              </w:rPr>
              <w:t xml:space="preserve"> </w:t>
            </w:r>
          </w:p>
        </w:tc>
        <w:tc>
          <w:tcPr>
            <w:tcW w:w="6840" w:type="dxa"/>
            <w:tcBorders>
              <w:top w:val="nil"/>
              <w:left w:val="single" w:sz="8" w:space="0" w:color="auto"/>
              <w:bottom w:val="single" w:sz="4" w:space="0" w:color="auto"/>
              <w:right w:val="single" w:sz="8" w:space="0" w:color="auto"/>
            </w:tcBorders>
          </w:tcPr>
          <w:p w14:paraId="04EE8D1C" w14:textId="1CE5B842" w:rsidR="006F19EE" w:rsidRPr="00100CC0" w:rsidRDefault="006F19EE" w:rsidP="00100CC0">
            <w:pPr>
              <w:ind w:left="219" w:right="225"/>
              <w:rPr>
                <w:rFonts w:ascii="Times New Roman" w:hAnsi="Times New Roman"/>
                <w:spacing w:val="-2"/>
                <w:sz w:val="24"/>
                <w:szCs w:val="24"/>
              </w:rPr>
            </w:pPr>
            <w:r w:rsidRPr="00100CC0">
              <w:rPr>
                <w:rFonts w:ascii="Times New Roman" w:hAnsi="Times New Roman"/>
                <w:i/>
                <w:iCs/>
                <w:spacing w:val="-2"/>
                <w:sz w:val="24"/>
                <w:szCs w:val="24"/>
              </w:rPr>
              <w:t>Fixed Price</w:t>
            </w:r>
            <w:r w:rsidRPr="00100CC0">
              <w:rPr>
                <w:rFonts w:ascii="Times New Roman" w:hAnsi="Times New Roman"/>
                <w:spacing w:val="-2"/>
                <w:sz w:val="24"/>
                <w:szCs w:val="24"/>
              </w:rPr>
              <w:t>: A fixed price consultant agreement provides for a price that is not subject to any adjustment on the basis of the consultant’s cost experience in performing the work.</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This is used for purchasing when the costs involved in performing the work can be estimated with reasonable certainty and tied to certain deliverables</w:t>
            </w:r>
            <w:r w:rsidR="00B70367">
              <w:rPr>
                <w:rFonts w:ascii="Times New Roman" w:hAnsi="Times New Roman"/>
                <w:spacing w:val="-2"/>
                <w:sz w:val="24"/>
                <w:szCs w:val="24"/>
              </w:rPr>
              <w:t>.</w:t>
            </w:r>
          </w:p>
          <w:p w14:paraId="4EA83161" w14:textId="2F4BCA54" w:rsidR="006F19EE" w:rsidRPr="00100CC0" w:rsidRDefault="006F19EE" w:rsidP="00100CC0">
            <w:pPr>
              <w:ind w:left="219" w:right="225"/>
              <w:rPr>
                <w:rFonts w:ascii="Times New Roman" w:hAnsi="Times New Roman"/>
                <w:spacing w:val="-2"/>
                <w:sz w:val="24"/>
                <w:szCs w:val="24"/>
              </w:rPr>
            </w:pPr>
            <w:r w:rsidRPr="00100CC0">
              <w:rPr>
                <w:rFonts w:ascii="Times New Roman" w:hAnsi="Times New Roman"/>
                <w:i/>
                <w:iCs/>
                <w:spacing w:val="-2"/>
                <w:sz w:val="24"/>
                <w:szCs w:val="24"/>
              </w:rPr>
              <w:t>Daily Rate/Hourly Rate</w:t>
            </w:r>
            <w:r w:rsidRPr="00100CC0">
              <w:rPr>
                <w:rFonts w:ascii="Times New Roman" w:hAnsi="Times New Roman"/>
                <w:spacing w:val="-2"/>
                <w:sz w:val="24"/>
                <w:szCs w:val="24"/>
              </w:rPr>
              <w:t>: In this case, the consultant agrees to a daily rate to be paid on a per hour basis and may also ask for reimbursable costs for travel or materials related to the agreement.</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This type of consultant agreement is used when it is not possible at the time of awarding the contract to estimate accurately the extent or duration of the work or to anticipate costs with any reasonable degree of certainty.</w:t>
            </w:r>
            <w:r w:rsidR="008D13D8" w:rsidRPr="00100CC0">
              <w:rPr>
                <w:rFonts w:ascii="Times New Roman" w:hAnsi="Times New Roman"/>
                <w:spacing w:val="-2"/>
                <w:sz w:val="24"/>
                <w:szCs w:val="24"/>
              </w:rPr>
              <w:t xml:space="preserve"> </w:t>
            </w:r>
          </w:p>
        </w:tc>
      </w:tr>
      <w:tr w:rsidR="006F19EE" w:rsidRPr="00100CC0" w14:paraId="52F25DC7" w14:textId="77777777" w:rsidTr="00E53526">
        <w:trPr>
          <w:trHeight w:val="915"/>
          <w:jc w:val="center"/>
        </w:trPr>
        <w:tc>
          <w:tcPr>
            <w:tcW w:w="3418" w:type="dxa"/>
            <w:tcBorders>
              <w:top w:val="single" w:sz="4" w:space="0" w:color="auto"/>
              <w:left w:val="single" w:sz="8" w:space="0" w:color="auto"/>
              <w:bottom w:val="single" w:sz="8" w:space="0" w:color="auto"/>
              <w:right w:val="single" w:sz="4" w:space="0" w:color="auto"/>
            </w:tcBorders>
          </w:tcPr>
          <w:p w14:paraId="7ABFD788"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To support a local organization to carry out work according to the organization’s mandate that corresponds with part of the project objectives which serve a public purpose.</w:t>
            </w:r>
          </w:p>
          <w:p w14:paraId="2CBC7079"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 xml:space="preserve">The organization does </w:t>
            </w:r>
            <w:r w:rsidRPr="00796C4B">
              <w:rPr>
                <w:rFonts w:ascii="Times New Roman" w:hAnsi="Times New Roman"/>
                <w:color w:val="000000"/>
                <w:sz w:val="24"/>
                <w:szCs w:val="24"/>
                <w:u w:val="single"/>
              </w:rPr>
              <w:t>NOT</w:t>
            </w:r>
            <w:r w:rsidRPr="00100CC0">
              <w:rPr>
                <w:rFonts w:ascii="Times New Roman" w:hAnsi="Times New Roman"/>
                <w:color w:val="000000"/>
                <w:sz w:val="24"/>
                <w:szCs w:val="24"/>
              </w:rPr>
              <w:t xml:space="preserve"> have a substantial role in the project.</w:t>
            </w:r>
          </w:p>
          <w:p w14:paraId="5433AA4C"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lastRenderedPageBreak/>
              <w:t>To be charged to an existing project.</w:t>
            </w:r>
          </w:p>
          <w:p w14:paraId="5D19055E" w14:textId="77777777" w:rsidR="006F19EE" w:rsidRPr="00100CC0" w:rsidRDefault="006F19EE" w:rsidP="00100CC0">
            <w:pPr>
              <w:spacing w:after="100" w:line="240" w:lineRule="auto"/>
              <w:ind w:right="215"/>
              <w:rPr>
                <w:rFonts w:ascii="Times New Roman" w:hAnsi="Times New Roman"/>
                <w:color w:val="000000"/>
                <w:sz w:val="24"/>
                <w:szCs w:val="24"/>
              </w:rPr>
            </w:pPr>
          </w:p>
        </w:tc>
        <w:tc>
          <w:tcPr>
            <w:tcW w:w="4052" w:type="dxa"/>
            <w:tcBorders>
              <w:top w:val="single" w:sz="4" w:space="0" w:color="auto"/>
              <w:left w:val="single" w:sz="8" w:space="0" w:color="auto"/>
              <w:bottom w:val="single" w:sz="8" w:space="0" w:color="auto"/>
              <w:right w:val="single" w:sz="8" w:space="0" w:color="auto"/>
            </w:tcBorders>
          </w:tcPr>
          <w:p w14:paraId="23EFC63C" w14:textId="77777777"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lastRenderedPageBreak/>
              <w:t xml:space="preserve">Required Instrument: </w:t>
            </w:r>
            <w:r w:rsidRPr="00100CC0">
              <w:rPr>
                <w:rFonts w:ascii="Times New Roman" w:hAnsi="Times New Roman"/>
                <w:b/>
                <w:bCs/>
                <w:color w:val="000000"/>
                <w:sz w:val="24"/>
                <w:szCs w:val="24"/>
              </w:rPr>
              <w:t>Subgrant</w:t>
            </w:r>
          </w:p>
          <w:p w14:paraId="4094B288" w14:textId="31A89812"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t>A Subgrant is used to provide financial support to an organization to carry out work according to the organization’s mandate.</w:t>
            </w:r>
            <w:r w:rsidR="008D13D8" w:rsidRPr="00100CC0">
              <w:rPr>
                <w:rFonts w:ascii="Times New Roman" w:hAnsi="Times New Roman"/>
                <w:color w:val="000000"/>
                <w:sz w:val="24"/>
                <w:szCs w:val="24"/>
              </w:rPr>
              <w:t xml:space="preserve"> </w:t>
            </w:r>
            <w:r w:rsidRPr="00100CC0">
              <w:rPr>
                <w:rFonts w:ascii="Times New Roman" w:hAnsi="Times New Roman"/>
                <w:b/>
                <w:bCs/>
                <w:color w:val="000000"/>
                <w:sz w:val="24"/>
                <w:szCs w:val="24"/>
              </w:rPr>
              <w:t>Generally requires USG Awarding Entity Approval as</w:t>
            </w:r>
            <w:r w:rsidR="008D13D8" w:rsidRPr="00100CC0">
              <w:rPr>
                <w:rFonts w:ascii="Times New Roman" w:hAnsi="Times New Roman"/>
                <w:b/>
                <w:bCs/>
                <w:color w:val="000000"/>
                <w:sz w:val="24"/>
                <w:szCs w:val="24"/>
              </w:rPr>
              <w:t xml:space="preserve"> </w:t>
            </w:r>
            <w:r w:rsidRPr="00100CC0">
              <w:rPr>
                <w:rFonts w:ascii="Times New Roman" w:hAnsi="Times New Roman"/>
                <w:b/>
                <w:bCs/>
                <w:color w:val="000000"/>
                <w:sz w:val="24"/>
                <w:szCs w:val="24"/>
              </w:rPr>
              <w:t xml:space="preserve">per </w:t>
            </w:r>
            <w:hyperlink r:id="rId12" w:history="1">
              <w:r w:rsidRPr="009935DB">
                <w:rPr>
                  <w:rStyle w:val="Hyperlink"/>
                  <w:rFonts w:ascii="Times New Roman" w:hAnsi="Times New Roman"/>
                  <w:b/>
                  <w:bCs/>
                  <w:sz w:val="24"/>
                  <w:szCs w:val="24"/>
                </w:rPr>
                <w:t>2 CFR 200.308 (c)(6)</w:t>
              </w:r>
            </w:hyperlink>
            <w:r w:rsidRPr="00100CC0">
              <w:rPr>
                <w:rFonts w:ascii="Times New Roman" w:hAnsi="Times New Roman"/>
                <w:b/>
                <w:bCs/>
                <w:color w:val="000000"/>
                <w:sz w:val="24"/>
                <w:szCs w:val="24"/>
              </w:rPr>
              <w:t>.</w:t>
            </w:r>
          </w:p>
          <w:p w14:paraId="2391D0DE" w14:textId="77777777" w:rsidR="006F19EE" w:rsidRPr="00100CC0" w:rsidRDefault="006F19EE" w:rsidP="00100CC0">
            <w:pPr>
              <w:tabs>
                <w:tab w:val="left" w:pos="947"/>
              </w:tabs>
              <w:spacing w:line="240" w:lineRule="auto"/>
              <w:ind w:left="137" w:right="225"/>
              <w:rPr>
                <w:rFonts w:ascii="Times New Roman" w:hAnsi="Times New Roman"/>
                <w:color w:val="000000"/>
                <w:sz w:val="24"/>
                <w:szCs w:val="24"/>
              </w:rPr>
            </w:pPr>
          </w:p>
        </w:tc>
        <w:tc>
          <w:tcPr>
            <w:tcW w:w="6840" w:type="dxa"/>
            <w:tcBorders>
              <w:top w:val="single" w:sz="4" w:space="0" w:color="auto"/>
              <w:left w:val="single" w:sz="8" w:space="0" w:color="auto"/>
              <w:bottom w:val="single" w:sz="8" w:space="0" w:color="auto"/>
              <w:right w:val="single" w:sz="8" w:space="0" w:color="auto"/>
            </w:tcBorders>
          </w:tcPr>
          <w:p w14:paraId="2C0696BD" w14:textId="02A511E0" w:rsidR="006F19EE" w:rsidRPr="00100CC0" w:rsidRDefault="006F19EE" w:rsidP="00506E61">
            <w:pPr>
              <w:ind w:left="219" w:right="225"/>
              <w:rPr>
                <w:rFonts w:ascii="Times New Roman" w:hAnsi="Times New Roman"/>
                <w:spacing w:val="-2"/>
                <w:sz w:val="24"/>
                <w:szCs w:val="24"/>
              </w:rPr>
            </w:pPr>
            <w:r w:rsidRPr="00100CC0">
              <w:rPr>
                <w:rFonts w:ascii="Times New Roman" w:hAnsi="Times New Roman"/>
                <w:i/>
                <w:iCs/>
                <w:spacing w:val="-2"/>
                <w:sz w:val="24"/>
                <w:szCs w:val="24"/>
              </w:rPr>
              <w:t>Fixed Amount</w:t>
            </w:r>
            <w:r w:rsidRPr="00100CC0">
              <w:rPr>
                <w:rFonts w:ascii="Times New Roman" w:hAnsi="Times New Roman"/>
                <w:spacing w:val="-2"/>
                <w:sz w:val="24"/>
                <w:szCs w:val="24"/>
              </w:rPr>
              <w:t>:</w:t>
            </w:r>
            <w:r w:rsidRPr="00100CC0">
              <w:rPr>
                <w:rFonts w:ascii="Times New Roman" w:hAnsi="Times New Roman"/>
                <w:sz w:val="24"/>
                <w:szCs w:val="24"/>
              </w:rPr>
              <w:t xml:space="preserve"> </w:t>
            </w:r>
            <w:r w:rsidRPr="00100CC0">
              <w:rPr>
                <w:rFonts w:ascii="Times New Roman" w:hAnsi="Times New Roman"/>
                <w:spacing w:val="-2"/>
                <w:sz w:val="24"/>
                <w:szCs w:val="24"/>
              </w:rPr>
              <w:t xml:space="preserve">Fixed Amount Awards (FAA) allow for the award of a grant without the requirement of monitoring the actual costs subsequently incurred by the grantee. This type of award reduces some of the administrative burden and record-keeping requirements for both POA and the grantee. They are intended for use in support of specific activities where 1) there is adequate cost, historical, or pricing data is available to establish a fixed amount award with assurance that the recipient will realize no increment above the actual cost, and 2) the project has clear milestones and </w:t>
            </w:r>
            <w:r w:rsidRPr="00100CC0">
              <w:rPr>
                <w:rFonts w:ascii="Times New Roman" w:hAnsi="Times New Roman"/>
                <w:spacing w:val="-2"/>
                <w:sz w:val="24"/>
                <w:szCs w:val="24"/>
              </w:rPr>
              <w:lastRenderedPageBreak/>
              <w:t>substantial changes to the milestones are not anticipated.</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FAAs also provide a way to introduce a local organization or a non-U.S. organization with limited experience to work under a USG funded award</w:t>
            </w:r>
            <w:r w:rsidR="00506E61">
              <w:rPr>
                <w:rFonts w:ascii="Times New Roman" w:hAnsi="Times New Roman"/>
                <w:spacing w:val="-2"/>
                <w:sz w:val="24"/>
                <w:szCs w:val="24"/>
              </w:rPr>
              <w:t xml:space="preserve">. </w:t>
            </w:r>
            <w:hyperlink r:id="rId13" w:history="1">
              <w:r w:rsidR="00506E61" w:rsidRPr="0058338A">
                <w:rPr>
                  <w:rStyle w:val="Hyperlink"/>
                  <w:rFonts w:ascii="Times New Roman" w:hAnsi="Times New Roman"/>
                  <w:spacing w:val="-2"/>
                  <w:sz w:val="24"/>
                  <w:szCs w:val="24"/>
                </w:rPr>
                <w:t>§ 200.333 Fixed amount subawards</w:t>
              </w:r>
            </w:hyperlink>
            <w:r w:rsidR="00A24733">
              <w:rPr>
                <w:rFonts w:ascii="Times New Roman" w:hAnsi="Times New Roman"/>
                <w:spacing w:val="-2"/>
                <w:sz w:val="24"/>
                <w:szCs w:val="24"/>
              </w:rPr>
              <w:t xml:space="preserve"> - w</w:t>
            </w:r>
            <w:r w:rsidR="00B70367">
              <w:rPr>
                <w:rFonts w:ascii="Times New Roman" w:hAnsi="Times New Roman"/>
                <w:spacing w:val="-2"/>
                <w:sz w:val="24"/>
                <w:szCs w:val="24"/>
              </w:rPr>
              <w:t>i</w:t>
            </w:r>
            <w:r w:rsidR="00506E61" w:rsidRPr="00506E61">
              <w:rPr>
                <w:rFonts w:ascii="Times New Roman" w:hAnsi="Times New Roman"/>
                <w:spacing w:val="-2"/>
                <w:sz w:val="24"/>
                <w:szCs w:val="24"/>
              </w:rPr>
              <w:t>th prior written approval from the Federal awarding agency, a pass-through entity may provide subawards based on fixed amounts up to the Simplified Acquisition Threshold</w:t>
            </w:r>
            <w:r w:rsidR="00B70367">
              <w:rPr>
                <w:rFonts w:ascii="Times New Roman" w:hAnsi="Times New Roman"/>
                <w:spacing w:val="-2"/>
                <w:sz w:val="24"/>
                <w:szCs w:val="24"/>
              </w:rPr>
              <w:t xml:space="preserve">  ($250,000 currently)</w:t>
            </w:r>
            <w:r w:rsidR="00506E61" w:rsidRPr="00506E61">
              <w:rPr>
                <w:rFonts w:ascii="Times New Roman" w:hAnsi="Times New Roman"/>
                <w:spacing w:val="-2"/>
                <w:sz w:val="24"/>
                <w:szCs w:val="24"/>
              </w:rPr>
              <w:t xml:space="preserve">, provided that the subawards meet the requirements for fixed amount awards in </w:t>
            </w:r>
            <w:hyperlink r:id="rId14" w:history="1">
              <w:r w:rsidR="00506E61" w:rsidRPr="00E915A4">
                <w:rPr>
                  <w:rStyle w:val="Hyperlink"/>
                  <w:rFonts w:ascii="Times New Roman" w:hAnsi="Times New Roman"/>
                  <w:spacing w:val="-2"/>
                  <w:sz w:val="24"/>
                  <w:szCs w:val="24"/>
                </w:rPr>
                <w:t>§ 200.201</w:t>
              </w:r>
            </w:hyperlink>
            <w:r w:rsidR="00506E61" w:rsidRPr="00506E61">
              <w:rPr>
                <w:rFonts w:ascii="Times New Roman" w:hAnsi="Times New Roman"/>
                <w:spacing w:val="-2"/>
                <w:sz w:val="24"/>
                <w:szCs w:val="24"/>
              </w:rPr>
              <w:t>.</w:t>
            </w:r>
          </w:p>
          <w:p w14:paraId="68F7B6AD" w14:textId="2D331E1E" w:rsidR="006F19EE" w:rsidRPr="00100CC0" w:rsidRDefault="006F19EE" w:rsidP="00100CC0">
            <w:pPr>
              <w:ind w:left="219" w:right="225"/>
              <w:rPr>
                <w:rFonts w:ascii="Times New Roman" w:hAnsi="Times New Roman"/>
                <w:spacing w:val="-2"/>
                <w:sz w:val="24"/>
                <w:szCs w:val="24"/>
              </w:rPr>
            </w:pPr>
            <w:r w:rsidRPr="00100CC0">
              <w:rPr>
                <w:rFonts w:ascii="Times New Roman" w:hAnsi="Times New Roman"/>
                <w:i/>
                <w:iCs/>
                <w:spacing w:val="-2"/>
                <w:sz w:val="24"/>
                <w:szCs w:val="24"/>
              </w:rPr>
              <w:t>Cost Reimbursable:</w:t>
            </w:r>
            <w:r w:rsidRPr="00100CC0">
              <w:rPr>
                <w:rFonts w:ascii="Times New Roman" w:hAnsi="Times New Roman"/>
                <w:spacing w:val="-2"/>
                <w:sz w:val="24"/>
                <w:szCs w:val="24"/>
              </w:rPr>
              <w:t xml:space="preserve"> When Fixed Amount Awards are not appropriate, a cost reimbursable grant may be used.</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A cost reimbursable agreement allows for an organization to be reimbursed for the costs it incurs for the performance of the project as long as it meets certain rules. This type of grant should be used if the program description is such that the recipient may realize significant variance in actual costs.</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This is the most complex grant type as it requires that the organization has a full set of policies and procedures in place that staff adhere to.</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In addition, due to the accounting and financial management system, the organization will most likely have to have invested in accounting software and computer systems.</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These types of systems require investment and may not be attainable for small NGOs on short notice.</w:t>
            </w:r>
            <w:r w:rsidR="00961B0F">
              <w:rPr>
                <w:rFonts w:ascii="Times New Roman" w:hAnsi="Times New Roman"/>
                <w:spacing w:val="-2"/>
                <w:sz w:val="24"/>
                <w:szCs w:val="24"/>
              </w:rPr>
              <w:t xml:space="preserve"> If the subgrant is expected to be $100,000 USD or higher, POA requires a formal risk assessment. Please risk assessment policy and tools </w:t>
            </w:r>
            <w:hyperlink r:id="rId15" w:history="1">
              <w:r w:rsidR="00961B0F" w:rsidRPr="00601F74">
                <w:rPr>
                  <w:rStyle w:val="Hyperlink"/>
                  <w:rFonts w:ascii="Times New Roman" w:hAnsi="Times New Roman"/>
                  <w:spacing w:val="-2"/>
                  <w:sz w:val="24"/>
                  <w:szCs w:val="24"/>
                </w:rPr>
                <w:t>here</w:t>
              </w:r>
            </w:hyperlink>
            <w:r w:rsidR="00961B0F">
              <w:rPr>
                <w:rFonts w:ascii="Times New Roman" w:hAnsi="Times New Roman"/>
                <w:spacing w:val="-2"/>
                <w:sz w:val="24"/>
                <w:szCs w:val="24"/>
              </w:rPr>
              <w:t>.</w:t>
            </w:r>
          </w:p>
        </w:tc>
      </w:tr>
      <w:tr w:rsidR="006F19EE" w:rsidRPr="00100CC0" w14:paraId="5B656F6D" w14:textId="77777777" w:rsidTr="00B67CA5">
        <w:trPr>
          <w:trHeight w:val="6937"/>
          <w:jc w:val="center"/>
        </w:trPr>
        <w:tc>
          <w:tcPr>
            <w:tcW w:w="3418" w:type="dxa"/>
            <w:tcBorders>
              <w:top w:val="single" w:sz="4" w:space="0" w:color="auto"/>
              <w:left w:val="single" w:sz="8" w:space="0" w:color="auto"/>
              <w:bottom w:val="single" w:sz="4" w:space="0" w:color="auto"/>
              <w:right w:val="single" w:sz="4" w:space="0" w:color="auto"/>
            </w:tcBorders>
          </w:tcPr>
          <w:p w14:paraId="37047164"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lastRenderedPageBreak/>
              <w:t>To support a local organization to carry out work according to the organization’s mandate that corresponds with part of the project objectives which serve a public purpose.</w:t>
            </w:r>
          </w:p>
          <w:p w14:paraId="407EC87E" w14:textId="7C87A831"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The organization</w:t>
            </w:r>
            <w:r w:rsidR="008D13D8" w:rsidRPr="00100CC0">
              <w:rPr>
                <w:rFonts w:ascii="Times New Roman" w:hAnsi="Times New Roman"/>
                <w:color w:val="000000"/>
                <w:sz w:val="24"/>
                <w:szCs w:val="24"/>
              </w:rPr>
              <w:t xml:space="preserve"> </w:t>
            </w:r>
            <w:r w:rsidRPr="00100CC0">
              <w:rPr>
                <w:rFonts w:ascii="Times New Roman" w:hAnsi="Times New Roman"/>
                <w:color w:val="000000"/>
                <w:sz w:val="24"/>
                <w:szCs w:val="24"/>
              </w:rPr>
              <w:t xml:space="preserve">has a substantial role in the project </w:t>
            </w:r>
            <w:r w:rsidRPr="00100CC0">
              <w:rPr>
                <w:rFonts w:ascii="Times New Roman" w:hAnsi="Times New Roman"/>
                <w:sz w:val="24"/>
                <w:szCs w:val="24"/>
              </w:rPr>
              <w:t>and is responsible for delivering a portion of the project</w:t>
            </w:r>
          </w:p>
          <w:p w14:paraId="21556790" w14:textId="32C689EC"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To be charged to an existing project.</w:t>
            </w:r>
          </w:p>
        </w:tc>
        <w:tc>
          <w:tcPr>
            <w:tcW w:w="4052" w:type="dxa"/>
            <w:tcBorders>
              <w:top w:val="single" w:sz="4" w:space="0" w:color="auto"/>
              <w:left w:val="single" w:sz="8" w:space="0" w:color="auto"/>
              <w:bottom w:val="single" w:sz="4" w:space="0" w:color="auto"/>
              <w:right w:val="single" w:sz="8" w:space="0" w:color="auto"/>
            </w:tcBorders>
          </w:tcPr>
          <w:p w14:paraId="6472BB41" w14:textId="77777777"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t xml:space="preserve">Required Instrument: </w:t>
            </w:r>
            <w:r w:rsidRPr="00C35751">
              <w:rPr>
                <w:rFonts w:ascii="Times New Roman" w:hAnsi="Times New Roman"/>
                <w:b/>
                <w:bCs/>
                <w:color w:val="000000"/>
                <w:sz w:val="24"/>
                <w:szCs w:val="24"/>
              </w:rPr>
              <w:t>Subaward</w:t>
            </w:r>
          </w:p>
          <w:p w14:paraId="65ACCD1E" w14:textId="427AAEE5" w:rsidR="006F19EE" w:rsidRPr="00100CC0" w:rsidRDefault="006F19EE" w:rsidP="00C35751">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t>A Subaward is used to fund a partner organization who has a substantial role on the project programmatically such that the organization has its performance measured in relation to whether objectives of the prime award are met.</w:t>
            </w:r>
            <w:r w:rsidR="008D13D8" w:rsidRPr="00100CC0">
              <w:rPr>
                <w:rFonts w:ascii="Times New Roman" w:hAnsi="Times New Roman"/>
                <w:color w:val="000000"/>
                <w:sz w:val="24"/>
                <w:szCs w:val="24"/>
              </w:rPr>
              <w:t xml:space="preserve"> </w:t>
            </w:r>
            <w:r w:rsidR="00C35751" w:rsidRPr="00100CC0">
              <w:rPr>
                <w:rFonts w:ascii="Times New Roman" w:hAnsi="Times New Roman"/>
                <w:b/>
                <w:bCs/>
                <w:color w:val="000000"/>
                <w:sz w:val="24"/>
                <w:szCs w:val="24"/>
              </w:rPr>
              <w:t xml:space="preserve">Generally requires USG Awarding Entity Approval as per </w:t>
            </w:r>
            <w:hyperlink r:id="rId16" w:history="1">
              <w:r w:rsidR="00C35751" w:rsidRPr="009935DB">
                <w:rPr>
                  <w:rStyle w:val="Hyperlink"/>
                  <w:rFonts w:ascii="Times New Roman" w:hAnsi="Times New Roman"/>
                  <w:b/>
                  <w:bCs/>
                  <w:sz w:val="24"/>
                  <w:szCs w:val="24"/>
                </w:rPr>
                <w:t>2 CFR 200.308 (c)(6)</w:t>
              </w:r>
            </w:hyperlink>
            <w:r w:rsidR="00C35751" w:rsidRPr="00100CC0">
              <w:rPr>
                <w:rFonts w:ascii="Times New Roman" w:hAnsi="Times New Roman"/>
                <w:b/>
                <w:bCs/>
                <w:color w:val="000000"/>
                <w:sz w:val="24"/>
                <w:szCs w:val="24"/>
              </w:rPr>
              <w:t>.</w:t>
            </w:r>
          </w:p>
        </w:tc>
        <w:tc>
          <w:tcPr>
            <w:tcW w:w="6840" w:type="dxa"/>
            <w:tcBorders>
              <w:top w:val="single" w:sz="4" w:space="0" w:color="auto"/>
              <w:left w:val="single" w:sz="8" w:space="0" w:color="auto"/>
              <w:bottom w:val="single" w:sz="4" w:space="0" w:color="auto"/>
              <w:right w:val="single" w:sz="8" w:space="0" w:color="auto"/>
            </w:tcBorders>
          </w:tcPr>
          <w:p w14:paraId="248ECA99" w14:textId="77777777" w:rsidR="001C2C7E" w:rsidRPr="00100CC0" w:rsidRDefault="001C2C7E" w:rsidP="001C2C7E">
            <w:pPr>
              <w:ind w:left="219" w:right="225"/>
              <w:rPr>
                <w:rFonts w:ascii="Times New Roman" w:hAnsi="Times New Roman"/>
                <w:spacing w:val="-2"/>
                <w:sz w:val="24"/>
                <w:szCs w:val="24"/>
              </w:rPr>
            </w:pPr>
            <w:r w:rsidRPr="00100CC0">
              <w:rPr>
                <w:rFonts w:ascii="Times New Roman" w:hAnsi="Times New Roman"/>
                <w:i/>
                <w:iCs/>
                <w:spacing w:val="-2"/>
                <w:sz w:val="24"/>
                <w:szCs w:val="24"/>
              </w:rPr>
              <w:t>Fixed Amount</w:t>
            </w:r>
            <w:r w:rsidRPr="00100CC0">
              <w:rPr>
                <w:rFonts w:ascii="Times New Roman" w:hAnsi="Times New Roman"/>
                <w:spacing w:val="-2"/>
                <w:sz w:val="24"/>
                <w:szCs w:val="24"/>
              </w:rPr>
              <w:t>:</w:t>
            </w:r>
            <w:r w:rsidRPr="00100CC0">
              <w:rPr>
                <w:rFonts w:ascii="Times New Roman" w:hAnsi="Times New Roman"/>
                <w:sz w:val="24"/>
                <w:szCs w:val="24"/>
              </w:rPr>
              <w:t xml:space="preserve"> </w:t>
            </w:r>
            <w:r w:rsidRPr="00100CC0">
              <w:rPr>
                <w:rFonts w:ascii="Times New Roman" w:hAnsi="Times New Roman"/>
                <w:spacing w:val="-2"/>
                <w:sz w:val="24"/>
                <w:szCs w:val="24"/>
              </w:rPr>
              <w:t>Fixed Amount Awards (FAA) allow for the award of a grant without the requirement of monitoring the actual costs subsequently incurred by the grantee. This type of award reduces some of the administrative burden and record-keeping requirements for both POA and the grantee. They are intended for use in support of specific activities where 1) there is adequate cost, historical, or pricing data is available to establish a fixed amount award with assurance that the recipient will realize no increment above the actual cost, and 2) the project has clear milestones and substantial changes to the milestones are not anticipated. FAAs also provide a way to introduce a local organization or a non-U.S. organization with limited experience to work under a USG funded award</w:t>
            </w:r>
            <w:r>
              <w:rPr>
                <w:rFonts w:ascii="Times New Roman" w:hAnsi="Times New Roman"/>
                <w:spacing w:val="-2"/>
                <w:sz w:val="24"/>
                <w:szCs w:val="24"/>
              </w:rPr>
              <w:t xml:space="preserve">. </w:t>
            </w:r>
            <w:hyperlink r:id="rId17" w:history="1">
              <w:r w:rsidRPr="0058338A">
                <w:rPr>
                  <w:rStyle w:val="Hyperlink"/>
                  <w:rFonts w:ascii="Times New Roman" w:hAnsi="Times New Roman"/>
                  <w:spacing w:val="-2"/>
                  <w:sz w:val="24"/>
                  <w:szCs w:val="24"/>
                </w:rPr>
                <w:t>§ 200.333 Fixed amount subawards</w:t>
              </w:r>
            </w:hyperlink>
            <w:r>
              <w:rPr>
                <w:rFonts w:ascii="Times New Roman" w:hAnsi="Times New Roman"/>
                <w:spacing w:val="-2"/>
                <w:sz w:val="24"/>
                <w:szCs w:val="24"/>
              </w:rPr>
              <w:t xml:space="preserve"> - wi</w:t>
            </w:r>
            <w:r w:rsidRPr="00506E61">
              <w:rPr>
                <w:rFonts w:ascii="Times New Roman" w:hAnsi="Times New Roman"/>
                <w:spacing w:val="-2"/>
                <w:sz w:val="24"/>
                <w:szCs w:val="24"/>
              </w:rPr>
              <w:t>th prior written approval from the Federal awarding agency, a pass-through entity may provide subawards based on fixed amounts up to the Simplified Acquisition Threshold</w:t>
            </w:r>
            <w:r>
              <w:rPr>
                <w:rFonts w:ascii="Times New Roman" w:hAnsi="Times New Roman"/>
                <w:spacing w:val="-2"/>
                <w:sz w:val="24"/>
                <w:szCs w:val="24"/>
              </w:rPr>
              <w:t xml:space="preserve">  ($250,000 currently)</w:t>
            </w:r>
            <w:r w:rsidRPr="00506E61">
              <w:rPr>
                <w:rFonts w:ascii="Times New Roman" w:hAnsi="Times New Roman"/>
                <w:spacing w:val="-2"/>
                <w:sz w:val="24"/>
                <w:szCs w:val="24"/>
              </w:rPr>
              <w:t xml:space="preserve">, provided that the subawards meet the requirements for fixed amount awards in </w:t>
            </w:r>
            <w:hyperlink r:id="rId18" w:history="1">
              <w:r w:rsidRPr="00E915A4">
                <w:rPr>
                  <w:rStyle w:val="Hyperlink"/>
                  <w:rFonts w:ascii="Times New Roman" w:hAnsi="Times New Roman"/>
                  <w:spacing w:val="-2"/>
                  <w:sz w:val="24"/>
                  <w:szCs w:val="24"/>
                </w:rPr>
                <w:t>§ 200.201</w:t>
              </w:r>
            </w:hyperlink>
            <w:r w:rsidRPr="00506E61">
              <w:rPr>
                <w:rFonts w:ascii="Times New Roman" w:hAnsi="Times New Roman"/>
                <w:spacing w:val="-2"/>
                <w:sz w:val="24"/>
                <w:szCs w:val="24"/>
              </w:rPr>
              <w:t>.</w:t>
            </w:r>
          </w:p>
          <w:p w14:paraId="63269C4E" w14:textId="4DE5D637" w:rsidR="006F19EE" w:rsidRPr="00100CC0" w:rsidRDefault="006F19EE" w:rsidP="00100CC0">
            <w:pPr>
              <w:ind w:left="219" w:right="225"/>
              <w:rPr>
                <w:rFonts w:ascii="Times New Roman" w:hAnsi="Times New Roman"/>
                <w:spacing w:val="-2"/>
                <w:sz w:val="24"/>
                <w:szCs w:val="24"/>
              </w:rPr>
            </w:pPr>
            <w:r w:rsidRPr="00100CC0">
              <w:rPr>
                <w:rFonts w:ascii="Times New Roman" w:hAnsi="Times New Roman"/>
                <w:i/>
                <w:iCs/>
                <w:spacing w:val="-2"/>
                <w:sz w:val="24"/>
                <w:szCs w:val="24"/>
              </w:rPr>
              <w:t>Cost Reimbursable:</w:t>
            </w:r>
            <w:r w:rsidRPr="00100CC0">
              <w:rPr>
                <w:rFonts w:ascii="Times New Roman" w:hAnsi="Times New Roman"/>
                <w:spacing w:val="-2"/>
                <w:sz w:val="24"/>
                <w:szCs w:val="24"/>
              </w:rPr>
              <w:t xml:space="preserve"> A cost reimbursable agreement allows for an organization to be reimbursed for the costs it incurs for the performance of the project as long as it meets certain rules. This is the most complex award type as it requires that the organization has a full set of policies and procedures in place that staff adhere to.</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In addition, due to the accounting and financial management system, the organization will most likely have to have invested in accounting software and computer systems.</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 xml:space="preserve">The organization </w:t>
            </w:r>
            <w:r w:rsidRPr="00100CC0">
              <w:rPr>
                <w:rFonts w:ascii="Times New Roman" w:hAnsi="Times New Roman"/>
                <w:sz w:val="24"/>
                <w:szCs w:val="24"/>
              </w:rPr>
              <w:t>will also be subject to the substantial involvement requirements that USG imposes on POA.</w:t>
            </w:r>
          </w:p>
        </w:tc>
      </w:tr>
      <w:tr w:rsidR="006F19EE" w:rsidRPr="00100CC0" w14:paraId="58118144" w14:textId="77777777" w:rsidTr="00E53526">
        <w:trPr>
          <w:trHeight w:val="915"/>
          <w:jc w:val="center"/>
        </w:trPr>
        <w:tc>
          <w:tcPr>
            <w:tcW w:w="3418" w:type="dxa"/>
            <w:tcBorders>
              <w:top w:val="single" w:sz="4" w:space="0" w:color="auto"/>
              <w:left w:val="single" w:sz="8" w:space="0" w:color="auto"/>
              <w:bottom w:val="single" w:sz="8" w:space="0" w:color="auto"/>
              <w:right w:val="single" w:sz="4" w:space="0" w:color="auto"/>
            </w:tcBorders>
          </w:tcPr>
          <w:p w14:paraId="5D708249" w14:textId="18814AA2"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The</w:t>
            </w:r>
            <w:r w:rsidRPr="00796C4B">
              <w:rPr>
                <w:rFonts w:ascii="Times New Roman" w:hAnsi="Times New Roman"/>
                <w:b/>
                <w:bCs/>
                <w:color w:val="000000"/>
                <w:sz w:val="24"/>
                <w:szCs w:val="24"/>
              </w:rPr>
              <w:t xml:space="preserve"> prime award is a Contract</w:t>
            </w:r>
            <w:r w:rsidRPr="00100CC0">
              <w:rPr>
                <w:rFonts w:ascii="Times New Roman" w:hAnsi="Times New Roman"/>
                <w:color w:val="000000"/>
                <w:sz w:val="24"/>
                <w:szCs w:val="24"/>
              </w:rPr>
              <w:t>.</w:t>
            </w:r>
            <w:r w:rsidR="008D13D8" w:rsidRPr="00100CC0">
              <w:rPr>
                <w:rFonts w:ascii="Times New Roman" w:hAnsi="Times New Roman"/>
                <w:color w:val="000000"/>
                <w:sz w:val="24"/>
                <w:szCs w:val="24"/>
              </w:rPr>
              <w:t xml:space="preserve"> </w:t>
            </w:r>
          </w:p>
          <w:p w14:paraId="4043149E" w14:textId="5C8CCB64"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The organization</w:t>
            </w:r>
            <w:r w:rsidR="008D13D8" w:rsidRPr="00100CC0">
              <w:rPr>
                <w:rFonts w:ascii="Times New Roman" w:hAnsi="Times New Roman"/>
                <w:color w:val="000000"/>
                <w:sz w:val="24"/>
                <w:szCs w:val="24"/>
              </w:rPr>
              <w:t xml:space="preserve"> </w:t>
            </w:r>
            <w:r w:rsidRPr="00100CC0">
              <w:rPr>
                <w:rFonts w:ascii="Times New Roman" w:hAnsi="Times New Roman"/>
                <w:color w:val="000000"/>
                <w:sz w:val="24"/>
                <w:szCs w:val="24"/>
              </w:rPr>
              <w:t xml:space="preserve">has a substantial role in the project </w:t>
            </w:r>
            <w:r w:rsidRPr="00100CC0">
              <w:rPr>
                <w:rFonts w:ascii="Times New Roman" w:hAnsi="Times New Roman"/>
                <w:sz w:val="24"/>
                <w:szCs w:val="24"/>
              </w:rPr>
              <w:t>and is responsible for delivering a portion of the project</w:t>
            </w:r>
          </w:p>
          <w:p w14:paraId="687AD307" w14:textId="77777777" w:rsidR="006F19EE" w:rsidRPr="00100CC0" w:rsidRDefault="006F19EE" w:rsidP="00100CC0">
            <w:pPr>
              <w:numPr>
                <w:ilvl w:val="0"/>
                <w:numId w:val="11"/>
              </w:numPr>
              <w:spacing w:after="100" w:line="240" w:lineRule="auto"/>
              <w:ind w:right="215" w:hanging="231"/>
              <w:rPr>
                <w:rFonts w:ascii="Times New Roman" w:hAnsi="Times New Roman"/>
                <w:color w:val="000000"/>
                <w:sz w:val="24"/>
                <w:szCs w:val="24"/>
              </w:rPr>
            </w:pPr>
            <w:r w:rsidRPr="00100CC0">
              <w:rPr>
                <w:rFonts w:ascii="Times New Roman" w:hAnsi="Times New Roman"/>
                <w:color w:val="000000"/>
                <w:sz w:val="24"/>
                <w:szCs w:val="24"/>
              </w:rPr>
              <w:t>To be charged to an existing project.</w:t>
            </w:r>
          </w:p>
          <w:p w14:paraId="4AFEA762" w14:textId="77777777" w:rsidR="006F19EE" w:rsidRPr="00100CC0" w:rsidRDefault="006F19EE" w:rsidP="00100CC0">
            <w:pPr>
              <w:spacing w:after="100" w:line="240" w:lineRule="auto"/>
              <w:ind w:left="360" w:right="215"/>
              <w:rPr>
                <w:rFonts w:ascii="Times New Roman" w:hAnsi="Times New Roman"/>
                <w:color w:val="000000"/>
                <w:sz w:val="24"/>
                <w:szCs w:val="24"/>
              </w:rPr>
            </w:pPr>
          </w:p>
        </w:tc>
        <w:tc>
          <w:tcPr>
            <w:tcW w:w="4052" w:type="dxa"/>
            <w:tcBorders>
              <w:top w:val="single" w:sz="4" w:space="0" w:color="auto"/>
              <w:left w:val="single" w:sz="8" w:space="0" w:color="auto"/>
              <w:bottom w:val="single" w:sz="8" w:space="0" w:color="auto"/>
              <w:right w:val="single" w:sz="8" w:space="0" w:color="auto"/>
            </w:tcBorders>
          </w:tcPr>
          <w:p w14:paraId="26682D66" w14:textId="77777777"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t xml:space="preserve">Required Instrument: </w:t>
            </w:r>
            <w:r w:rsidRPr="00796C4B">
              <w:rPr>
                <w:rFonts w:ascii="Times New Roman" w:hAnsi="Times New Roman"/>
                <w:b/>
                <w:bCs/>
                <w:color w:val="000000"/>
                <w:sz w:val="24"/>
                <w:szCs w:val="24"/>
              </w:rPr>
              <w:t>Subcontract</w:t>
            </w:r>
          </w:p>
          <w:p w14:paraId="05A270E2" w14:textId="2B4C7708" w:rsidR="006F19EE" w:rsidRPr="00100CC0" w:rsidRDefault="006F19EE" w:rsidP="00100CC0">
            <w:pPr>
              <w:tabs>
                <w:tab w:val="left" w:pos="947"/>
              </w:tabs>
              <w:spacing w:line="240" w:lineRule="auto"/>
              <w:ind w:left="137" w:right="225"/>
              <w:rPr>
                <w:rFonts w:ascii="Times New Roman" w:hAnsi="Times New Roman"/>
                <w:color w:val="000000"/>
                <w:sz w:val="24"/>
                <w:szCs w:val="24"/>
              </w:rPr>
            </w:pPr>
            <w:r w:rsidRPr="00100CC0">
              <w:rPr>
                <w:rFonts w:ascii="Times New Roman" w:hAnsi="Times New Roman"/>
                <w:color w:val="000000"/>
                <w:sz w:val="24"/>
                <w:szCs w:val="24"/>
              </w:rPr>
              <w:t>A Subcontract is used to fund an organization who has a substantial role on the project programmatically such that the organization has its performance measured in relation to whether objectives of the prime contract are met.</w:t>
            </w:r>
            <w:r w:rsidR="008D13D8" w:rsidRPr="00100CC0">
              <w:rPr>
                <w:rFonts w:ascii="Times New Roman" w:hAnsi="Times New Roman"/>
                <w:color w:val="000000"/>
                <w:sz w:val="24"/>
                <w:szCs w:val="24"/>
              </w:rPr>
              <w:t xml:space="preserve"> </w:t>
            </w:r>
          </w:p>
        </w:tc>
        <w:tc>
          <w:tcPr>
            <w:tcW w:w="6840" w:type="dxa"/>
            <w:tcBorders>
              <w:top w:val="single" w:sz="4" w:space="0" w:color="auto"/>
              <w:left w:val="single" w:sz="8" w:space="0" w:color="auto"/>
              <w:bottom w:val="single" w:sz="8" w:space="0" w:color="auto"/>
              <w:right w:val="single" w:sz="8" w:space="0" w:color="auto"/>
            </w:tcBorders>
          </w:tcPr>
          <w:p w14:paraId="43D144E0" w14:textId="27176487" w:rsidR="006F19EE" w:rsidRPr="00100CC0" w:rsidRDefault="006F19EE" w:rsidP="00100CC0">
            <w:pPr>
              <w:ind w:left="219" w:right="225"/>
              <w:rPr>
                <w:rFonts w:ascii="Times New Roman" w:hAnsi="Times New Roman"/>
                <w:i/>
                <w:iCs/>
                <w:spacing w:val="-2"/>
                <w:sz w:val="24"/>
                <w:szCs w:val="24"/>
              </w:rPr>
            </w:pPr>
            <w:r w:rsidRPr="00100CC0">
              <w:rPr>
                <w:rFonts w:ascii="Times New Roman" w:hAnsi="Times New Roman"/>
                <w:i/>
                <w:iCs/>
                <w:spacing w:val="-2"/>
                <w:sz w:val="24"/>
                <w:szCs w:val="24"/>
              </w:rPr>
              <w:t>Fixed Price Subcontract:</w:t>
            </w:r>
            <w:r w:rsidRPr="00100CC0">
              <w:rPr>
                <w:rFonts w:ascii="Times New Roman" w:hAnsi="Times New Roman"/>
                <w:spacing w:val="-2"/>
                <w:sz w:val="24"/>
                <w:szCs w:val="24"/>
              </w:rPr>
              <w:t xml:space="preserve"> A fixed price subcontract provides for a price that is not subject to any adjustment on the basis of the subcontractor’s cost experience in performing the work.</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This is preferred as it is not complex to manage as it is as payment is based on deliverables and the costs do not fluctuate based on performance.</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Fixed price subcontracts do not need approval under prime contract awards up to $250,000 USD or the local equivalent per FAR 44.204 (a)(1).</w:t>
            </w:r>
            <w:r w:rsidR="008D13D8" w:rsidRPr="00100CC0">
              <w:rPr>
                <w:rFonts w:ascii="Times New Roman" w:hAnsi="Times New Roman"/>
                <w:spacing w:val="-2"/>
                <w:sz w:val="24"/>
                <w:szCs w:val="24"/>
              </w:rPr>
              <w:t xml:space="preserve"> </w:t>
            </w:r>
            <w:r w:rsidRPr="00100CC0">
              <w:rPr>
                <w:rFonts w:ascii="Times New Roman" w:hAnsi="Times New Roman"/>
                <w:spacing w:val="-2"/>
                <w:sz w:val="24"/>
                <w:szCs w:val="24"/>
              </w:rPr>
              <w:t xml:space="preserve">Look for the clause 52.244-2 in the contract for confirmation. </w:t>
            </w:r>
          </w:p>
        </w:tc>
      </w:tr>
    </w:tbl>
    <w:p w14:paraId="3298EC6A" w14:textId="77777777" w:rsidR="008E3706" w:rsidRPr="00100CC0" w:rsidRDefault="008E3706" w:rsidP="006F19EE">
      <w:pPr>
        <w:rPr>
          <w:rFonts w:ascii="Times New Roman" w:hAnsi="Times New Roman"/>
          <w:b/>
          <w:sz w:val="24"/>
          <w:szCs w:val="24"/>
        </w:rPr>
      </w:pPr>
    </w:p>
    <w:p w14:paraId="2FB268C3" w14:textId="77777777" w:rsidR="00BA3AEE" w:rsidRPr="00100CC0" w:rsidRDefault="00604E18" w:rsidP="006F19EE">
      <w:pPr>
        <w:rPr>
          <w:rFonts w:ascii="Times New Roman" w:hAnsi="Times New Roman"/>
          <w:sz w:val="24"/>
          <w:szCs w:val="24"/>
        </w:rPr>
      </w:pPr>
      <w:r w:rsidRPr="00100CC0">
        <w:rPr>
          <w:rFonts w:ascii="Times New Roman" w:hAnsi="Times New Roman"/>
          <w:sz w:val="24"/>
          <w:szCs w:val="24"/>
        </w:rPr>
        <w:t xml:space="preserve"> </w:t>
      </w:r>
    </w:p>
    <w:p w14:paraId="6A69DAE7" w14:textId="77777777" w:rsidR="003F4C42" w:rsidRPr="00100CC0" w:rsidRDefault="003F4C42" w:rsidP="006F19EE">
      <w:pPr>
        <w:widowControl w:val="0"/>
        <w:autoSpaceDE w:val="0"/>
        <w:autoSpaceDN w:val="0"/>
        <w:adjustRightInd w:val="0"/>
        <w:spacing w:after="120" w:line="240" w:lineRule="auto"/>
        <w:rPr>
          <w:rFonts w:ascii="Times New Roman" w:hAnsi="Times New Roman"/>
          <w:sz w:val="24"/>
          <w:szCs w:val="24"/>
        </w:rPr>
      </w:pPr>
    </w:p>
    <w:p w14:paraId="79FFB67E" w14:textId="77777777" w:rsidR="003F4C42" w:rsidRPr="00100CC0" w:rsidRDefault="003F4C42" w:rsidP="006F19EE">
      <w:pPr>
        <w:widowControl w:val="0"/>
        <w:autoSpaceDE w:val="0"/>
        <w:autoSpaceDN w:val="0"/>
        <w:adjustRightInd w:val="0"/>
        <w:spacing w:after="120" w:line="240" w:lineRule="auto"/>
        <w:rPr>
          <w:rFonts w:ascii="Times New Roman" w:hAnsi="Times New Roman"/>
          <w:sz w:val="24"/>
          <w:szCs w:val="24"/>
        </w:rPr>
      </w:pPr>
    </w:p>
    <w:p w14:paraId="6208F329" w14:textId="77777777" w:rsidR="003F4C42" w:rsidRPr="00100CC0" w:rsidRDefault="003F4C42" w:rsidP="006F19EE">
      <w:pPr>
        <w:rPr>
          <w:rFonts w:ascii="Times New Roman" w:hAnsi="Times New Roman"/>
          <w:sz w:val="24"/>
          <w:szCs w:val="24"/>
        </w:rPr>
      </w:pPr>
    </w:p>
    <w:sectPr w:rsidR="003F4C42" w:rsidRPr="00100CC0" w:rsidSect="005009B0">
      <w:headerReference w:type="default" r:id="rId1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3F002" w14:textId="77777777" w:rsidR="00826C12" w:rsidRDefault="00826C12" w:rsidP="009E2132">
      <w:pPr>
        <w:spacing w:after="0" w:line="240" w:lineRule="auto"/>
      </w:pPr>
      <w:r>
        <w:separator/>
      </w:r>
    </w:p>
  </w:endnote>
  <w:endnote w:type="continuationSeparator" w:id="0">
    <w:p w14:paraId="0CCE98A2" w14:textId="77777777" w:rsidR="00826C12" w:rsidRDefault="00826C12" w:rsidP="009E2132">
      <w:pPr>
        <w:spacing w:after="0" w:line="240" w:lineRule="auto"/>
      </w:pPr>
      <w:r>
        <w:continuationSeparator/>
      </w:r>
    </w:p>
  </w:endnote>
  <w:endnote w:type="continuationNotice" w:id="1">
    <w:p w14:paraId="72A12035" w14:textId="77777777" w:rsidR="00826C12" w:rsidRDefault="00826C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27A49" w14:textId="77777777" w:rsidR="00826C12" w:rsidRDefault="00826C12" w:rsidP="009E2132">
      <w:pPr>
        <w:spacing w:after="0" w:line="240" w:lineRule="auto"/>
      </w:pPr>
      <w:r>
        <w:separator/>
      </w:r>
    </w:p>
  </w:footnote>
  <w:footnote w:type="continuationSeparator" w:id="0">
    <w:p w14:paraId="72FE043F" w14:textId="77777777" w:rsidR="00826C12" w:rsidRDefault="00826C12" w:rsidP="009E2132">
      <w:pPr>
        <w:spacing w:after="0" w:line="240" w:lineRule="auto"/>
      </w:pPr>
      <w:r>
        <w:continuationSeparator/>
      </w:r>
    </w:p>
  </w:footnote>
  <w:footnote w:type="continuationNotice" w:id="1">
    <w:p w14:paraId="133A8DF0" w14:textId="77777777" w:rsidR="00826C12" w:rsidRDefault="00826C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22254" w14:textId="1FEC92B9" w:rsidR="008E01DF" w:rsidRPr="00A910DD" w:rsidRDefault="008B584D" w:rsidP="00996C52">
    <w:pPr>
      <w:pStyle w:val="Header"/>
      <w:pBdr>
        <w:bottom w:val="thickThinSmallGap" w:sz="24" w:space="1" w:color="622423"/>
      </w:pBdr>
      <w:jc w:val="center"/>
      <w:rPr>
        <w:rFonts w:ascii="Times New Roman" w:eastAsia="Times New Roman" w:hAnsi="Times New Roman"/>
        <w:b/>
        <w:bCs/>
        <w:sz w:val="36"/>
        <w:szCs w:val="36"/>
      </w:rPr>
    </w:pPr>
    <w:r w:rsidRPr="00A910DD">
      <w:rPr>
        <w:rFonts w:ascii="Times New Roman" w:eastAsia="Times New Roman" w:hAnsi="Times New Roman"/>
        <w:b/>
        <w:bCs/>
        <w:sz w:val="36"/>
        <w:szCs w:val="36"/>
      </w:rPr>
      <w:t>Agreements</w:t>
    </w:r>
    <w:r w:rsidR="008E01DF" w:rsidRPr="00A910DD">
      <w:rPr>
        <w:rFonts w:ascii="Times New Roman" w:eastAsia="Times New Roman" w:hAnsi="Times New Roman"/>
        <w:b/>
        <w:bCs/>
        <w:sz w:val="36"/>
        <w:szCs w:val="36"/>
      </w:rPr>
      <w:t xml:space="preserve"> Table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0F1"/>
    <w:multiLevelType w:val="hybridMultilevel"/>
    <w:tmpl w:val="4738869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B48D9"/>
    <w:multiLevelType w:val="hybridMultilevel"/>
    <w:tmpl w:val="6D6AF64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8D7FF9"/>
    <w:multiLevelType w:val="hybridMultilevel"/>
    <w:tmpl w:val="5DD2DA32"/>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decimal"/>
      <w:lvlText w:val="%2."/>
      <w:lvlJc w:val="left"/>
      <w:pPr>
        <w:tabs>
          <w:tab w:val="num" w:pos="0"/>
        </w:tabs>
        <w:ind w:left="0" w:hanging="360"/>
      </w:pPr>
      <w:rPr>
        <w:rFonts w:hint="default"/>
        <w:color w:val="000000"/>
      </w:r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FB678A2"/>
    <w:multiLevelType w:val="hybridMultilevel"/>
    <w:tmpl w:val="3E92B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BA571B"/>
    <w:multiLevelType w:val="hybridMultilevel"/>
    <w:tmpl w:val="F1248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C46402"/>
    <w:multiLevelType w:val="hybridMultilevel"/>
    <w:tmpl w:val="EDA0BC1A"/>
    <w:lvl w:ilvl="0" w:tplc="7CC29DA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84679E"/>
    <w:multiLevelType w:val="hybridMultilevel"/>
    <w:tmpl w:val="CD306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611F7E"/>
    <w:multiLevelType w:val="hybridMultilevel"/>
    <w:tmpl w:val="92F0A7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3374A00"/>
    <w:multiLevelType w:val="hybridMultilevel"/>
    <w:tmpl w:val="3800C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62132A7"/>
    <w:multiLevelType w:val="hybridMultilevel"/>
    <w:tmpl w:val="B74EC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B115BB9"/>
    <w:multiLevelType w:val="hybridMultilevel"/>
    <w:tmpl w:val="41EECAD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602E89"/>
    <w:multiLevelType w:val="hybridMultilevel"/>
    <w:tmpl w:val="EB8277B0"/>
    <w:lvl w:ilvl="0" w:tplc="D48EDA24">
      <w:start w:val="1"/>
      <w:numFmt w:val="bullet"/>
      <w:lvlText w:val=""/>
      <w:lvlJc w:val="left"/>
      <w:pPr>
        <w:tabs>
          <w:tab w:val="num" w:pos="360"/>
        </w:tabs>
        <w:ind w:left="360" w:hanging="360"/>
      </w:pPr>
      <w:rPr>
        <w:rFonts w:ascii="Wingdings" w:hAnsi="Wingdings" w:hint="default"/>
        <w:color w:val="000000"/>
      </w:r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2" w15:restartNumberingAfterBreak="0">
    <w:nsid w:val="5E6647BB"/>
    <w:multiLevelType w:val="hybridMultilevel"/>
    <w:tmpl w:val="38E07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F197CD1"/>
    <w:multiLevelType w:val="hybridMultilevel"/>
    <w:tmpl w:val="7A1CF3F4"/>
    <w:lvl w:ilvl="0" w:tplc="FFFFFFFF">
      <w:start w:val="1"/>
      <w:numFmt w:val="decimal"/>
      <w:lvlText w:val="%1."/>
      <w:lvlJc w:val="left"/>
      <w:pPr>
        <w:tabs>
          <w:tab w:val="num" w:pos="360"/>
        </w:tabs>
        <w:ind w:left="360" w:hanging="360"/>
      </w:p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4" w15:restartNumberingAfterBreak="0">
    <w:nsid w:val="60C70C6D"/>
    <w:multiLevelType w:val="hybridMultilevel"/>
    <w:tmpl w:val="B43AB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234E06"/>
    <w:multiLevelType w:val="hybridMultilevel"/>
    <w:tmpl w:val="13725E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7E54E4"/>
    <w:multiLevelType w:val="hybridMultilevel"/>
    <w:tmpl w:val="E1B8F1B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D0101"/>
    <w:multiLevelType w:val="hybridMultilevel"/>
    <w:tmpl w:val="851C1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F932C52"/>
    <w:multiLevelType w:val="hybridMultilevel"/>
    <w:tmpl w:val="851C1FF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62C4B15"/>
    <w:multiLevelType w:val="hybridMultilevel"/>
    <w:tmpl w:val="462C7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1B739E"/>
    <w:multiLevelType w:val="hybridMultilevel"/>
    <w:tmpl w:val="ACB66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3"/>
  </w:num>
  <w:num w:numId="4">
    <w:abstractNumId w:val="11"/>
  </w:num>
  <w:num w:numId="5">
    <w:abstractNumId w:val="2"/>
  </w:num>
  <w:num w:numId="6">
    <w:abstractNumId w:val="13"/>
  </w:num>
  <w:num w:numId="7">
    <w:abstractNumId w:val="10"/>
  </w:num>
  <w:num w:numId="8">
    <w:abstractNumId w:val="9"/>
  </w:num>
  <w:num w:numId="9">
    <w:abstractNumId w:val="6"/>
  </w:num>
  <w:num w:numId="10">
    <w:abstractNumId w:val="14"/>
  </w:num>
  <w:num w:numId="11">
    <w:abstractNumId w:val="19"/>
  </w:num>
  <w:num w:numId="12">
    <w:abstractNumId w:val="4"/>
  </w:num>
  <w:num w:numId="13">
    <w:abstractNumId w:val="20"/>
  </w:num>
  <w:num w:numId="14">
    <w:abstractNumId w:val="5"/>
  </w:num>
  <w:num w:numId="15">
    <w:abstractNumId w:val="7"/>
  </w:num>
  <w:num w:numId="16">
    <w:abstractNumId w:val="8"/>
  </w:num>
  <w:num w:numId="17">
    <w:abstractNumId w:val="17"/>
  </w:num>
  <w:num w:numId="18">
    <w:abstractNumId w:val="12"/>
  </w:num>
  <w:num w:numId="19">
    <w:abstractNumId w:val="15"/>
  </w:num>
  <w:num w:numId="20">
    <w:abstractNumId w:val="18"/>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doNotTrackMoves/>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4C42"/>
    <w:rsid w:val="000000F8"/>
    <w:rsid w:val="00001472"/>
    <w:rsid w:val="00001D5A"/>
    <w:rsid w:val="00001E0F"/>
    <w:rsid w:val="000053CE"/>
    <w:rsid w:val="00006230"/>
    <w:rsid w:val="00006CBE"/>
    <w:rsid w:val="0000732E"/>
    <w:rsid w:val="00007773"/>
    <w:rsid w:val="000111A3"/>
    <w:rsid w:val="0001328B"/>
    <w:rsid w:val="00014614"/>
    <w:rsid w:val="00016177"/>
    <w:rsid w:val="0001661A"/>
    <w:rsid w:val="00017372"/>
    <w:rsid w:val="00017EA4"/>
    <w:rsid w:val="00021B22"/>
    <w:rsid w:val="000241F0"/>
    <w:rsid w:val="00027224"/>
    <w:rsid w:val="00030689"/>
    <w:rsid w:val="00030D10"/>
    <w:rsid w:val="0003419D"/>
    <w:rsid w:val="00035698"/>
    <w:rsid w:val="000400F6"/>
    <w:rsid w:val="00042552"/>
    <w:rsid w:val="00042E0A"/>
    <w:rsid w:val="00043CE4"/>
    <w:rsid w:val="00047911"/>
    <w:rsid w:val="00047E88"/>
    <w:rsid w:val="0005053A"/>
    <w:rsid w:val="000525EE"/>
    <w:rsid w:val="000537EC"/>
    <w:rsid w:val="000620F8"/>
    <w:rsid w:val="00063B2A"/>
    <w:rsid w:val="0006500F"/>
    <w:rsid w:val="0006536B"/>
    <w:rsid w:val="0006674C"/>
    <w:rsid w:val="000670E1"/>
    <w:rsid w:val="000713F3"/>
    <w:rsid w:val="00072C0C"/>
    <w:rsid w:val="00073542"/>
    <w:rsid w:val="00075808"/>
    <w:rsid w:val="000767DF"/>
    <w:rsid w:val="0008166D"/>
    <w:rsid w:val="00082A6F"/>
    <w:rsid w:val="00082A9F"/>
    <w:rsid w:val="00084A4F"/>
    <w:rsid w:val="00084AAF"/>
    <w:rsid w:val="0008538C"/>
    <w:rsid w:val="000923FA"/>
    <w:rsid w:val="0009723A"/>
    <w:rsid w:val="000975CF"/>
    <w:rsid w:val="00097A07"/>
    <w:rsid w:val="000A096F"/>
    <w:rsid w:val="000A1ACA"/>
    <w:rsid w:val="000A1C58"/>
    <w:rsid w:val="000A1DA8"/>
    <w:rsid w:val="000A2326"/>
    <w:rsid w:val="000A23B8"/>
    <w:rsid w:val="000A26C6"/>
    <w:rsid w:val="000A3D18"/>
    <w:rsid w:val="000A40FD"/>
    <w:rsid w:val="000A4D3F"/>
    <w:rsid w:val="000A573C"/>
    <w:rsid w:val="000A621A"/>
    <w:rsid w:val="000B30B0"/>
    <w:rsid w:val="000B7A40"/>
    <w:rsid w:val="000C0061"/>
    <w:rsid w:val="000C2ED0"/>
    <w:rsid w:val="000C5306"/>
    <w:rsid w:val="000C5501"/>
    <w:rsid w:val="000C57ED"/>
    <w:rsid w:val="000C5C38"/>
    <w:rsid w:val="000C6387"/>
    <w:rsid w:val="000D0A3B"/>
    <w:rsid w:val="000D143E"/>
    <w:rsid w:val="000D35A9"/>
    <w:rsid w:val="000D3B81"/>
    <w:rsid w:val="000D6555"/>
    <w:rsid w:val="000D6764"/>
    <w:rsid w:val="000D6F70"/>
    <w:rsid w:val="000D7A0D"/>
    <w:rsid w:val="000E0705"/>
    <w:rsid w:val="000E26E2"/>
    <w:rsid w:val="000E3351"/>
    <w:rsid w:val="000E55E3"/>
    <w:rsid w:val="000E5785"/>
    <w:rsid w:val="000F0537"/>
    <w:rsid w:val="000F5DB2"/>
    <w:rsid w:val="000F7523"/>
    <w:rsid w:val="000F7803"/>
    <w:rsid w:val="00100CC0"/>
    <w:rsid w:val="00102B45"/>
    <w:rsid w:val="00105966"/>
    <w:rsid w:val="0011176D"/>
    <w:rsid w:val="0011407A"/>
    <w:rsid w:val="00114FAF"/>
    <w:rsid w:val="001163E0"/>
    <w:rsid w:val="00116F16"/>
    <w:rsid w:val="00120CA0"/>
    <w:rsid w:val="0012296D"/>
    <w:rsid w:val="00124EC8"/>
    <w:rsid w:val="00125C1A"/>
    <w:rsid w:val="0012653B"/>
    <w:rsid w:val="00130A08"/>
    <w:rsid w:val="00133A5B"/>
    <w:rsid w:val="00133C59"/>
    <w:rsid w:val="00133C75"/>
    <w:rsid w:val="00133D1E"/>
    <w:rsid w:val="0013676C"/>
    <w:rsid w:val="00140A63"/>
    <w:rsid w:val="001436EB"/>
    <w:rsid w:val="00143E4C"/>
    <w:rsid w:val="00144866"/>
    <w:rsid w:val="00144972"/>
    <w:rsid w:val="001515DC"/>
    <w:rsid w:val="0015348D"/>
    <w:rsid w:val="00162A9A"/>
    <w:rsid w:val="0016695D"/>
    <w:rsid w:val="00167175"/>
    <w:rsid w:val="00167757"/>
    <w:rsid w:val="00167FD1"/>
    <w:rsid w:val="0017198C"/>
    <w:rsid w:val="0017296B"/>
    <w:rsid w:val="0017476A"/>
    <w:rsid w:val="001750F9"/>
    <w:rsid w:val="001756A6"/>
    <w:rsid w:val="0017657B"/>
    <w:rsid w:val="00176F56"/>
    <w:rsid w:val="0018002C"/>
    <w:rsid w:val="0018150E"/>
    <w:rsid w:val="001907F0"/>
    <w:rsid w:val="001927E0"/>
    <w:rsid w:val="00195051"/>
    <w:rsid w:val="001960BB"/>
    <w:rsid w:val="00196473"/>
    <w:rsid w:val="00196D00"/>
    <w:rsid w:val="001A1993"/>
    <w:rsid w:val="001A58EB"/>
    <w:rsid w:val="001A67FC"/>
    <w:rsid w:val="001A739D"/>
    <w:rsid w:val="001A7834"/>
    <w:rsid w:val="001B0607"/>
    <w:rsid w:val="001B1615"/>
    <w:rsid w:val="001B49F9"/>
    <w:rsid w:val="001B5AEB"/>
    <w:rsid w:val="001B68AC"/>
    <w:rsid w:val="001B6C9A"/>
    <w:rsid w:val="001C095C"/>
    <w:rsid w:val="001C231E"/>
    <w:rsid w:val="001C2946"/>
    <w:rsid w:val="001C2C7E"/>
    <w:rsid w:val="001C5FB4"/>
    <w:rsid w:val="001D0D98"/>
    <w:rsid w:val="001D4463"/>
    <w:rsid w:val="001D58B0"/>
    <w:rsid w:val="001D5E43"/>
    <w:rsid w:val="001D710F"/>
    <w:rsid w:val="001E0F1F"/>
    <w:rsid w:val="001E1594"/>
    <w:rsid w:val="001E1ABA"/>
    <w:rsid w:val="001E2827"/>
    <w:rsid w:val="001E4989"/>
    <w:rsid w:val="001E4D46"/>
    <w:rsid w:val="001E5AFB"/>
    <w:rsid w:val="001E5C84"/>
    <w:rsid w:val="001E63A1"/>
    <w:rsid w:val="001F042E"/>
    <w:rsid w:val="001F13B3"/>
    <w:rsid w:val="001F2C58"/>
    <w:rsid w:val="001F6467"/>
    <w:rsid w:val="001F6C85"/>
    <w:rsid w:val="001F7616"/>
    <w:rsid w:val="001F776C"/>
    <w:rsid w:val="001F7AA9"/>
    <w:rsid w:val="00203236"/>
    <w:rsid w:val="00205921"/>
    <w:rsid w:val="0021294D"/>
    <w:rsid w:val="00222C8C"/>
    <w:rsid w:val="00222E39"/>
    <w:rsid w:val="0022333C"/>
    <w:rsid w:val="002233A1"/>
    <w:rsid w:val="002246F7"/>
    <w:rsid w:val="0022523D"/>
    <w:rsid w:val="00227046"/>
    <w:rsid w:val="0023637E"/>
    <w:rsid w:val="00237251"/>
    <w:rsid w:val="002372CA"/>
    <w:rsid w:val="0024024E"/>
    <w:rsid w:val="0024160F"/>
    <w:rsid w:val="00241E12"/>
    <w:rsid w:val="002432F1"/>
    <w:rsid w:val="0024351D"/>
    <w:rsid w:val="002455A9"/>
    <w:rsid w:val="00245646"/>
    <w:rsid w:val="00246B23"/>
    <w:rsid w:val="00246F1A"/>
    <w:rsid w:val="00247177"/>
    <w:rsid w:val="00252E39"/>
    <w:rsid w:val="00253220"/>
    <w:rsid w:val="00256DE8"/>
    <w:rsid w:val="00260CF4"/>
    <w:rsid w:val="00260DE9"/>
    <w:rsid w:val="00261881"/>
    <w:rsid w:val="002618ED"/>
    <w:rsid w:val="00263B5F"/>
    <w:rsid w:val="00263E2E"/>
    <w:rsid w:val="002643B4"/>
    <w:rsid w:val="0026491E"/>
    <w:rsid w:val="00272E41"/>
    <w:rsid w:val="00272E96"/>
    <w:rsid w:val="00273950"/>
    <w:rsid w:val="00273F4C"/>
    <w:rsid w:val="00276CE7"/>
    <w:rsid w:val="002800A1"/>
    <w:rsid w:val="0028037D"/>
    <w:rsid w:val="00281CFB"/>
    <w:rsid w:val="002836BE"/>
    <w:rsid w:val="00285F07"/>
    <w:rsid w:val="00290025"/>
    <w:rsid w:val="00290160"/>
    <w:rsid w:val="00293C45"/>
    <w:rsid w:val="00294B7A"/>
    <w:rsid w:val="00295050"/>
    <w:rsid w:val="00295F0D"/>
    <w:rsid w:val="0029601D"/>
    <w:rsid w:val="00297295"/>
    <w:rsid w:val="002A1023"/>
    <w:rsid w:val="002A22F7"/>
    <w:rsid w:val="002A3988"/>
    <w:rsid w:val="002A3C11"/>
    <w:rsid w:val="002A60DE"/>
    <w:rsid w:val="002A6A3D"/>
    <w:rsid w:val="002A6E43"/>
    <w:rsid w:val="002A7853"/>
    <w:rsid w:val="002B316E"/>
    <w:rsid w:val="002C0C31"/>
    <w:rsid w:val="002C2CA5"/>
    <w:rsid w:val="002C3255"/>
    <w:rsid w:val="002C4385"/>
    <w:rsid w:val="002C657F"/>
    <w:rsid w:val="002C78B0"/>
    <w:rsid w:val="002D0647"/>
    <w:rsid w:val="002D081B"/>
    <w:rsid w:val="002D27C0"/>
    <w:rsid w:val="002D4E63"/>
    <w:rsid w:val="002D5EB5"/>
    <w:rsid w:val="002E03AD"/>
    <w:rsid w:val="002E199C"/>
    <w:rsid w:val="002E3A00"/>
    <w:rsid w:val="002E3B2C"/>
    <w:rsid w:val="002E475B"/>
    <w:rsid w:val="002E4FFC"/>
    <w:rsid w:val="002E627A"/>
    <w:rsid w:val="002E7E4D"/>
    <w:rsid w:val="002F20BE"/>
    <w:rsid w:val="002F2E16"/>
    <w:rsid w:val="002F6038"/>
    <w:rsid w:val="002F7A05"/>
    <w:rsid w:val="00301033"/>
    <w:rsid w:val="003026C9"/>
    <w:rsid w:val="00305AC5"/>
    <w:rsid w:val="003108DF"/>
    <w:rsid w:val="003146AE"/>
    <w:rsid w:val="00322656"/>
    <w:rsid w:val="003234AA"/>
    <w:rsid w:val="00325C5E"/>
    <w:rsid w:val="00326C1F"/>
    <w:rsid w:val="00326D1D"/>
    <w:rsid w:val="0032757A"/>
    <w:rsid w:val="00330FF9"/>
    <w:rsid w:val="0033245A"/>
    <w:rsid w:val="00332AED"/>
    <w:rsid w:val="00333F14"/>
    <w:rsid w:val="003343FA"/>
    <w:rsid w:val="00335005"/>
    <w:rsid w:val="00335093"/>
    <w:rsid w:val="0033547B"/>
    <w:rsid w:val="00336E52"/>
    <w:rsid w:val="00340E92"/>
    <w:rsid w:val="00341001"/>
    <w:rsid w:val="00345D47"/>
    <w:rsid w:val="0035068F"/>
    <w:rsid w:val="00352EDB"/>
    <w:rsid w:val="0035362F"/>
    <w:rsid w:val="003536B3"/>
    <w:rsid w:val="00355430"/>
    <w:rsid w:val="003572C0"/>
    <w:rsid w:val="00357954"/>
    <w:rsid w:val="00365924"/>
    <w:rsid w:val="003666EA"/>
    <w:rsid w:val="003669C4"/>
    <w:rsid w:val="003671D0"/>
    <w:rsid w:val="00374B83"/>
    <w:rsid w:val="00384CEC"/>
    <w:rsid w:val="00385616"/>
    <w:rsid w:val="003912D6"/>
    <w:rsid w:val="00392435"/>
    <w:rsid w:val="003933F0"/>
    <w:rsid w:val="0039473F"/>
    <w:rsid w:val="00394E9D"/>
    <w:rsid w:val="00395B56"/>
    <w:rsid w:val="003970D8"/>
    <w:rsid w:val="003A0B99"/>
    <w:rsid w:val="003A19B6"/>
    <w:rsid w:val="003A3865"/>
    <w:rsid w:val="003A42A8"/>
    <w:rsid w:val="003A498F"/>
    <w:rsid w:val="003A679A"/>
    <w:rsid w:val="003A7DC3"/>
    <w:rsid w:val="003B3580"/>
    <w:rsid w:val="003B4618"/>
    <w:rsid w:val="003B4934"/>
    <w:rsid w:val="003B4E83"/>
    <w:rsid w:val="003C1E56"/>
    <w:rsid w:val="003C2AEB"/>
    <w:rsid w:val="003C3FBB"/>
    <w:rsid w:val="003C642C"/>
    <w:rsid w:val="003D07C0"/>
    <w:rsid w:val="003D430C"/>
    <w:rsid w:val="003D4935"/>
    <w:rsid w:val="003D4D1C"/>
    <w:rsid w:val="003D73BE"/>
    <w:rsid w:val="003E00E1"/>
    <w:rsid w:val="003E3EE1"/>
    <w:rsid w:val="003E4070"/>
    <w:rsid w:val="003E427A"/>
    <w:rsid w:val="003E554B"/>
    <w:rsid w:val="003F0791"/>
    <w:rsid w:val="003F0834"/>
    <w:rsid w:val="003F41D5"/>
    <w:rsid w:val="003F4C42"/>
    <w:rsid w:val="003F69B0"/>
    <w:rsid w:val="003F728B"/>
    <w:rsid w:val="003F7969"/>
    <w:rsid w:val="0040042A"/>
    <w:rsid w:val="00402D56"/>
    <w:rsid w:val="0040369D"/>
    <w:rsid w:val="004037CE"/>
    <w:rsid w:val="004045E8"/>
    <w:rsid w:val="00404690"/>
    <w:rsid w:val="00405830"/>
    <w:rsid w:val="00406359"/>
    <w:rsid w:val="004065F9"/>
    <w:rsid w:val="00406EC9"/>
    <w:rsid w:val="00407CF0"/>
    <w:rsid w:val="00410BA0"/>
    <w:rsid w:val="00412F85"/>
    <w:rsid w:val="004147E0"/>
    <w:rsid w:val="00417618"/>
    <w:rsid w:val="00417B08"/>
    <w:rsid w:val="004201A1"/>
    <w:rsid w:val="004229F4"/>
    <w:rsid w:val="00422CE3"/>
    <w:rsid w:val="004238A9"/>
    <w:rsid w:val="00426B16"/>
    <w:rsid w:val="00426F3F"/>
    <w:rsid w:val="0043161D"/>
    <w:rsid w:val="00431DC3"/>
    <w:rsid w:val="004426D9"/>
    <w:rsid w:val="00442A9E"/>
    <w:rsid w:val="004451E7"/>
    <w:rsid w:val="004454EE"/>
    <w:rsid w:val="00445C77"/>
    <w:rsid w:val="00453182"/>
    <w:rsid w:val="00457363"/>
    <w:rsid w:val="00460AAC"/>
    <w:rsid w:val="00461598"/>
    <w:rsid w:val="00462FC6"/>
    <w:rsid w:val="00465AF7"/>
    <w:rsid w:val="00465C97"/>
    <w:rsid w:val="00466053"/>
    <w:rsid w:val="0046741A"/>
    <w:rsid w:val="0047072E"/>
    <w:rsid w:val="00470F87"/>
    <w:rsid w:val="00471104"/>
    <w:rsid w:val="004717E4"/>
    <w:rsid w:val="00471BBE"/>
    <w:rsid w:val="004736CB"/>
    <w:rsid w:val="0047575D"/>
    <w:rsid w:val="004760B3"/>
    <w:rsid w:val="00477879"/>
    <w:rsid w:val="00480650"/>
    <w:rsid w:val="00481F2C"/>
    <w:rsid w:val="004824F6"/>
    <w:rsid w:val="00484B79"/>
    <w:rsid w:val="00485CD3"/>
    <w:rsid w:val="00490749"/>
    <w:rsid w:val="00493352"/>
    <w:rsid w:val="0049376A"/>
    <w:rsid w:val="00497EBD"/>
    <w:rsid w:val="00497F8E"/>
    <w:rsid w:val="004A0825"/>
    <w:rsid w:val="004A0C48"/>
    <w:rsid w:val="004A0D19"/>
    <w:rsid w:val="004A0FD8"/>
    <w:rsid w:val="004A1817"/>
    <w:rsid w:val="004A317A"/>
    <w:rsid w:val="004A4C37"/>
    <w:rsid w:val="004A75A0"/>
    <w:rsid w:val="004B1C62"/>
    <w:rsid w:val="004B3EA6"/>
    <w:rsid w:val="004B45D9"/>
    <w:rsid w:val="004B4DF4"/>
    <w:rsid w:val="004B63D1"/>
    <w:rsid w:val="004C1D27"/>
    <w:rsid w:val="004C21FD"/>
    <w:rsid w:val="004C3B03"/>
    <w:rsid w:val="004C534D"/>
    <w:rsid w:val="004C6F6A"/>
    <w:rsid w:val="004D141E"/>
    <w:rsid w:val="004D1F4E"/>
    <w:rsid w:val="004D3D5C"/>
    <w:rsid w:val="004D7084"/>
    <w:rsid w:val="004E1021"/>
    <w:rsid w:val="004E328A"/>
    <w:rsid w:val="004E3C1A"/>
    <w:rsid w:val="004E4070"/>
    <w:rsid w:val="004E42CA"/>
    <w:rsid w:val="004E5349"/>
    <w:rsid w:val="004F0661"/>
    <w:rsid w:val="004F0BA6"/>
    <w:rsid w:val="004F1E8F"/>
    <w:rsid w:val="004F2E03"/>
    <w:rsid w:val="004F3E56"/>
    <w:rsid w:val="004F4D50"/>
    <w:rsid w:val="004F5B07"/>
    <w:rsid w:val="004F5D59"/>
    <w:rsid w:val="004F63D7"/>
    <w:rsid w:val="004F7922"/>
    <w:rsid w:val="004F79F7"/>
    <w:rsid w:val="00500250"/>
    <w:rsid w:val="005009B0"/>
    <w:rsid w:val="00502055"/>
    <w:rsid w:val="00502603"/>
    <w:rsid w:val="005028DA"/>
    <w:rsid w:val="0050296C"/>
    <w:rsid w:val="00504AA0"/>
    <w:rsid w:val="00505DB9"/>
    <w:rsid w:val="00506E61"/>
    <w:rsid w:val="005110BA"/>
    <w:rsid w:val="005127B7"/>
    <w:rsid w:val="00514E2D"/>
    <w:rsid w:val="0051578F"/>
    <w:rsid w:val="00521047"/>
    <w:rsid w:val="00521F9A"/>
    <w:rsid w:val="005230BA"/>
    <w:rsid w:val="0052401B"/>
    <w:rsid w:val="0052446E"/>
    <w:rsid w:val="00531386"/>
    <w:rsid w:val="005317EA"/>
    <w:rsid w:val="00531AF2"/>
    <w:rsid w:val="00533500"/>
    <w:rsid w:val="00534DE3"/>
    <w:rsid w:val="005369F9"/>
    <w:rsid w:val="00541FC2"/>
    <w:rsid w:val="00542BBB"/>
    <w:rsid w:val="00544579"/>
    <w:rsid w:val="0054481C"/>
    <w:rsid w:val="00545D84"/>
    <w:rsid w:val="00547662"/>
    <w:rsid w:val="00552F39"/>
    <w:rsid w:val="00554F68"/>
    <w:rsid w:val="00557AA0"/>
    <w:rsid w:val="00561107"/>
    <w:rsid w:val="005655E8"/>
    <w:rsid w:val="005656AE"/>
    <w:rsid w:val="00565E58"/>
    <w:rsid w:val="005664CC"/>
    <w:rsid w:val="005715A5"/>
    <w:rsid w:val="0057164C"/>
    <w:rsid w:val="005725B2"/>
    <w:rsid w:val="00574C6A"/>
    <w:rsid w:val="00576A23"/>
    <w:rsid w:val="00577D3D"/>
    <w:rsid w:val="0058338A"/>
    <w:rsid w:val="005873FA"/>
    <w:rsid w:val="00592441"/>
    <w:rsid w:val="00593223"/>
    <w:rsid w:val="00594EC9"/>
    <w:rsid w:val="005962F7"/>
    <w:rsid w:val="00597487"/>
    <w:rsid w:val="005A20CB"/>
    <w:rsid w:val="005A30E7"/>
    <w:rsid w:val="005A53F6"/>
    <w:rsid w:val="005A605E"/>
    <w:rsid w:val="005A7DA3"/>
    <w:rsid w:val="005B02AE"/>
    <w:rsid w:val="005B0EA0"/>
    <w:rsid w:val="005B1214"/>
    <w:rsid w:val="005B4EE4"/>
    <w:rsid w:val="005B519E"/>
    <w:rsid w:val="005B5E3C"/>
    <w:rsid w:val="005B784A"/>
    <w:rsid w:val="005B7861"/>
    <w:rsid w:val="005C2062"/>
    <w:rsid w:val="005C3292"/>
    <w:rsid w:val="005C6BD2"/>
    <w:rsid w:val="005C7D39"/>
    <w:rsid w:val="005D1562"/>
    <w:rsid w:val="005D1B92"/>
    <w:rsid w:val="005D1D28"/>
    <w:rsid w:val="005D613C"/>
    <w:rsid w:val="005D7548"/>
    <w:rsid w:val="005D766E"/>
    <w:rsid w:val="005E257A"/>
    <w:rsid w:val="005E2F2E"/>
    <w:rsid w:val="005E3F79"/>
    <w:rsid w:val="005E4F22"/>
    <w:rsid w:val="005E6BDB"/>
    <w:rsid w:val="005F11A5"/>
    <w:rsid w:val="005F169F"/>
    <w:rsid w:val="005F1717"/>
    <w:rsid w:val="005F2FB9"/>
    <w:rsid w:val="005F3760"/>
    <w:rsid w:val="005F3975"/>
    <w:rsid w:val="005F405F"/>
    <w:rsid w:val="005F6D43"/>
    <w:rsid w:val="005F7DDF"/>
    <w:rsid w:val="0060013A"/>
    <w:rsid w:val="00600291"/>
    <w:rsid w:val="00601F74"/>
    <w:rsid w:val="00602AC8"/>
    <w:rsid w:val="00603734"/>
    <w:rsid w:val="0060388E"/>
    <w:rsid w:val="00603BA1"/>
    <w:rsid w:val="00604CDF"/>
    <w:rsid w:val="00604E18"/>
    <w:rsid w:val="00605123"/>
    <w:rsid w:val="006056AC"/>
    <w:rsid w:val="00607B81"/>
    <w:rsid w:val="00610CEB"/>
    <w:rsid w:val="0061148B"/>
    <w:rsid w:val="00612A2B"/>
    <w:rsid w:val="00617540"/>
    <w:rsid w:val="0062108A"/>
    <w:rsid w:val="006217EB"/>
    <w:rsid w:val="00621E51"/>
    <w:rsid w:val="00621EA1"/>
    <w:rsid w:val="00623310"/>
    <w:rsid w:val="00623A94"/>
    <w:rsid w:val="00623EF5"/>
    <w:rsid w:val="00624E08"/>
    <w:rsid w:val="00630C18"/>
    <w:rsid w:val="00631B56"/>
    <w:rsid w:val="00632CA4"/>
    <w:rsid w:val="006333D9"/>
    <w:rsid w:val="00634726"/>
    <w:rsid w:val="00635E71"/>
    <w:rsid w:val="0064006F"/>
    <w:rsid w:val="006421EE"/>
    <w:rsid w:val="00642AE7"/>
    <w:rsid w:val="006446C7"/>
    <w:rsid w:val="00644E43"/>
    <w:rsid w:val="00645A76"/>
    <w:rsid w:val="0064781C"/>
    <w:rsid w:val="006541F5"/>
    <w:rsid w:val="00654265"/>
    <w:rsid w:val="00656A95"/>
    <w:rsid w:val="0066115D"/>
    <w:rsid w:val="006614C1"/>
    <w:rsid w:val="0066226F"/>
    <w:rsid w:val="00662D52"/>
    <w:rsid w:val="00663351"/>
    <w:rsid w:val="00664423"/>
    <w:rsid w:val="00665406"/>
    <w:rsid w:val="00665B81"/>
    <w:rsid w:val="00666C1A"/>
    <w:rsid w:val="006704CA"/>
    <w:rsid w:val="006711F5"/>
    <w:rsid w:val="00672E37"/>
    <w:rsid w:val="00673BE9"/>
    <w:rsid w:val="00674CEF"/>
    <w:rsid w:val="00682565"/>
    <w:rsid w:val="00683A03"/>
    <w:rsid w:val="006841CC"/>
    <w:rsid w:val="00684B0F"/>
    <w:rsid w:val="00691574"/>
    <w:rsid w:val="00694264"/>
    <w:rsid w:val="00697CB8"/>
    <w:rsid w:val="006A2D7A"/>
    <w:rsid w:val="006A7822"/>
    <w:rsid w:val="006A7C84"/>
    <w:rsid w:val="006B13E2"/>
    <w:rsid w:val="006B1495"/>
    <w:rsid w:val="006B3270"/>
    <w:rsid w:val="006B4CDD"/>
    <w:rsid w:val="006B7547"/>
    <w:rsid w:val="006B7A19"/>
    <w:rsid w:val="006C0280"/>
    <w:rsid w:val="006C15D4"/>
    <w:rsid w:val="006C48CA"/>
    <w:rsid w:val="006C49EB"/>
    <w:rsid w:val="006C500A"/>
    <w:rsid w:val="006C5C8C"/>
    <w:rsid w:val="006C6AF2"/>
    <w:rsid w:val="006C7A0B"/>
    <w:rsid w:val="006D12E2"/>
    <w:rsid w:val="006D1336"/>
    <w:rsid w:val="006E0917"/>
    <w:rsid w:val="006E375F"/>
    <w:rsid w:val="006E6399"/>
    <w:rsid w:val="006E6A57"/>
    <w:rsid w:val="006F19EE"/>
    <w:rsid w:val="006F1FCC"/>
    <w:rsid w:val="006F347D"/>
    <w:rsid w:val="006F3C33"/>
    <w:rsid w:val="006F4A49"/>
    <w:rsid w:val="006F4F50"/>
    <w:rsid w:val="006F7DCC"/>
    <w:rsid w:val="00703359"/>
    <w:rsid w:val="00705725"/>
    <w:rsid w:val="0071184A"/>
    <w:rsid w:val="00711DF4"/>
    <w:rsid w:val="00712672"/>
    <w:rsid w:val="007128D1"/>
    <w:rsid w:val="0071335B"/>
    <w:rsid w:val="007151A1"/>
    <w:rsid w:val="0071546D"/>
    <w:rsid w:val="00716DEA"/>
    <w:rsid w:val="00716F54"/>
    <w:rsid w:val="00717E30"/>
    <w:rsid w:val="00720B49"/>
    <w:rsid w:val="00721483"/>
    <w:rsid w:val="007216F2"/>
    <w:rsid w:val="007224D0"/>
    <w:rsid w:val="00723DA7"/>
    <w:rsid w:val="007244A0"/>
    <w:rsid w:val="00725CA2"/>
    <w:rsid w:val="007325DD"/>
    <w:rsid w:val="0073489F"/>
    <w:rsid w:val="007361F1"/>
    <w:rsid w:val="0073637A"/>
    <w:rsid w:val="0073733A"/>
    <w:rsid w:val="0074026E"/>
    <w:rsid w:val="007415E1"/>
    <w:rsid w:val="00743104"/>
    <w:rsid w:val="007454AE"/>
    <w:rsid w:val="0074585F"/>
    <w:rsid w:val="00745878"/>
    <w:rsid w:val="00745C3B"/>
    <w:rsid w:val="007461B2"/>
    <w:rsid w:val="0075151A"/>
    <w:rsid w:val="007570B1"/>
    <w:rsid w:val="00760C58"/>
    <w:rsid w:val="007627B0"/>
    <w:rsid w:val="00762D49"/>
    <w:rsid w:val="007641FA"/>
    <w:rsid w:val="0076478F"/>
    <w:rsid w:val="00764F03"/>
    <w:rsid w:val="0076543A"/>
    <w:rsid w:val="007678A2"/>
    <w:rsid w:val="007707AA"/>
    <w:rsid w:val="00771C74"/>
    <w:rsid w:val="007727A0"/>
    <w:rsid w:val="00772A0F"/>
    <w:rsid w:val="00776A71"/>
    <w:rsid w:val="007776DA"/>
    <w:rsid w:val="00785AF6"/>
    <w:rsid w:val="00786BCC"/>
    <w:rsid w:val="00790DAC"/>
    <w:rsid w:val="007924D1"/>
    <w:rsid w:val="00792DF7"/>
    <w:rsid w:val="00793573"/>
    <w:rsid w:val="00796C4B"/>
    <w:rsid w:val="007A29EB"/>
    <w:rsid w:val="007A3FD3"/>
    <w:rsid w:val="007A40CC"/>
    <w:rsid w:val="007A4363"/>
    <w:rsid w:val="007A4540"/>
    <w:rsid w:val="007B2DED"/>
    <w:rsid w:val="007B6766"/>
    <w:rsid w:val="007B7A7B"/>
    <w:rsid w:val="007B7D69"/>
    <w:rsid w:val="007B7F87"/>
    <w:rsid w:val="007C2F39"/>
    <w:rsid w:val="007C4CAA"/>
    <w:rsid w:val="007D0676"/>
    <w:rsid w:val="007D0EEE"/>
    <w:rsid w:val="007D1B9D"/>
    <w:rsid w:val="007D32CE"/>
    <w:rsid w:val="007D381A"/>
    <w:rsid w:val="007D3CEB"/>
    <w:rsid w:val="007D4583"/>
    <w:rsid w:val="007D497A"/>
    <w:rsid w:val="007D5206"/>
    <w:rsid w:val="007D55D2"/>
    <w:rsid w:val="007D585A"/>
    <w:rsid w:val="007D6754"/>
    <w:rsid w:val="007D7FB3"/>
    <w:rsid w:val="007E2859"/>
    <w:rsid w:val="007E346A"/>
    <w:rsid w:val="007E6333"/>
    <w:rsid w:val="007E6D9D"/>
    <w:rsid w:val="007E7734"/>
    <w:rsid w:val="007F0F17"/>
    <w:rsid w:val="007F1D54"/>
    <w:rsid w:val="007F398D"/>
    <w:rsid w:val="007F3A28"/>
    <w:rsid w:val="007F4A06"/>
    <w:rsid w:val="007F5933"/>
    <w:rsid w:val="00800745"/>
    <w:rsid w:val="00801D0F"/>
    <w:rsid w:val="00802702"/>
    <w:rsid w:val="0080350E"/>
    <w:rsid w:val="00803E8E"/>
    <w:rsid w:val="0080528C"/>
    <w:rsid w:val="00805FEE"/>
    <w:rsid w:val="0080651B"/>
    <w:rsid w:val="00807E42"/>
    <w:rsid w:val="00810834"/>
    <w:rsid w:val="00810F56"/>
    <w:rsid w:val="00811060"/>
    <w:rsid w:val="00812292"/>
    <w:rsid w:val="00814A43"/>
    <w:rsid w:val="00814AF9"/>
    <w:rsid w:val="0081642A"/>
    <w:rsid w:val="00820166"/>
    <w:rsid w:val="00821C7E"/>
    <w:rsid w:val="00822C7B"/>
    <w:rsid w:val="00824EE2"/>
    <w:rsid w:val="008265EF"/>
    <w:rsid w:val="00826C12"/>
    <w:rsid w:val="00827F04"/>
    <w:rsid w:val="0083065D"/>
    <w:rsid w:val="00830A31"/>
    <w:rsid w:val="00831DFE"/>
    <w:rsid w:val="008320C7"/>
    <w:rsid w:val="00834A17"/>
    <w:rsid w:val="00834F93"/>
    <w:rsid w:val="00835142"/>
    <w:rsid w:val="0083524A"/>
    <w:rsid w:val="008357CA"/>
    <w:rsid w:val="0084010A"/>
    <w:rsid w:val="00840AA5"/>
    <w:rsid w:val="008417D3"/>
    <w:rsid w:val="00841C57"/>
    <w:rsid w:val="008439DB"/>
    <w:rsid w:val="008460FA"/>
    <w:rsid w:val="00846FA0"/>
    <w:rsid w:val="00850A79"/>
    <w:rsid w:val="0085359F"/>
    <w:rsid w:val="008551B8"/>
    <w:rsid w:val="008568D1"/>
    <w:rsid w:val="00856958"/>
    <w:rsid w:val="00856AF7"/>
    <w:rsid w:val="0086192B"/>
    <w:rsid w:val="00862A7D"/>
    <w:rsid w:val="0086469A"/>
    <w:rsid w:val="008665DE"/>
    <w:rsid w:val="008705CD"/>
    <w:rsid w:val="00870A37"/>
    <w:rsid w:val="0087205F"/>
    <w:rsid w:val="008724A5"/>
    <w:rsid w:val="008744ED"/>
    <w:rsid w:val="00875352"/>
    <w:rsid w:val="00876B69"/>
    <w:rsid w:val="0087705B"/>
    <w:rsid w:val="008827CB"/>
    <w:rsid w:val="00882957"/>
    <w:rsid w:val="00883112"/>
    <w:rsid w:val="008846C4"/>
    <w:rsid w:val="00884AEF"/>
    <w:rsid w:val="0088749C"/>
    <w:rsid w:val="008902A6"/>
    <w:rsid w:val="00890326"/>
    <w:rsid w:val="008910AB"/>
    <w:rsid w:val="00891163"/>
    <w:rsid w:val="00891611"/>
    <w:rsid w:val="00891F33"/>
    <w:rsid w:val="00894623"/>
    <w:rsid w:val="008952A1"/>
    <w:rsid w:val="0089635E"/>
    <w:rsid w:val="00897069"/>
    <w:rsid w:val="00897176"/>
    <w:rsid w:val="008979FC"/>
    <w:rsid w:val="008A0557"/>
    <w:rsid w:val="008A1DAB"/>
    <w:rsid w:val="008A262C"/>
    <w:rsid w:val="008A3913"/>
    <w:rsid w:val="008A4B43"/>
    <w:rsid w:val="008A70B5"/>
    <w:rsid w:val="008A7B5C"/>
    <w:rsid w:val="008B3DE2"/>
    <w:rsid w:val="008B47B7"/>
    <w:rsid w:val="008B4EC8"/>
    <w:rsid w:val="008B584D"/>
    <w:rsid w:val="008B5AD5"/>
    <w:rsid w:val="008B60A7"/>
    <w:rsid w:val="008C191C"/>
    <w:rsid w:val="008C2C9A"/>
    <w:rsid w:val="008C3585"/>
    <w:rsid w:val="008C4042"/>
    <w:rsid w:val="008C6CA8"/>
    <w:rsid w:val="008C7C22"/>
    <w:rsid w:val="008C7D37"/>
    <w:rsid w:val="008D13D8"/>
    <w:rsid w:val="008D142F"/>
    <w:rsid w:val="008D1BE5"/>
    <w:rsid w:val="008D2031"/>
    <w:rsid w:val="008D5276"/>
    <w:rsid w:val="008E01DF"/>
    <w:rsid w:val="008E1726"/>
    <w:rsid w:val="008E3706"/>
    <w:rsid w:val="008E7190"/>
    <w:rsid w:val="008E752D"/>
    <w:rsid w:val="008F1070"/>
    <w:rsid w:val="008F14DB"/>
    <w:rsid w:val="008F1540"/>
    <w:rsid w:val="008F162A"/>
    <w:rsid w:val="008F4CD2"/>
    <w:rsid w:val="008F5824"/>
    <w:rsid w:val="008F5978"/>
    <w:rsid w:val="008F5992"/>
    <w:rsid w:val="008F61EC"/>
    <w:rsid w:val="008F76E5"/>
    <w:rsid w:val="008F77E8"/>
    <w:rsid w:val="008F7C95"/>
    <w:rsid w:val="0090011E"/>
    <w:rsid w:val="00900B37"/>
    <w:rsid w:val="009021D9"/>
    <w:rsid w:val="00902E25"/>
    <w:rsid w:val="00906793"/>
    <w:rsid w:val="009105C6"/>
    <w:rsid w:val="009107E4"/>
    <w:rsid w:val="00911E6E"/>
    <w:rsid w:val="00913651"/>
    <w:rsid w:val="00914FDC"/>
    <w:rsid w:val="0091650A"/>
    <w:rsid w:val="00921534"/>
    <w:rsid w:val="00925347"/>
    <w:rsid w:val="00931707"/>
    <w:rsid w:val="0093295B"/>
    <w:rsid w:val="0093340B"/>
    <w:rsid w:val="00936373"/>
    <w:rsid w:val="009411A8"/>
    <w:rsid w:val="00941611"/>
    <w:rsid w:val="0094203E"/>
    <w:rsid w:val="00943297"/>
    <w:rsid w:val="0094364D"/>
    <w:rsid w:val="00944DF6"/>
    <w:rsid w:val="00945BA0"/>
    <w:rsid w:val="00945E41"/>
    <w:rsid w:val="0094657D"/>
    <w:rsid w:val="00947541"/>
    <w:rsid w:val="009542A2"/>
    <w:rsid w:val="00954767"/>
    <w:rsid w:val="009555C6"/>
    <w:rsid w:val="009562A9"/>
    <w:rsid w:val="009571F6"/>
    <w:rsid w:val="00957CA9"/>
    <w:rsid w:val="009610DC"/>
    <w:rsid w:val="00961B0F"/>
    <w:rsid w:val="00961C03"/>
    <w:rsid w:val="00961DBF"/>
    <w:rsid w:val="009646E1"/>
    <w:rsid w:val="00965050"/>
    <w:rsid w:val="00965429"/>
    <w:rsid w:val="00965B02"/>
    <w:rsid w:val="00971551"/>
    <w:rsid w:val="00971DC2"/>
    <w:rsid w:val="00972ACA"/>
    <w:rsid w:val="009732E8"/>
    <w:rsid w:val="00973B16"/>
    <w:rsid w:val="0097466C"/>
    <w:rsid w:val="00974DD2"/>
    <w:rsid w:val="009752C9"/>
    <w:rsid w:val="00975A58"/>
    <w:rsid w:val="0098464B"/>
    <w:rsid w:val="00984A59"/>
    <w:rsid w:val="00984C31"/>
    <w:rsid w:val="009876F9"/>
    <w:rsid w:val="00990B38"/>
    <w:rsid w:val="00992757"/>
    <w:rsid w:val="009935DB"/>
    <w:rsid w:val="00995B2B"/>
    <w:rsid w:val="0099689F"/>
    <w:rsid w:val="00996C52"/>
    <w:rsid w:val="00997297"/>
    <w:rsid w:val="009A2478"/>
    <w:rsid w:val="009A28E2"/>
    <w:rsid w:val="009A30F7"/>
    <w:rsid w:val="009A38E1"/>
    <w:rsid w:val="009A3D43"/>
    <w:rsid w:val="009A497A"/>
    <w:rsid w:val="009A62ED"/>
    <w:rsid w:val="009A77D7"/>
    <w:rsid w:val="009B1C72"/>
    <w:rsid w:val="009B2E23"/>
    <w:rsid w:val="009C10DE"/>
    <w:rsid w:val="009C16E5"/>
    <w:rsid w:val="009D0B1E"/>
    <w:rsid w:val="009D2184"/>
    <w:rsid w:val="009D42AB"/>
    <w:rsid w:val="009E2132"/>
    <w:rsid w:val="009E3EF8"/>
    <w:rsid w:val="009E595B"/>
    <w:rsid w:val="009E79F9"/>
    <w:rsid w:val="009F06AA"/>
    <w:rsid w:val="009F0D1A"/>
    <w:rsid w:val="009F2C6B"/>
    <w:rsid w:val="009F54F9"/>
    <w:rsid w:val="009F6914"/>
    <w:rsid w:val="009F771C"/>
    <w:rsid w:val="009F7E65"/>
    <w:rsid w:val="00A02141"/>
    <w:rsid w:val="00A06552"/>
    <w:rsid w:val="00A06D06"/>
    <w:rsid w:val="00A06FB3"/>
    <w:rsid w:val="00A1020F"/>
    <w:rsid w:val="00A13D68"/>
    <w:rsid w:val="00A146EA"/>
    <w:rsid w:val="00A14C28"/>
    <w:rsid w:val="00A15852"/>
    <w:rsid w:val="00A15884"/>
    <w:rsid w:val="00A15FAA"/>
    <w:rsid w:val="00A225F2"/>
    <w:rsid w:val="00A228BA"/>
    <w:rsid w:val="00A22B32"/>
    <w:rsid w:val="00A24733"/>
    <w:rsid w:val="00A25635"/>
    <w:rsid w:val="00A30136"/>
    <w:rsid w:val="00A30E70"/>
    <w:rsid w:val="00A32477"/>
    <w:rsid w:val="00A334D5"/>
    <w:rsid w:val="00A3352D"/>
    <w:rsid w:val="00A356A8"/>
    <w:rsid w:val="00A3633C"/>
    <w:rsid w:val="00A406C4"/>
    <w:rsid w:val="00A4186F"/>
    <w:rsid w:val="00A43763"/>
    <w:rsid w:val="00A43834"/>
    <w:rsid w:val="00A43BF6"/>
    <w:rsid w:val="00A449D7"/>
    <w:rsid w:val="00A44A1D"/>
    <w:rsid w:val="00A44A6E"/>
    <w:rsid w:val="00A456A6"/>
    <w:rsid w:val="00A46F74"/>
    <w:rsid w:val="00A50A5C"/>
    <w:rsid w:val="00A514EB"/>
    <w:rsid w:val="00A51E71"/>
    <w:rsid w:val="00A51F4E"/>
    <w:rsid w:val="00A52281"/>
    <w:rsid w:val="00A56598"/>
    <w:rsid w:val="00A57605"/>
    <w:rsid w:val="00A60F9E"/>
    <w:rsid w:val="00A61211"/>
    <w:rsid w:val="00A615B0"/>
    <w:rsid w:val="00A62382"/>
    <w:rsid w:val="00A62619"/>
    <w:rsid w:val="00A63760"/>
    <w:rsid w:val="00A64371"/>
    <w:rsid w:val="00A64E53"/>
    <w:rsid w:val="00A66F8A"/>
    <w:rsid w:val="00A70664"/>
    <w:rsid w:val="00A71B89"/>
    <w:rsid w:val="00A72101"/>
    <w:rsid w:val="00A72C1B"/>
    <w:rsid w:val="00A73FF3"/>
    <w:rsid w:val="00A76696"/>
    <w:rsid w:val="00A814EA"/>
    <w:rsid w:val="00A84599"/>
    <w:rsid w:val="00A84C99"/>
    <w:rsid w:val="00A86078"/>
    <w:rsid w:val="00A90B7F"/>
    <w:rsid w:val="00A910DD"/>
    <w:rsid w:val="00A91382"/>
    <w:rsid w:val="00A9371A"/>
    <w:rsid w:val="00A949F9"/>
    <w:rsid w:val="00AA08BA"/>
    <w:rsid w:val="00AA2B67"/>
    <w:rsid w:val="00AA31D4"/>
    <w:rsid w:val="00AA3347"/>
    <w:rsid w:val="00AA4D0E"/>
    <w:rsid w:val="00AA6B78"/>
    <w:rsid w:val="00AB1E07"/>
    <w:rsid w:val="00AC06EB"/>
    <w:rsid w:val="00AC0FA4"/>
    <w:rsid w:val="00AC4DE4"/>
    <w:rsid w:val="00AC528A"/>
    <w:rsid w:val="00AC66E7"/>
    <w:rsid w:val="00AD6971"/>
    <w:rsid w:val="00AD69EF"/>
    <w:rsid w:val="00AD73E5"/>
    <w:rsid w:val="00AE0C3E"/>
    <w:rsid w:val="00AE5032"/>
    <w:rsid w:val="00AE55C4"/>
    <w:rsid w:val="00AF7608"/>
    <w:rsid w:val="00B0324E"/>
    <w:rsid w:val="00B03FF4"/>
    <w:rsid w:val="00B057D6"/>
    <w:rsid w:val="00B05D76"/>
    <w:rsid w:val="00B07039"/>
    <w:rsid w:val="00B107EF"/>
    <w:rsid w:val="00B126C7"/>
    <w:rsid w:val="00B12771"/>
    <w:rsid w:val="00B15D4B"/>
    <w:rsid w:val="00B21C08"/>
    <w:rsid w:val="00B2218C"/>
    <w:rsid w:val="00B248F4"/>
    <w:rsid w:val="00B24E5C"/>
    <w:rsid w:val="00B2556E"/>
    <w:rsid w:val="00B25D41"/>
    <w:rsid w:val="00B26700"/>
    <w:rsid w:val="00B26E5F"/>
    <w:rsid w:val="00B276CE"/>
    <w:rsid w:val="00B30FCA"/>
    <w:rsid w:val="00B31334"/>
    <w:rsid w:val="00B33229"/>
    <w:rsid w:val="00B35446"/>
    <w:rsid w:val="00B361BA"/>
    <w:rsid w:val="00B408B0"/>
    <w:rsid w:val="00B41124"/>
    <w:rsid w:val="00B42536"/>
    <w:rsid w:val="00B4432F"/>
    <w:rsid w:val="00B45DDA"/>
    <w:rsid w:val="00B463F5"/>
    <w:rsid w:val="00B47356"/>
    <w:rsid w:val="00B520B8"/>
    <w:rsid w:val="00B532CA"/>
    <w:rsid w:val="00B53BDA"/>
    <w:rsid w:val="00B54C06"/>
    <w:rsid w:val="00B572C0"/>
    <w:rsid w:val="00B60A1C"/>
    <w:rsid w:val="00B60D42"/>
    <w:rsid w:val="00B61923"/>
    <w:rsid w:val="00B67943"/>
    <w:rsid w:val="00B67CA5"/>
    <w:rsid w:val="00B70367"/>
    <w:rsid w:val="00B71797"/>
    <w:rsid w:val="00B718D7"/>
    <w:rsid w:val="00B72AB2"/>
    <w:rsid w:val="00B7517F"/>
    <w:rsid w:val="00B75A13"/>
    <w:rsid w:val="00B774F2"/>
    <w:rsid w:val="00B80555"/>
    <w:rsid w:val="00B81144"/>
    <w:rsid w:val="00B83252"/>
    <w:rsid w:val="00B839B4"/>
    <w:rsid w:val="00B8580C"/>
    <w:rsid w:val="00B85C03"/>
    <w:rsid w:val="00B90188"/>
    <w:rsid w:val="00B909CA"/>
    <w:rsid w:val="00B95021"/>
    <w:rsid w:val="00B96828"/>
    <w:rsid w:val="00B96A37"/>
    <w:rsid w:val="00BA3AEE"/>
    <w:rsid w:val="00BA7060"/>
    <w:rsid w:val="00BA76B7"/>
    <w:rsid w:val="00BB4B5C"/>
    <w:rsid w:val="00BB6F4E"/>
    <w:rsid w:val="00BB6F6E"/>
    <w:rsid w:val="00BC1917"/>
    <w:rsid w:val="00BC56EB"/>
    <w:rsid w:val="00BC5DDE"/>
    <w:rsid w:val="00BC71E4"/>
    <w:rsid w:val="00BD085B"/>
    <w:rsid w:val="00BD08EF"/>
    <w:rsid w:val="00BD0F29"/>
    <w:rsid w:val="00BD24CC"/>
    <w:rsid w:val="00BD5C6E"/>
    <w:rsid w:val="00BD5F36"/>
    <w:rsid w:val="00BE1A67"/>
    <w:rsid w:val="00BE25EE"/>
    <w:rsid w:val="00BE66FB"/>
    <w:rsid w:val="00BE6AC3"/>
    <w:rsid w:val="00BE72C6"/>
    <w:rsid w:val="00BF1D41"/>
    <w:rsid w:val="00BF267E"/>
    <w:rsid w:val="00BF6FF7"/>
    <w:rsid w:val="00C00B5E"/>
    <w:rsid w:val="00C016D9"/>
    <w:rsid w:val="00C01A12"/>
    <w:rsid w:val="00C02634"/>
    <w:rsid w:val="00C05B59"/>
    <w:rsid w:val="00C05CEC"/>
    <w:rsid w:val="00C07D72"/>
    <w:rsid w:val="00C101E1"/>
    <w:rsid w:val="00C12B40"/>
    <w:rsid w:val="00C132A8"/>
    <w:rsid w:val="00C13A4C"/>
    <w:rsid w:val="00C15998"/>
    <w:rsid w:val="00C2107D"/>
    <w:rsid w:val="00C23D0B"/>
    <w:rsid w:val="00C2642A"/>
    <w:rsid w:val="00C27AC0"/>
    <w:rsid w:val="00C33508"/>
    <w:rsid w:val="00C347B3"/>
    <w:rsid w:val="00C35751"/>
    <w:rsid w:val="00C35D2C"/>
    <w:rsid w:val="00C409F5"/>
    <w:rsid w:val="00C4160C"/>
    <w:rsid w:val="00C42202"/>
    <w:rsid w:val="00C42AFD"/>
    <w:rsid w:val="00C42D45"/>
    <w:rsid w:val="00C43427"/>
    <w:rsid w:val="00C44A51"/>
    <w:rsid w:val="00C44C96"/>
    <w:rsid w:val="00C47677"/>
    <w:rsid w:val="00C47A49"/>
    <w:rsid w:val="00C50E5D"/>
    <w:rsid w:val="00C51E66"/>
    <w:rsid w:val="00C522AE"/>
    <w:rsid w:val="00C52795"/>
    <w:rsid w:val="00C54009"/>
    <w:rsid w:val="00C54062"/>
    <w:rsid w:val="00C54A13"/>
    <w:rsid w:val="00C54D61"/>
    <w:rsid w:val="00C57C4D"/>
    <w:rsid w:val="00C61207"/>
    <w:rsid w:val="00C64002"/>
    <w:rsid w:val="00C643ED"/>
    <w:rsid w:val="00C64AE4"/>
    <w:rsid w:val="00C659A9"/>
    <w:rsid w:val="00C65C16"/>
    <w:rsid w:val="00C672E9"/>
    <w:rsid w:val="00C67906"/>
    <w:rsid w:val="00C70DDB"/>
    <w:rsid w:val="00C7164B"/>
    <w:rsid w:val="00C723DD"/>
    <w:rsid w:val="00C724E9"/>
    <w:rsid w:val="00C731A7"/>
    <w:rsid w:val="00C75810"/>
    <w:rsid w:val="00C7747A"/>
    <w:rsid w:val="00C77B8C"/>
    <w:rsid w:val="00C82916"/>
    <w:rsid w:val="00C82F3E"/>
    <w:rsid w:val="00C91E56"/>
    <w:rsid w:val="00C92556"/>
    <w:rsid w:val="00C93177"/>
    <w:rsid w:val="00C932C3"/>
    <w:rsid w:val="00C9713D"/>
    <w:rsid w:val="00CA0ABD"/>
    <w:rsid w:val="00CA4EF3"/>
    <w:rsid w:val="00CA721F"/>
    <w:rsid w:val="00CA76C1"/>
    <w:rsid w:val="00CB0E0B"/>
    <w:rsid w:val="00CB1497"/>
    <w:rsid w:val="00CB1B18"/>
    <w:rsid w:val="00CB3B6D"/>
    <w:rsid w:val="00CB3F71"/>
    <w:rsid w:val="00CB406F"/>
    <w:rsid w:val="00CB4C9D"/>
    <w:rsid w:val="00CB7028"/>
    <w:rsid w:val="00CC0671"/>
    <w:rsid w:val="00CC119A"/>
    <w:rsid w:val="00CC18E1"/>
    <w:rsid w:val="00CC3908"/>
    <w:rsid w:val="00CC483D"/>
    <w:rsid w:val="00CC6C5B"/>
    <w:rsid w:val="00CC7545"/>
    <w:rsid w:val="00CC79FC"/>
    <w:rsid w:val="00CD02BB"/>
    <w:rsid w:val="00CD0A85"/>
    <w:rsid w:val="00CD2068"/>
    <w:rsid w:val="00CD5218"/>
    <w:rsid w:val="00CE04C1"/>
    <w:rsid w:val="00CE1841"/>
    <w:rsid w:val="00CE1BBC"/>
    <w:rsid w:val="00CE2CA9"/>
    <w:rsid w:val="00CE410D"/>
    <w:rsid w:val="00CF079D"/>
    <w:rsid w:val="00CF163D"/>
    <w:rsid w:val="00CF306D"/>
    <w:rsid w:val="00CF448B"/>
    <w:rsid w:val="00CF59EC"/>
    <w:rsid w:val="00CF5D79"/>
    <w:rsid w:val="00CF617A"/>
    <w:rsid w:val="00CF70C9"/>
    <w:rsid w:val="00CF7999"/>
    <w:rsid w:val="00CF7B52"/>
    <w:rsid w:val="00D0155F"/>
    <w:rsid w:val="00D01658"/>
    <w:rsid w:val="00D018CE"/>
    <w:rsid w:val="00D030ED"/>
    <w:rsid w:val="00D07A8A"/>
    <w:rsid w:val="00D1212F"/>
    <w:rsid w:val="00D12D44"/>
    <w:rsid w:val="00D1442F"/>
    <w:rsid w:val="00D152E7"/>
    <w:rsid w:val="00D158B5"/>
    <w:rsid w:val="00D17538"/>
    <w:rsid w:val="00D208D2"/>
    <w:rsid w:val="00D24306"/>
    <w:rsid w:val="00D26FB7"/>
    <w:rsid w:val="00D2764E"/>
    <w:rsid w:val="00D2769B"/>
    <w:rsid w:val="00D27BEC"/>
    <w:rsid w:val="00D30161"/>
    <w:rsid w:val="00D316AB"/>
    <w:rsid w:val="00D324C2"/>
    <w:rsid w:val="00D324F5"/>
    <w:rsid w:val="00D35EA7"/>
    <w:rsid w:val="00D36284"/>
    <w:rsid w:val="00D3765F"/>
    <w:rsid w:val="00D40772"/>
    <w:rsid w:val="00D47052"/>
    <w:rsid w:val="00D476CE"/>
    <w:rsid w:val="00D47767"/>
    <w:rsid w:val="00D51309"/>
    <w:rsid w:val="00D51C73"/>
    <w:rsid w:val="00D52C2A"/>
    <w:rsid w:val="00D52E85"/>
    <w:rsid w:val="00D5393C"/>
    <w:rsid w:val="00D53B99"/>
    <w:rsid w:val="00D54BF7"/>
    <w:rsid w:val="00D56191"/>
    <w:rsid w:val="00D57110"/>
    <w:rsid w:val="00D60789"/>
    <w:rsid w:val="00D62796"/>
    <w:rsid w:val="00D637B9"/>
    <w:rsid w:val="00D67582"/>
    <w:rsid w:val="00D73391"/>
    <w:rsid w:val="00D73F7C"/>
    <w:rsid w:val="00D74107"/>
    <w:rsid w:val="00D74676"/>
    <w:rsid w:val="00D7660F"/>
    <w:rsid w:val="00D77A83"/>
    <w:rsid w:val="00D77CE5"/>
    <w:rsid w:val="00D81708"/>
    <w:rsid w:val="00D81EF2"/>
    <w:rsid w:val="00D84312"/>
    <w:rsid w:val="00D84EE9"/>
    <w:rsid w:val="00D8611B"/>
    <w:rsid w:val="00D86D01"/>
    <w:rsid w:val="00D91121"/>
    <w:rsid w:val="00D940D4"/>
    <w:rsid w:val="00D94D02"/>
    <w:rsid w:val="00D95239"/>
    <w:rsid w:val="00D96842"/>
    <w:rsid w:val="00DA1320"/>
    <w:rsid w:val="00DA3797"/>
    <w:rsid w:val="00DA4ED9"/>
    <w:rsid w:val="00DA5723"/>
    <w:rsid w:val="00DA5B7E"/>
    <w:rsid w:val="00DA75D4"/>
    <w:rsid w:val="00DA774B"/>
    <w:rsid w:val="00DA7979"/>
    <w:rsid w:val="00DB1336"/>
    <w:rsid w:val="00DB457E"/>
    <w:rsid w:val="00DB5EB1"/>
    <w:rsid w:val="00DB62EC"/>
    <w:rsid w:val="00DB7730"/>
    <w:rsid w:val="00DC02E0"/>
    <w:rsid w:val="00DC1D2E"/>
    <w:rsid w:val="00DC48BE"/>
    <w:rsid w:val="00DC6E5A"/>
    <w:rsid w:val="00DD0F20"/>
    <w:rsid w:val="00DD41A9"/>
    <w:rsid w:val="00DD6184"/>
    <w:rsid w:val="00DD7153"/>
    <w:rsid w:val="00DD7633"/>
    <w:rsid w:val="00DE11AA"/>
    <w:rsid w:val="00DE2D7F"/>
    <w:rsid w:val="00DE545A"/>
    <w:rsid w:val="00DE59E0"/>
    <w:rsid w:val="00DE5CC2"/>
    <w:rsid w:val="00DE69EC"/>
    <w:rsid w:val="00DE7415"/>
    <w:rsid w:val="00DF3C12"/>
    <w:rsid w:val="00DF6E47"/>
    <w:rsid w:val="00DF76C9"/>
    <w:rsid w:val="00E02345"/>
    <w:rsid w:val="00E02C20"/>
    <w:rsid w:val="00E02F41"/>
    <w:rsid w:val="00E06103"/>
    <w:rsid w:val="00E062BA"/>
    <w:rsid w:val="00E06822"/>
    <w:rsid w:val="00E10CF1"/>
    <w:rsid w:val="00E10D16"/>
    <w:rsid w:val="00E1361D"/>
    <w:rsid w:val="00E13F64"/>
    <w:rsid w:val="00E17397"/>
    <w:rsid w:val="00E176B3"/>
    <w:rsid w:val="00E17B76"/>
    <w:rsid w:val="00E17FAF"/>
    <w:rsid w:val="00E201D9"/>
    <w:rsid w:val="00E20987"/>
    <w:rsid w:val="00E21373"/>
    <w:rsid w:val="00E2627C"/>
    <w:rsid w:val="00E32D39"/>
    <w:rsid w:val="00E33114"/>
    <w:rsid w:val="00E33470"/>
    <w:rsid w:val="00E342B4"/>
    <w:rsid w:val="00E353BB"/>
    <w:rsid w:val="00E4253C"/>
    <w:rsid w:val="00E449F3"/>
    <w:rsid w:val="00E5031A"/>
    <w:rsid w:val="00E50E57"/>
    <w:rsid w:val="00E50FF6"/>
    <w:rsid w:val="00E51D2A"/>
    <w:rsid w:val="00E51D82"/>
    <w:rsid w:val="00E53526"/>
    <w:rsid w:val="00E5543C"/>
    <w:rsid w:val="00E566EB"/>
    <w:rsid w:val="00E61295"/>
    <w:rsid w:val="00E612AB"/>
    <w:rsid w:val="00E61B95"/>
    <w:rsid w:val="00E6227C"/>
    <w:rsid w:val="00E63679"/>
    <w:rsid w:val="00E64E74"/>
    <w:rsid w:val="00E65CDE"/>
    <w:rsid w:val="00E67080"/>
    <w:rsid w:val="00E67D97"/>
    <w:rsid w:val="00E72682"/>
    <w:rsid w:val="00E73D38"/>
    <w:rsid w:val="00E75397"/>
    <w:rsid w:val="00E76645"/>
    <w:rsid w:val="00E87867"/>
    <w:rsid w:val="00E915A4"/>
    <w:rsid w:val="00E93C1F"/>
    <w:rsid w:val="00E93DBE"/>
    <w:rsid w:val="00E94370"/>
    <w:rsid w:val="00EA19DF"/>
    <w:rsid w:val="00EA3FF9"/>
    <w:rsid w:val="00EA5E53"/>
    <w:rsid w:val="00EA7017"/>
    <w:rsid w:val="00EB1070"/>
    <w:rsid w:val="00EB12DC"/>
    <w:rsid w:val="00EB1B16"/>
    <w:rsid w:val="00EB1D75"/>
    <w:rsid w:val="00EB23B6"/>
    <w:rsid w:val="00EB3756"/>
    <w:rsid w:val="00EB60EB"/>
    <w:rsid w:val="00EB6631"/>
    <w:rsid w:val="00EB7669"/>
    <w:rsid w:val="00EB7B4B"/>
    <w:rsid w:val="00EC1526"/>
    <w:rsid w:val="00EC1CFC"/>
    <w:rsid w:val="00EC296C"/>
    <w:rsid w:val="00EC2A00"/>
    <w:rsid w:val="00EC2CB3"/>
    <w:rsid w:val="00EC4341"/>
    <w:rsid w:val="00EC4830"/>
    <w:rsid w:val="00EC4E9E"/>
    <w:rsid w:val="00EC5F67"/>
    <w:rsid w:val="00ED1E39"/>
    <w:rsid w:val="00ED23AC"/>
    <w:rsid w:val="00ED294F"/>
    <w:rsid w:val="00ED2D81"/>
    <w:rsid w:val="00ED2F10"/>
    <w:rsid w:val="00ED4B6A"/>
    <w:rsid w:val="00ED4C65"/>
    <w:rsid w:val="00ED6CF1"/>
    <w:rsid w:val="00EE128B"/>
    <w:rsid w:val="00EE31B7"/>
    <w:rsid w:val="00EE6609"/>
    <w:rsid w:val="00EE74BD"/>
    <w:rsid w:val="00EE7749"/>
    <w:rsid w:val="00EE7A1F"/>
    <w:rsid w:val="00EF16DF"/>
    <w:rsid w:val="00EF1B48"/>
    <w:rsid w:val="00F0105A"/>
    <w:rsid w:val="00F01C91"/>
    <w:rsid w:val="00F04FAB"/>
    <w:rsid w:val="00F05204"/>
    <w:rsid w:val="00F067E4"/>
    <w:rsid w:val="00F114D7"/>
    <w:rsid w:val="00F12DBA"/>
    <w:rsid w:val="00F157C4"/>
    <w:rsid w:val="00F16DDE"/>
    <w:rsid w:val="00F21DAA"/>
    <w:rsid w:val="00F25870"/>
    <w:rsid w:val="00F31AAF"/>
    <w:rsid w:val="00F33995"/>
    <w:rsid w:val="00F34D2F"/>
    <w:rsid w:val="00F36007"/>
    <w:rsid w:val="00F36E76"/>
    <w:rsid w:val="00F40016"/>
    <w:rsid w:val="00F44F3E"/>
    <w:rsid w:val="00F46D01"/>
    <w:rsid w:val="00F46DEF"/>
    <w:rsid w:val="00F46EC3"/>
    <w:rsid w:val="00F47528"/>
    <w:rsid w:val="00F4773E"/>
    <w:rsid w:val="00F54896"/>
    <w:rsid w:val="00F5544C"/>
    <w:rsid w:val="00F565C7"/>
    <w:rsid w:val="00F602D2"/>
    <w:rsid w:val="00F605BB"/>
    <w:rsid w:val="00F60C6F"/>
    <w:rsid w:val="00F6117D"/>
    <w:rsid w:val="00F62529"/>
    <w:rsid w:val="00F71577"/>
    <w:rsid w:val="00F71932"/>
    <w:rsid w:val="00F72CA7"/>
    <w:rsid w:val="00F73603"/>
    <w:rsid w:val="00F7450E"/>
    <w:rsid w:val="00F77F30"/>
    <w:rsid w:val="00F800BC"/>
    <w:rsid w:val="00F83677"/>
    <w:rsid w:val="00F85A39"/>
    <w:rsid w:val="00F85B6D"/>
    <w:rsid w:val="00F86E1D"/>
    <w:rsid w:val="00F87119"/>
    <w:rsid w:val="00F87977"/>
    <w:rsid w:val="00F87F87"/>
    <w:rsid w:val="00F90B67"/>
    <w:rsid w:val="00F9149C"/>
    <w:rsid w:val="00F9757E"/>
    <w:rsid w:val="00FA12EB"/>
    <w:rsid w:val="00FA1399"/>
    <w:rsid w:val="00FA14A3"/>
    <w:rsid w:val="00FA32C3"/>
    <w:rsid w:val="00FA3392"/>
    <w:rsid w:val="00FA60C2"/>
    <w:rsid w:val="00FA61EF"/>
    <w:rsid w:val="00FB1444"/>
    <w:rsid w:val="00FB18E0"/>
    <w:rsid w:val="00FB200E"/>
    <w:rsid w:val="00FB2264"/>
    <w:rsid w:val="00FB3D5F"/>
    <w:rsid w:val="00FB5B9B"/>
    <w:rsid w:val="00FB5D06"/>
    <w:rsid w:val="00FB5ECB"/>
    <w:rsid w:val="00FC2C94"/>
    <w:rsid w:val="00FC2F30"/>
    <w:rsid w:val="00FC33E2"/>
    <w:rsid w:val="00FC3978"/>
    <w:rsid w:val="00FD2428"/>
    <w:rsid w:val="00FD47EA"/>
    <w:rsid w:val="00FD5D68"/>
    <w:rsid w:val="00FD6294"/>
    <w:rsid w:val="00FD7441"/>
    <w:rsid w:val="00FD7AD4"/>
    <w:rsid w:val="00FE0F95"/>
    <w:rsid w:val="00FE169D"/>
    <w:rsid w:val="00FE1817"/>
    <w:rsid w:val="00FE2BCD"/>
    <w:rsid w:val="00FE56FA"/>
    <w:rsid w:val="00FF14D7"/>
    <w:rsid w:val="00FF2460"/>
    <w:rsid w:val="00FF630C"/>
    <w:rsid w:val="00FF6448"/>
    <w:rsid w:val="00FF6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DDFB"/>
  <w15:chartTrackingRefBased/>
  <w15:docId w15:val="{AA90EA57-F66C-416C-BAB6-5D220C18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30"/>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506E61"/>
    <w:pPr>
      <w:keepNext/>
      <w:spacing w:before="240" w:after="60"/>
      <w:outlineLvl w:val="1"/>
    </w:pPr>
    <w:rPr>
      <w:rFonts w:ascii="Calibri Light" w:eastAsia="Times New Roman" w:hAnsi="Calibri Light"/>
      <w:b/>
      <w:bCs/>
      <w:i/>
      <w:iCs/>
      <w:sz w:val="28"/>
      <w:szCs w:val="28"/>
    </w:rPr>
  </w:style>
  <w:style w:type="paragraph" w:styleId="Heading4">
    <w:name w:val="heading 4"/>
    <w:basedOn w:val="Normal"/>
    <w:next w:val="Normal"/>
    <w:link w:val="Heading4Char"/>
    <w:qFormat/>
    <w:rsid w:val="003F4C42"/>
    <w:pPr>
      <w:keepNext/>
      <w:widowControl w:val="0"/>
      <w:tabs>
        <w:tab w:val="left" w:pos="0"/>
        <w:tab w:val="left" w:pos="1080"/>
      </w:tabs>
      <w:autoSpaceDE w:val="0"/>
      <w:autoSpaceDN w:val="0"/>
      <w:adjustRightInd w:val="0"/>
      <w:spacing w:before="120" w:after="160" w:line="264" w:lineRule="auto"/>
      <w:jc w:val="both"/>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F4C42"/>
    <w:rPr>
      <w:rFonts w:ascii="Times New Roman" w:eastAsia="Times New Roman" w:hAnsi="Times New Roman" w:cs="Times New Roman"/>
      <w:b/>
      <w:bCs/>
      <w:sz w:val="24"/>
      <w:szCs w:val="24"/>
    </w:rPr>
  </w:style>
  <w:style w:type="paragraph" w:styleId="ListParagraph">
    <w:name w:val="List Paragraph"/>
    <w:basedOn w:val="Normal"/>
    <w:uiPriority w:val="34"/>
    <w:qFormat/>
    <w:rsid w:val="003F4C42"/>
    <w:pPr>
      <w:ind w:left="720"/>
      <w:contextualSpacing/>
    </w:pPr>
  </w:style>
  <w:style w:type="paragraph" w:styleId="BodyTextIndent2">
    <w:name w:val="Body Text Indent 2"/>
    <w:basedOn w:val="Normal"/>
    <w:link w:val="BodyTextIndent2Char"/>
    <w:rsid w:val="00BA3AEE"/>
    <w:pPr>
      <w:widowControl w:val="0"/>
      <w:autoSpaceDE w:val="0"/>
      <w:autoSpaceDN w:val="0"/>
      <w:adjustRightInd w:val="0"/>
      <w:spacing w:before="120" w:after="160" w:line="264" w:lineRule="auto"/>
      <w:ind w:left="720"/>
      <w:jc w:val="both"/>
    </w:pPr>
    <w:rPr>
      <w:rFonts w:ascii="Times New Roman" w:eastAsia="Times New Roman" w:hAnsi="Times New Roman"/>
      <w:sz w:val="24"/>
      <w:szCs w:val="24"/>
    </w:rPr>
  </w:style>
  <w:style w:type="character" w:customStyle="1" w:styleId="BodyTextIndent2Char">
    <w:name w:val="Body Text Indent 2 Char"/>
    <w:link w:val="BodyTextIndent2"/>
    <w:rsid w:val="00BA3AEE"/>
    <w:rPr>
      <w:rFonts w:ascii="Times New Roman" w:eastAsia="Times New Roman" w:hAnsi="Times New Roman" w:cs="Times New Roman"/>
      <w:sz w:val="24"/>
      <w:szCs w:val="24"/>
    </w:rPr>
  </w:style>
  <w:style w:type="character" w:styleId="Hyperlink">
    <w:name w:val="Hyperlink"/>
    <w:rsid w:val="00BA3AEE"/>
    <w:rPr>
      <w:color w:val="0000FF"/>
      <w:u w:val="single"/>
    </w:rPr>
  </w:style>
  <w:style w:type="paragraph" w:customStyle="1" w:styleId="a">
    <w:name w:val="_"/>
    <w:basedOn w:val="Normal"/>
    <w:rsid w:val="00BA3AEE"/>
    <w:pPr>
      <w:widowControl w:val="0"/>
      <w:autoSpaceDE w:val="0"/>
      <w:autoSpaceDN w:val="0"/>
      <w:adjustRightInd w:val="0"/>
      <w:spacing w:before="120" w:after="160" w:line="264" w:lineRule="auto"/>
      <w:ind w:left="720" w:hanging="720"/>
      <w:jc w:val="both"/>
    </w:pPr>
    <w:rPr>
      <w:rFonts w:ascii="Times New Roman" w:eastAsia="Times New Roman" w:hAnsi="Times New Roman"/>
      <w:sz w:val="24"/>
      <w:szCs w:val="24"/>
    </w:rPr>
  </w:style>
  <w:style w:type="paragraph" w:styleId="BalloonText">
    <w:name w:val="Balloon Text"/>
    <w:basedOn w:val="Normal"/>
    <w:semiHidden/>
    <w:rsid w:val="00602AC8"/>
    <w:rPr>
      <w:rFonts w:ascii="Tahoma" w:hAnsi="Tahoma" w:cs="Tahoma"/>
      <w:sz w:val="16"/>
      <w:szCs w:val="16"/>
    </w:rPr>
  </w:style>
  <w:style w:type="character" w:styleId="CommentReference">
    <w:name w:val="annotation reference"/>
    <w:semiHidden/>
    <w:rsid w:val="00602AC8"/>
    <w:rPr>
      <w:sz w:val="16"/>
      <w:szCs w:val="16"/>
    </w:rPr>
  </w:style>
  <w:style w:type="paragraph" w:styleId="CommentText">
    <w:name w:val="annotation text"/>
    <w:basedOn w:val="Normal"/>
    <w:semiHidden/>
    <w:rsid w:val="00602AC8"/>
    <w:rPr>
      <w:sz w:val="20"/>
      <w:szCs w:val="20"/>
    </w:rPr>
  </w:style>
  <w:style w:type="paragraph" w:styleId="CommentSubject">
    <w:name w:val="annotation subject"/>
    <w:basedOn w:val="CommentText"/>
    <w:next w:val="CommentText"/>
    <w:semiHidden/>
    <w:rsid w:val="00602AC8"/>
    <w:rPr>
      <w:b/>
      <w:bCs/>
    </w:rPr>
  </w:style>
  <w:style w:type="paragraph" w:styleId="Header">
    <w:name w:val="header"/>
    <w:basedOn w:val="Normal"/>
    <w:link w:val="HeaderChar"/>
    <w:uiPriority w:val="99"/>
    <w:unhideWhenUsed/>
    <w:rsid w:val="009E2132"/>
    <w:pPr>
      <w:tabs>
        <w:tab w:val="center" w:pos="4680"/>
        <w:tab w:val="right" w:pos="9360"/>
      </w:tabs>
    </w:pPr>
  </w:style>
  <w:style w:type="character" w:customStyle="1" w:styleId="HeaderChar">
    <w:name w:val="Header Char"/>
    <w:link w:val="Header"/>
    <w:uiPriority w:val="99"/>
    <w:rsid w:val="009E2132"/>
    <w:rPr>
      <w:sz w:val="22"/>
      <w:szCs w:val="22"/>
    </w:rPr>
  </w:style>
  <w:style w:type="paragraph" w:styleId="Footer">
    <w:name w:val="footer"/>
    <w:basedOn w:val="Normal"/>
    <w:link w:val="FooterChar"/>
    <w:uiPriority w:val="99"/>
    <w:unhideWhenUsed/>
    <w:rsid w:val="009E2132"/>
    <w:pPr>
      <w:tabs>
        <w:tab w:val="center" w:pos="4680"/>
        <w:tab w:val="right" w:pos="9360"/>
      </w:tabs>
    </w:pPr>
  </w:style>
  <w:style w:type="character" w:customStyle="1" w:styleId="FooterChar">
    <w:name w:val="Footer Char"/>
    <w:link w:val="Footer"/>
    <w:uiPriority w:val="99"/>
    <w:rsid w:val="009E2132"/>
    <w:rPr>
      <w:sz w:val="22"/>
      <w:szCs w:val="22"/>
    </w:rPr>
  </w:style>
  <w:style w:type="character" w:customStyle="1" w:styleId="Heading2Char">
    <w:name w:val="Heading 2 Char"/>
    <w:link w:val="Heading2"/>
    <w:uiPriority w:val="9"/>
    <w:semiHidden/>
    <w:rsid w:val="00506E61"/>
    <w:rPr>
      <w:rFonts w:ascii="Calibri Light" w:eastAsia="Times New Roman" w:hAnsi="Calibri Light" w:cs="Times New Roman"/>
      <w:b/>
      <w:bCs/>
      <w:i/>
      <w:iCs/>
      <w:sz w:val="28"/>
      <w:szCs w:val="28"/>
    </w:rPr>
  </w:style>
  <w:style w:type="character" w:styleId="UnresolvedMention">
    <w:name w:val="Unresolved Mention"/>
    <w:basedOn w:val="DefaultParagraphFont"/>
    <w:uiPriority w:val="99"/>
    <w:semiHidden/>
    <w:unhideWhenUsed/>
    <w:rsid w:val="00583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31115">
      <w:bodyDiv w:val="1"/>
      <w:marLeft w:val="0"/>
      <w:marRight w:val="0"/>
      <w:marTop w:val="0"/>
      <w:marBottom w:val="0"/>
      <w:divBdr>
        <w:top w:val="none" w:sz="0" w:space="0" w:color="auto"/>
        <w:left w:val="none" w:sz="0" w:space="0" w:color="auto"/>
        <w:bottom w:val="none" w:sz="0" w:space="0" w:color="auto"/>
        <w:right w:val="none" w:sz="0" w:space="0" w:color="auto"/>
      </w:divBdr>
    </w:div>
    <w:div w:id="160518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cfr.gov/current/title-2/subtitle-A/chapter-II/part-200/subpart-D/subject-group-ECFR031321e29ac5bbd/section-200.333" TargetMode="External"/><Relationship Id="rId18" Type="http://schemas.openxmlformats.org/officeDocument/2006/relationships/hyperlink" Target="https://www.ecfr.gov/current/title-2/subtitle-A/chapter-II/part-200/subpart-C/section-200.201"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ecfr.gov/current/title-2/subtitle-A/chapter-II/part-200/subpart-D/section-200.308" TargetMode="External"/><Relationship Id="rId17" Type="http://schemas.openxmlformats.org/officeDocument/2006/relationships/hyperlink" Target="https://www.ecfr.gov/current/title-2/subtitle-A/chapter-II/part-200/subpart-D/subject-group-ECFR031321e29ac5bbd/section-200.333" TargetMode="External"/><Relationship Id="rId2" Type="http://schemas.openxmlformats.org/officeDocument/2006/relationships/customXml" Target="../customXml/item2.xml"/><Relationship Id="rId16" Type="http://schemas.openxmlformats.org/officeDocument/2006/relationships/hyperlink" Target="https://www.ecfr.gov/current/title-2/subtitle-A/chapter-II/part-200/subpart-D/section-200.30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cfr.gov/current/title-2/subtitle-A/chapter-II/part-200/subpart-D/section-200.308" TargetMode="External"/><Relationship Id="rId5" Type="http://schemas.openxmlformats.org/officeDocument/2006/relationships/styles" Target="styles.xml"/><Relationship Id="rId15" Type="http://schemas.openxmlformats.org/officeDocument/2006/relationships/hyperlink" Target="https://partnersnet107.sharepoint.com/:f:/s/FA/EtfIPZK9WWdRh7l9DtS4pwsBjT3UCi1GtEUqHzgBEhOcrQ?e=Avlk9y" TargetMode="External"/><Relationship Id="rId10" Type="http://schemas.openxmlformats.org/officeDocument/2006/relationships/hyperlink" Target="https://www.ecfr.gov/current/title-2/subtitle-A/chapter-II/part-200/subpart-D/section-200.308"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cfr.gov/current/title-2/subtitle-A/chapter-II/part-200/subpart-C/section-20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834F1FF-5A31-4F77-8B5D-BE32F55E8837}"/>
</file>

<file path=customXml/itemProps2.xml><?xml version="1.0" encoding="utf-8"?>
<ds:datastoreItem xmlns:ds="http://schemas.openxmlformats.org/officeDocument/2006/customXml" ds:itemID="{7F9C6459-826D-4EDF-8F50-59B156B88483}">
  <ds:schemaRefs>
    <ds:schemaRef ds:uri="http://schemas.microsoft.com/sharepoint/v3/contenttype/forms"/>
  </ds:schemaRefs>
</ds:datastoreItem>
</file>

<file path=customXml/itemProps3.xml><?xml version="1.0" encoding="utf-8"?>
<ds:datastoreItem xmlns:ds="http://schemas.openxmlformats.org/officeDocument/2006/customXml" ds:itemID="{4F175873-3F2B-4566-BA0B-9EDFB1A41A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Procurement Agreement Type Table</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Agreement Type Table</dc:title>
  <dc:subject/>
  <dc:creator>Benson, Casey</dc:creator>
  <cp:keywords/>
  <dc:description/>
  <cp:lastModifiedBy>Danielle Martin</cp:lastModifiedBy>
  <cp:revision>31</cp:revision>
  <cp:lastPrinted>2009-07-14T18:15:00Z</cp:lastPrinted>
  <dcterms:created xsi:type="dcterms:W3CDTF">2022-04-11T20:26:00Z</dcterms:created>
  <dcterms:modified xsi:type="dcterms:W3CDTF">2022-04-11T23:25:00Z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