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3">
      <w:pPr>
        <w:ind w:firstLine="720"/>
        <w:jc w:val="center"/>
        <w:rPr>
          <w:rFonts w:ascii="Comfortaa" w:cs="Comfortaa" w:eastAsia="Comfortaa" w:hAnsi="Comfortaa"/>
          <w:b w:val="1"/>
          <w:color w:val="2a9d8f"/>
          <w:sz w:val="86"/>
          <w:szCs w:val="86"/>
        </w:rPr>
      </w:pPr>
      <w:r w:rsidDel="00000000" w:rsidR="00000000" w:rsidRPr="00000000">
        <w:rPr>
          <w:rFonts w:ascii="Comfortaa" w:cs="Comfortaa" w:eastAsia="Comfortaa" w:hAnsi="Comfortaa"/>
          <w:b w:val="1"/>
          <w:color w:val="2a9d8f"/>
          <w:sz w:val="86"/>
          <w:szCs w:val="86"/>
          <w:rtl w:val="0"/>
        </w:rPr>
        <w:t xml:space="preserve">AdminAIMY</w:t>
      </w:r>
    </w:p>
    <w:p w:rsidR="00000000" w:rsidDel="00000000" w:rsidP="00000000" w:rsidRDefault="00000000" w:rsidRPr="00000000" w14:paraId="00000004">
      <w:pPr>
        <w:jc w:val="center"/>
        <w:rPr>
          <w:rFonts w:ascii="Comfortaa" w:cs="Comfortaa" w:eastAsia="Comfortaa" w:hAnsi="Comfortaa"/>
          <w:b w:val="1"/>
          <w:i w:val="1"/>
          <w:color w:val="2a9d8f"/>
          <w:sz w:val="86"/>
          <w:szCs w:val="86"/>
        </w:rPr>
      </w:pPr>
      <w:r w:rsidDel="00000000" w:rsidR="00000000" w:rsidRPr="00000000">
        <w:rPr>
          <w:rFonts w:ascii="Comfortaa" w:cs="Comfortaa" w:eastAsia="Comfortaa" w:hAnsi="Comfortaa"/>
          <w:b w:val="1"/>
          <w:i w:val="1"/>
          <w:color w:val="2a9d8f"/>
          <w:sz w:val="86"/>
          <w:szCs w:val="86"/>
          <w:rtl w:val="0"/>
        </w:rPr>
        <w:t xml:space="preserve">Présentation Client</w:t>
      </w:r>
    </w:p>
    <w:p w:rsidR="00000000" w:rsidDel="00000000" w:rsidP="00000000" w:rsidRDefault="00000000" w:rsidRPr="00000000" w14:paraId="00000005">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7">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A">
      <w:pPr>
        <w:jc w:val="center"/>
        <w:rPr>
          <w:rFonts w:ascii="Comfortaa" w:cs="Comfortaa" w:eastAsia="Comfortaa" w:hAnsi="Comfortaa"/>
          <w:i w:val="1"/>
          <w:sz w:val="86"/>
          <w:szCs w:val="86"/>
        </w:rPr>
      </w:pPr>
      <w:r w:rsidDel="00000000" w:rsidR="00000000" w:rsidRPr="00000000">
        <w:rPr>
          <w:rtl w:val="0"/>
        </w:rPr>
      </w:r>
    </w:p>
    <w:p w:rsidR="00000000" w:rsidDel="00000000" w:rsidP="00000000" w:rsidRDefault="00000000" w:rsidRPr="00000000" w14:paraId="0000000B">
      <w:pPr>
        <w:rPr>
          <w:sz w:val="28"/>
          <w:szCs w:val="28"/>
          <w:shd w:fill="ead1dc" w:val="clea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DOCUMENTATION TECHNIQUE</w:t>
      </w:r>
    </w:p>
    <w:p w:rsidR="00000000" w:rsidDel="00000000" w:rsidP="00000000" w:rsidRDefault="00000000" w:rsidRPr="00000000" w14:paraId="0000000D">
      <w:pPr>
        <w:rPr>
          <w:sz w:val="20"/>
          <w:szCs w:val="20"/>
        </w:rPr>
      </w:pPr>
      <w:r w:rsidDel="00000000" w:rsidR="00000000" w:rsidRPr="00000000">
        <w:rPr>
          <w:sz w:val="20"/>
          <w:szCs w:val="20"/>
          <w:rtl w:val="0"/>
        </w:rPr>
        <w:t xml:space="preserve">Taileb Mélissa, Yousra Maktal, Imene Elghemrani, EL JRAOUI Asmaa</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ind w:left="4320" w:firstLine="720"/>
        <w:rPr>
          <w:sz w:val="20"/>
          <w:szCs w:val="20"/>
        </w:rPr>
      </w:pPr>
      <w:r w:rsidDel="00000000" w:rsidR="00000000" w:rsidRPr="00000000">
        <w:rPr>
          <w:sz w:val="20"/>
          <w:szCs w:val="20"/>
          <w:rtl w:val="0"/>
        </w:rPr>
        <w:t xml:space="preserve">AIMY (Site Web) - Présentation clients</w:t>
      </w:r>
    </w:p>
    <w:p w:rsidR="00000000" w:rsidDel="00000000" w:rsidP="00000000" w:rsidRDefault="00000000" w:rsidRPr="00000000" w14:paraId="00000010">
      <w:pPr>
        <w:ind w:left="4320" w:firstLine="720"/>
        <w:rPr>
          <w:sz w:val="20"/>
          <w:szCs w:val="20"/>
        </w:rPr>
      </w:pPr>
      <w:r w:rsidDel="00000000" w:rsidR="00000000" w:rsidRPr="00000000">
        <w:rPr>
          <w:rtl w:val="0"/>
        </w:rPr>
      </w:r>
    </w:p>
    <w:p w:rsidR="00000000" w:rsidDel="00000000" w:rsidP="00000000" w:rsidRDefault="00000000" w:rsidRPr="00000000" w14:paraId="00000011">
      <w:pPr>
        <w:ind w:left="4320" w:firstLine="72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b w:val="1"/>
          <w:color w:val="2a9d8f"/>
          <w:sz w:val="28"/>
          <w:szCs w:val="28"/>
          <w:u w:val="single"/>
        </w:rPr>
      </w:pPr>
      <w:r w:rsidDel="00000000" w:rsidR="00000000" w:rsidRPr="00000000">
        <w:rPr>
          <w:rFonts w:ascii="Georgia" w:cs="Georgia" w:eastAsia="Georgia" w:hAnsi="Georgia"/>
          <w:b w:val="1"/>
          <w:color w:val="2a9d8f"/>
          <w:sz w:val="28"/>
          <w:szCs w:val="28"/>
          <w:u w:val="single"/>
          <w:rtl w:val="0"/>
        </w:rPr>
        <w:t xml:space="preserve">Présentation du client projet  AIMY</w:t>
      </w:r>
    </w:p>
    <w:p w:rsidR="00000000" w:rsidDel="00000000" w:rsidP="00000000" w:rsidRDefault="00000000" w:rsidRPr="00000000" w14:paraId="00000014">
      <w:pPr>
        <w:rPr>
          <w:rFonts w:ascii="Georgia" w:cs="Georgia" w:eastAsia="Georgia" w:hAnsi="Georgia"/>
          <w:color w:val="38761d"/>
          <w:sz w:val="28"/>
          <w:szCs w:val="28"/>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Dans le cadre de la dématérialisation des outils de gestion du milieu médical, la caisse sociale souhaite disposer d’une application de gestion des rendez-vous avec des praticiens. </w:t>
      </w:r>
    </w:p>
    <w:p w:rsidR="00000000" w:rsidDel="00000000" w:rsidP="00000000" w:rsidRDefault="00000000" w:rsidRPr="00000000" w14:paraId="00000016">
      <w:pPr>
        <w:rPr>
          <w:sz w:val="24"/>
          <w:szCs w:val="24"/>
        </w:rPr>
      </w:pPr>
      <w:r w:rsidDel="00000000" w:rsidR="00000000" w:rsidRPr="00000000">
        <w:rPr>
          <w:sz w:val="24"/>
          <w:szCs w:val="24"/>
          <w:rtl w:val="0"/>
        </w:rPr>
        <w:t xml:space="preserve">Lié à la santé et exerçant une mission de service public en France. Elle assure les relations de proximité avec les ayants droit de la Caisse nationale d'assurance maladie (CNAM). Dans les départements et régions d’outre-mer (DROM), la CPAM est gérée par la caisse générale de sécurité sociale (CGSS)</w:t>
      </w:r>
    </w:p>
    <w:p w:rsidR="00000000" w:rsidDel="00000000" w:rsidP="00000000" w:rsidRDefault="00000000" w:rsidRPr="00000000" w14:paraId="00000017">
      <w:pPr>
        <w:rPr>
          <w:sz w:val="24"/>
          <w:szCs w:val="24"/>
        </w:rPr>
      </w:pPr>
      <w:r w:rsidDel="00000000" w:rsidR="00000000" w:rsidRPr="00000000">
        <w:rPr>
          <w:sz w:val="24"/>
          <w:szCs w:val="24"/>
          <w:rtl w:val="0"/>
        </w:rPr>
        <w:t xml:space="preserve">La caisse primaire d’assurance maladie (CPAM), souhaite mettre en place un site de ecommerce pour y vendre et y louer des rendez-vous dématérialisés. L’application contribue à simplifier, à dématérialiser et numériser la prise de rendez-vous et à améliorer la qualité du service rendu aux usagers. Elle propose aux clients la prise de rendez-vous médicaux dématérialisés dans un espace privé en ligne.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 client souhaite une application plus spécifiquement chargée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d’assurer la cohérence des services proposés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de proposer une stratégie de modernisation et de piloter les projets stratégiques d’infrastructure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d’assurer en cible la supervision de l’ensemble des réseaux, centres hospitaliers et médecins du territoire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d’assurer l’urbanisation technique, la conception et l’évolution des réseaux médicaux dans le respect des engagements de qualité</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de délivrer les services d’hébergement nécessaires au bon fonctionnement des systèmes d’information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d’assurer l’exploitation des systèmes non développés directement par la caisse sociale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 de piloter la relation avec les nécessiteux et centres médicaux et d’en contrôler l’offre de services.</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