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Syne-bold.ttf" ContentType="application/x-font-ttf"/>
  <Override PartName="/word/fonts/Sy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60" w:after="240"/>
      </w:pPr>
      <w:r>
        <w:rPr>
          <w:rFonts w:ascii="Syne" w:hAnsi="Syne"/>
          <w:b/>
          <w:color w:val="000000"/>
          <w:sz w:val="44"/>
        </w:rPr>
        <w:t>ACCORD DE NON-DIVULGATION</w:t>
      </w:r>
    </w:p>
    <w:p>
      <w:pPr>
        <w:spacing w:before="0" w:after="280"/>
      </w:pPr>
      <w:r>
        <w:rPr>
          <w:color w:val="666666"/>
        </w:rPr>
        <w:t>Référence : NDA-20260528-ARTINCELL-00001   ·   Date d'émission : 28/05/2026   ·   Document confidentiel</w:t>
      </w:r>
    </w:p>
    <w:p>
      <w:pPr>
        <w:spacing w:before="0" w:after="280"/>
        <w:jc w:val="both"/>
      </w:pPr>
      <w:r>
        <w:rPr>
          <w:i/>
          <w:color w:val="666666"/>
        </w:rPr>
        <w:t>Le présent Accord de Non-Divulgation (« l'Accord ») encadre les échanges d'informations confidentielles dans le cadre des discussions précontractuelles entre les Parties. Il est conclu à titre mutuel : chaque Partie peut être à la fois Partie Divulgatrice et Partie Réceptrice.</w:t>
      </w:r>
    </w:p>
    <w:p>
      <w:pPr>
        <w:keepNext/>
        <w:spacing w:before="280" w:after="160"/>
      </w:pPr>
      <w:r>
        <w:rPr>
          <w:rFonts w:ascii="Syne" w:hAnsi="Syne"/>
          <w:b/>
          <w:color w:val="000000"/>
          <w:sz w:val="30"/>
        </w:rPr>
        <w:t>Parties</w:t>
      </w:r>
    </w:p>
    <w:tbl>
      <w:tblPr>
        <w:tblStyle w:val="Table1"/>
        <w:tblW w:type="auto" w:w="0"/>
        <w:tblLook w:firstColumn="1" w:firstRow="1" w:lastColumn="0" w:lastRow="0" w:noHBand="0" w:noVBand="1" w:val="04A0"/>
      </w:tblPr>
      <w:tblGrid>
        <w:gridCol w:w="9638"/>
      </w:tblGrid>
      <w:tr>
        <w:tc>
          <w:tcPr>
            <w:tcW w:type="dxa" w:w="9638"/>
            <w:shd w:val="clear" w:color="auto" w:fill="F8F8F8"/>
          </w:tcPr>
          <w:p>
            <w:pPr>
              <w:spacing w:before="0" w:after="40"/>
            </w:pPr>
            <w:r>
              <w:rPr>
                <w:b/>
                <w:sz w:val="19"/>
              </w:rPr>
              <w:t>Partie A — Lucid-Lab (le Prestataire)</w:t>
            </w:r>
          </w:p>
          <w:p>
            <w:pPr>
              <w:spacing w:before="0" w:after="20"/>
            </w:pPr>
            <w:r>
              <w:t>Lucid-Lab, Société par actions simplifiée (SAS) au capital de 999 euros,</w:t>
            </w:r>
          </w:p>
          <w:p>
            <w:pPr>
              <w:spacing w:before="0" w:after="20"/>
            </w:pPr>
            <w:r>
              <w:t>Siège social : 47 rue Vivienne, 75002 Paris, France</w:t>
            </w:r>
          </w:p>
          <w:p>
            <w:pPr>
              <w:spacing w:before="0" w:after="20"/>
            </w:pPr>
            <w:r>
              <w:t>RCS Paris n° 104 672 050  ·  TVA FR 02 104 672 050</w:t>
            </w:r>
          </w:p>
          <w:p>
            <w:pPr>
              <w:spacing w:before="0" w:after="20"/>
            </w:pPr>
            <w:r>
              <w:t>Représentée par son Président, Periscope-X SARL,</w:t>
            </w:r>
          </w:p>
          <w:p>
            <w:pPr>
              <w:spacing w:before="0" w:after="20"/>
            </w:pPr>
            <w:r>
              <w:t>elle-même représentée par M. Anthony Poirier, dûment habilité.</w:t>
            </w:r>
          </w:p>
        </w:tc>
      </w:tr>
    </w:tbl>
    <w:p>
      <w:pPr>
        <w:spacing w:after="80"/>
      </w:pPr>
    </w:p>
    <w:tbl>
      <w:tblPr>
        <w:tblStyle w:val="Table1"/>
        <w:tblW w:type="auto" w:w="0"/>
        <w:tblLook w:firstColumn="1" w:firstRow="1" w:lastColumn="0" w:lastRow="0" w:noHBand="0" w:noVBand="1" w:val="04A0"/>
      </w:tblPr>
      <w:tblGrid>
        <w:gridCol w:w="9638"/>
      </w:tblGrid>
      <w:tr>
        <w:tc>
          <w:tcPr>
            <w:tcW w:type="dxa" w:w="9638"/>
            <w:shd w:val="clear" w:color="auto" w:fill="F8F8F8"/>
          </w:tcPr>
          <w:p>
            <w:pPr>
              <w:spacing w:before="0" w:after="40"/>
            </w:pPr>
            <w:r>
              <w:rPr>
                <w:b/>
                <w:sz w:val="19"/>
              </w:rPr>
              <w:t>Partie B — Le Client / Destinataire</w:t>
            </w:r>
          </w:p>
          <w:p>
            <w:pPr>
              <w:spacing w:before="0" w:after="20"/>
            </w:pPr>
            <w:r>
              <w:t>Société : Artincell</w:t>
            </w:r>
          </w:p>
          <w:p>
            <w:pPr>
              <w:spacing w:before="0" w:after="20"/>
            </w:pPr>
            <w:r>
              <w:t>Adresse : artincell.com</w:t>
            </w:r>
          </w:p>
          <w:p>
            <w:pPr>
              <w:spacing w:before="0" w:after="20"/>
            </w:pPr>
            <w:r>
              <w:t>SIRET / N° d'immatriculation : À compléter / To be completed</w:t>
            </w:r>
          </w:p>
          <w:p>
            <w:pPr>
              <w:spacing w:before="0" w:after="20"/>
            </w:pPr>
            <w:r>
              <w:t>Représentée par : David Guzman, en qualité de Directeur Général / CEO</w:t>
            </w:r>
          </w:p>
          <w:p>
            <w:pPr>
              <w:spacing w:before="0" w:after="20"/>
            </w:pPr>
            <w:r>
              <w:t>E-mail : david@artincell.com</w:t>
            </w:r>
          </w:p>
        </w:tc>
      </w:tr>
    </w:tbl>
    <w:p>
      <w:pPr>
        <w:spacing w:after="80"/>
      </w:pPr>
    </w:p>
    <w:p>
      <w:pPr>
        <w:spacing w:before="0" w:after="80"/>
        <w:jc w:val="both"/>
      </w:pPr>
      <w:r>
        <w:t>Ensemble dénommées les « Parties ».</w:t>
      </w:r>
    </w:p>
    <w:p>
      <w:pPr>
        <w:keepNext/>
        <w:spacing w:before="280" w:after="160"/>
      </w:pPr>
      <w:r>
        <w:rPr>
          <w:rFonts w:ascii="Syne" w:hAnsi="Syne"/>
          <w:b/>
          <w:color w:val="000000"/>
          <w:sz w:val="30"/>
        </w:rPr>
        <w:t>Article 1 — Objet et contexte</w:t>
      </w:r>
    </w:p>
    <w:p>
      <w:pPr>
        <w:spacing w:before="0" w:after="80"/>
        <w:jc w:val="both"/>
      </w:pPr>
      <w:r>
        <w:t>Le présent Accord définit les conditions dans lesquelles les Parties s'engagent à protéger la confidentialité des informations échangées dans le cadre des discussions précontractuelles relatives à :</w:t>
      </w:r>
    </w:p>
    <w:tbl>
      <w:tblPr>
        <w:tblStyle w:val="Table1"/>
        <w:tblW w:type="auto" w:w="0"/>
        <w:tblLook w:firstColumn="1" w:firstRow="1" w:lastColumn="0" w:lastRow="0" w:noHBand="0" w:noVBand="1" w:val="04A0"/>
      </w:tblPr>
      <w:tblGrid>
        <w:gridCol w:w="9638"/>
      </w:tblGrid>
      <w:tr>
        <w:tc>
          <w:tcPr>
            <w:tcW w:type="dxa" w:w="9638"/>
          </w:tcPr>
          <w:p>
            <w:pPr>
              <w:spacing w:before="40" w:after="40"/>
              <w:jc w:val="both"/>
            </w:pPr>
            <w:r>
              <w:rPr>
                <w:i/>
              </w:rPr>
              <w:t>Intégration de solutions d'intelligence artificielle pour l'expansion commerciale sur le marché européen — évaluation d'alternatives pour les fonctionnalités de suggested orders (XTE Chain), de détection de ventes perdues et de chat fournisseur.</w:t>
              <w:br/>
              <w:br/>
              <w:t>Integration of artificial intelligence solutions for European market expansion — evaluation of alternatives for suggested orders (XTE Chain), lost sales detection, and vendor chat features.</w:t>
            </w:r>
          </w:p>
        </w:tc>
      </w:tr>
    </w:tbl>
    <w:p>
      <w:pPr>
        <w:spacing w:after="80"/>
      </w:pPr>
    </w:p>
    <w:p>
      <w:pPr>
        <w:spacing w:before="0" w:after="80"/>
        <w:jc w:val="both"/>
      </w:pPr>
      <w:r>
        <w:t>Ces discussions peuvent inclure sans s'y limiter : échanges techniques, démonstrations, propositions commerciales, audits de systèmes existants, accès à des données d'exploitation ou à toute autre information sensible.</w:t>
      </w:r>
    </w:p>
    <w:p>
      <w:pPr>
        <w:keepNext/>
        <w:spacing w:before="280" w:after="160"/>
      </w:pPr>
      <w:r>
        <w:rPr>
          <w:rFonts w:ascii="Syne" w:hAnsi="Syne"/>
          <w:b/>
          <w:color w:val="000000"/>
          <w:sz w:val="30"/>
        </w:rPr>
        <w:t>Article 2 — Définition des Informations Confidentielles</w:t>
      </w:r>
    </w:p>
    <w:p>
      <w:pPr>
        <w:spacing w:before="0" w:after="80"/>
        <w:jc w:val="both"/>
      </w:pPr>
      <w:r>
        <w:t>Constituent des « Informations Confidentielles » toutes les informations, quelle qu'en soit la forme (orale, écrite, électronique, visuelle), communiquées par une Partie (la « Partie Divulgatrice ») à l'autre (la « Partie Réceptrice »), y compris notamment :</w:t>
      </w:r>
    </w:p>
    <w:p>
      <w:pPr>
        <w:spacing w:before="0" w:after="40"/>
      </w:pPr>
      <w:r>
        <w:t>•  les architectures techniques, codes sources, algorithmes propriétaires et configurations logicielles ;</w:t>
      </w:r>
    </w:p>
    <w:p>
      <w:pPr>
        <w:spacing w:before="0" w:after="40"/>
      </w:pPr>
      <w:r>
        <w:t>•  les modèles d'IA, prompts système, données d'entraînement, architectures d'agents et intégrations ;</w:t>
      </w:r>
    </w:p>
    <w:p>
      <w:pPr>
        <w:spacing w:before="0" w:after="40"/>
      </w:pPr>
      <w:r>
        <w:t>•  les données commerciales, financières, tarifaires, stratégiques et secrets d'affaires ;</w:t>
      </w:r>
    </w:p>
    <w:p>
      <w:pPr>
        <w:spacing w:before="0" w:after="40"/>
      </w:pPr>
      <w:r>
        <w:t>•  les processus métier, cahiers des charges, spécifications fonctionnelles et techniques ;</w:t>
      </w:r>
    </w:p>
    <w:p>
      <w:pPr>
        <w:spacing w:before="0" w:after="40"/>
      </w:pPr>
      <w:r>
        <w:t>•  les accès, identifiants, clés API, tokens et systèmes d'authentification ;</w:t>
      </w:r>
    </w:p>
    <w:p>
      <w:pPr>
        <w:spacing w:before="0" w:after="40"/>
      </w:pPr>
      <w:r>
        <w:t>•  les informations relatives aux fournisseurs, partenaires, clients et prospects ;</w:t>
      </w:r>
    </w:p>
    <w:p>
      <w:pPr>
        <w:spacing w:before="0" w:after="40"/>
      </w:pPr>
      <w:r>
        <w:t>•  toute information désignée comme confidentielle ou dont la nature confidentielle est raisonnablement évidente.</w:t>
      </w:r>
    </w:p>
    <w:p>
      <w:pPr>
        <w:keepNext/>
        <w:spacing w:before="280" w:after="160"/>
      </w:pPr>
      <w:r>
        <w:rPr>
          <w:rFonts w:ascii="Syne" w:hAnsi="Syne"/>
          <w:b/>
          <w:color w:val="000000"/>
          <w:sz w:val="30"/>
        </w:rPr>
        <w:t>Article 3 — Obligations des Parties</w:t>
      </w:r>
    </w:p>
    <w:p>
      <w:pPr>
        <w:spacing w:before="0" w:after="80"/>
        <w:jc w:val="both"/>
      </w:pPr>
      <w:r>
        <w:t>Chaque Partie Réceptrice s'engage à :</w:t>
      </w:r>
    </w:p>
    <w:p>
      <w:pPr>
        <w:spacing w:before="0" w:after="40"/>
      </w:pPr>
      <w:r>
        <w:t>•  traiter les Informations Confidentielles avec le même niveau de protection que ses propres informations confidentielles, et au minimum avec une diligence raisonnable ;</w:t>
      </w:r>
    </w:p>
    <w:p>
      <w:pPr>
        <w:spacing w:before="0" w:after="40"/>
      </w:pPr>
      <w:r>
        <w:t>•  ne pas divulguer les Informations Confidentielles à des tiers sans accord écrit préalable de la Partie Divulgatrice ;</w:t>
      </w:r>
    </w:p>
    <w:p>
      <w:pPr>
        <w:spacing w:before="0" w:after="40"/>
      </w:pPr>
      <w:r>
        <w:t>•  n'utiliser les Informations Confidentielles qu'aux seules fins des discussions précontractuelles visées à l'Article 1 ;</w:t>
      </w:r>
    </w:p>
    <w:p>
      <w:pPr>
        <w:spacing w:before="0" w:after="40"/>
      </w:pPr>
      <w:r>
        <w:t>•  limiter l'accès aux seules personnes ayant besoin d'en connaître, soumises à des obligations équivalentes ;</w:t>
      </w:r>
    </w:p>
    <w:p>
      <w:pPr>
        <w:spacing w:before="0" w:after="40"/>
      </w:pPr>
      <w:r>
        <w:t>•  informer sans délai la Partie Divulgatrice en cas de divulgation non autorisée, même accidentelle.</w:t>
      </w:r>
    </w:p>
    <w:p>
      <w:pPr>
        <w:keepNext/>
        <w:spacing w:before="280" w:after="160"/>
      </w:pPr>
      <w:r>
        <w:rPr>
          <w:rFonts w:ascii="Syne" w:hAnsi="Syne"/>
          <w:b/>
          <w:color w:val="000000"/>
          <w:sz w:val="30"/>
        </w:rPr>
        <w:t>Article 4 — Responsabilité pour les tiers et partenaires</w:t>
      </w:r>
    </w:p>
    <w:p>
      <w:pPr>
        <w:spacing w:before="0" w:after="80"/>
        <w:jc w:val="both"/>
      </w:pPr>
      <w:r>
        <w:t>La Partie Réceptrice s'assure que ses partenaires, consultants, sous-traitants et filiales qui accèdent aux Informations Confidentielles sont liés par des obligations de confidentialité au moins aussi restrictives que celles du présent Accord.</w:t>
      </w:r>
    </w:p>
    <w:p>
      <w:pPr>
        <w:spacing w:before="0" w:after="80"/>
        <w:jc w:val="both"/>
      </w:pPr>
      <w:r>
        <w:rPr>
          <w:b/>
        </w:rPr>
        <w:t>La Partie Réceptrice est strictement et solidairement responsable de tout manquement au présent Accord commis par ses partenaires, consultants ou filiales</w:t>
      </w:r>
      <w:r>
        <w:rPr>
          <w:b w:val="0"/>
        </w:rPr>
        <w:t>, comme si ce manquement était de son propre fait.</w:t>
      </w:r>
    </w:p>
    <w:p>
      <w:pPr>
        <w:keepNext/>
        <w:spacing w:before="280" w:after="160"/>
      </w:pPr>
      <w:r>
        <w:rPr>
          <w:rFonts w:ascii="Syne" w:hAnsi="Syne"/>
          <w:b/>
          <w:color w:val="000000"/>
          <w:sz w:val="30"/>
        </w:rPr>
        <w:t>Article 5 — Informations non confidentielles (Exclusions)</w:t>
      </w:r>
    </w:p>
    <w:p>
      <w:pPr>
        <w:spacing w:before="0" w:after="80"/>
        <w:jc w:val="both"/>
      </w:pPr>
      <w:r>
        <w:t>Les obligations de l'Article 3 ne s'appliquent pas aux informations dont la Partie Réceptrice démontre :</w:t>
      </w:r>
    </w:p>
    <w:p>
      <w:pPr>
        <w:spacing w:before="0" w:after="40"/>
      </w:pPr>
      <w:r>
        <w:t>•  qu'elles étaient dans le domaine public au moment de leur communication, ou qu'elles y sont tombées sans faute de sa part ;</w:t>
      </w:r>
    </w:p>
    <w:p>
      <w:pPr>
        <w:spacing w:before="0" w:after="40"/>
      </w:pPr>
      <w:r>
        <w:t>•  qu'elles lui étaient déjà connues avant la communication par la Partie Divulgatrice ;</w:t>
      </w:r>
    </w:p>
    <w:p>
      <w:pPr>
        <w:spacing w:before="0" w:after="40"/>
      </w:pPr>
      <w:r>
        <w:t>•  qu'elles ont été développées indépendamment, sans recours aux Informations Confidentielles ;</w:t>
      </w:r>
    </w:p>
    <w:p>
      <w:pPr>
        <w:spacing w:before="0" w:after="40"/>
      </w:pPr>
      <w:r>
        <w:t>•  qu'elles ont été légalement obtenues d'un tiers sans obligation de confidentialité ;</w:t>
      </w:r>
    </w:p>
    <w:p>
      <w:pPr>
        <w:spacing w:before="0" w:after="40"/>
      </w:pPr>
      <w:r>
        <w:t>•  que leur divulgation est requise par une obligation légale ou judiciaire — dans ce cas, la Partie Réceptrice en informe préalablement la Partie Divulgatrice et limite la divulgation au strict nécessaire.</w:t>
      </w:r>
    </w:p>
    <w:p>
      <w:pPr>
        <w:keepNext/>
        <w:spacing w:before="280" w:after="160"/>
      </w:pPr>
      <w:r>
        <w:rPr>
          <w:rFonts w:ascii="Syne" w:hAnsi="Syne"/>
          <w:b/>
          <w:color w:val="000000"/>
          <w:sz w:val="30"/>
        </w:rPr>
        <w:t>Article 6 — Durée</w:t>
      </w:r>
    </w:p>
    <w:p>
      <w:pPr>
        <w:spacing w:before="0" w:after="80"/>
        <w:jc w:val="both"/>
      </w:pPr>
      <w:r>
        <w:t>Le présent Accord entre en vigueur à sa signature et reste en vigueur pendant 5 ans à compter de la dernière divulgation d'Informations Confidentielles, sauf résiliation anticipée par accord écrit. Les obligations relatives aux informations constituant des secrets d'affaires au sens de la loi n° 2018-670 du 30 juillet 2018 survivent à l'expiration du présent Accord pour une durée indéfinie.</w:t>
      </w:r>
    </w:p>
    <w:p>
      <w:pPr>
        <w:keepNext/>
        <w:spacing w:before="280" w:after="160"/>
      </w:pPr>
      <w:r>
        <w:rPr>
          <w:rFonts w:ascii="Syne" w:hAnsi="Syne"/>
          <w:b/>
          <w:color w:val="000000"/>
          <w:sz w:val="30"/>
        </w:rPr>
        <w:t>Article 7 — Pénalités et dommages-intérêts</w:t>
      </w:r>
    </w:p>
    <w:p>
      <w:pPr>
        <w:spacing w:before="0" w:after="80"/>
        <w:jc w:val="both"/>
      </w:pPr>
      <w:r>
        <w:t>Les Parties reconnaissent que toute violation du présent Accord causerait à la Partie Divulgatrice un préjudice irréparable pour lequel les seuls dommages-intérêts compensatoires pourraient être insuffisants.</w:t>
      </w:r>
    </w:p>
    <w:tbl>
      <w:tblPr>
        <w:tblStyle w:val="Table1"/>
        <w:tblW w:type="auto" w:w="0"/>
        <w:tblLook w:firstColumn="1" w:firstRow="1" w:lastColumn="0" w:lastRow="0" w:noHBand="0" w:noVBand="1" w:val="04A0"/>
      </w:tblPr>
      <w:tblGrid>
        <w:gridCol w:w="9638"/>
      </w:tblGrid>
      <w:tr>
        <w:tc>
          <w:tcPr>
            <w:tcW w:type="dxa" w:w="9638"/>
            <w:shd w:val="clear" w:color="auto" w:fill="FDF6F2"/>
            <w:tcBorders>
              <w:top w:val="single" w:sz="4" w:color="D0D0D0"/>
              <w:left w:val="thick" w:sz="18" w:color="C85E1A"/>
              <w:bottom w:val="single" w:sz="4" w:color="D0D0D0"/>
              <w:right w:val="single" w:sz="4" w:color="D0D0D0"/>
            </w:tcBorders>
          </w:tcPr>
          <w:p>
            <w:pPr>
              <w:spacing w:before="0" w:after="40"/>
              <w:jc w:val="both"/>
            </w:pPr>
            <w:r>
              <w:rPr>
                <w:b w:val="0"/>
                <w:color w:val="000000"/>
                <w:sz w:val="18"/>
              </w:rPr>
              <w:t>En cas de violation avérée du présent Accord, la Partie contrevenante s'engage à payer à la Partie lésée :</w:t>
            </w:r>
          </w:p>
          <w:p>
            <w:pPr>
              <w:spacing w:before="0" w:after="40"/>
              <w:jc w:val="both"/>
            </w:pPr>
            <w:r>
              <w:rPr>
                <w:b/>
                <w:color w:val="C85E1A"/>
                <w:sz w:val="24"/>
              </w:rPr>
              <w:t>250 000 € (deux cent cinquante mille euros) par violation constatée</w:t>
            </w:r>
          </w:p>
          <w:p>
            <w:pPr>
              <w:spacing w:before="0" w:after="40"/>
              <w:jc w:val="both"/>
            </w:pPr>
            <w:r>
              <w:rPr>
                <w:b w:val="0"/>
                <w:color w:val="000000"/>
                <w:sz w:val="18"/>
              </w:rPr>
              <w:t>à titre de clause pénale au sens de l'article 1231-5 du Code civil, sans préjudice du droit de la Partie lésée à réclamer une compensation supplémentaire pour les pertes réelles excédant ce montant, ainsi que toute mesure d'injonction ou de référé.</w:t>
            </w:r>
          </w:p>
        </w:tc>
      </w:tr>
    </w:tbl>
    <w:p>
      <w:pPr>
        <w:spacing w:after="80"/>
      </w:pPr>
    </w:p>
    <w:p>
      <w:pPr>
        <w:spacing w:before="0" w:after="80"/>
        <w:jc w:val="both"/>
      </w:pPr>
      <w:r>
        <w:t>Le paiement de cette pénalité ne dispense pas la Partie contrevenante de ses obligations au titre du présent Accord.</w:t>
      </w:r>
    </w:p>
    <w:p>
      <w:pPr>
        <w:keepNext/>
        <w:spacing w:before="280" w:after="160"/>
      </w:pPr>
      <w:r>
        <w:rPr>
          <w:rFonts w:ascii="Syne" w:hAnsi="Syne"/>
          <w:b/>
          <w:color w:val="000000"/>
          <w:sz w:val="30"/>
        </w:rPr>
        <w:t>Article 8 — Non-sollicitation et non-contournement</w:t>
      </w:r>
    </w:p>
    <w:p>
      <w:pPr>
        <w:spacing w:before="0" w:after="80"/>
        <w:jc w:val="both"/>
      </w:pPr>
      <w:r>
        <w:t>Pendant la durée du présent Accord et les vingt-quatre (24) mois suivant son terme, chaque Partie s'interdit de débaucher tout collaborateur ou sous-traitant de l'autre Partie ayant participé aux discussions, et de contacter directement les fournisseurs, partenaires ou prospects dont l'identité aurait été révélée dans le cadre de ces discussions. La violation entraîne une indemnité forfaitaire de 20 000 € par infraction, sans préjudice du recours à l'Article 7.</w:t>
      </w:r>
    </w:p>
    <w:p>
      <w:pPr>
        <w:keepNext/>
        <w:spacing w:before="280" w:after="160"/>
      </w:pPr>
      <w:r>
        <w:rPr>
          <w:rFonts w:ascii="Syne" w:hAnsi="Syne"/>
          <w:b/>
          <w:color w:val="000000"/>
          <w:sz w:val="30"/>
        </w:rPr>
        <w:t>Article 9 — Propriété des Informations Confidentielles</w:t>
      </w:r>
    </w:p>
    <w:p>
      <w:pPr>
        <w:spacing w:before="0" w:after="80"/>
        <w:jc w:val="both"/>
      </w:pPr>
      <w:r>
        <w:t>Le présent Accord ne confère à la Partie Réceptrice aucun droit de propriété intellectuelle, aucune licence, ni aucun autre droit sur les Informations Confidentielles. Toutes les Informations Confidentielles demeurent la propriété exclusive de la Partie Divulgatrice.</w:t>
      </w:r>
    </w:p>
    <w:p>
      <w:pPr>
        <w:keepNext/>
        <w:spacing w:before="280" w:after="160"/>
      </w:pPr>
      <w:r>
        <w:rPr>
          <w:rFonts w:ascii="Syne" w:hAnsi="Syne"/>
          <w:b/>
          <w:color w:val="000000"/>
          <w:sz w:val="30"/>
        </w:rPr>
        <w:t>Article 10 — Retour et destruction des informations</w:t>
      </w:r>
    </w:p>
    <w:p>
      <w:pPr>
        <w:spacing w:before="0" w:after="80"/>
        <w:jc w:val="both"/>
      </w:pPr>
      <w:r>
        <w:t>À la demande écrite de la Partie Divulgatrice, ou à l'expiration de l'Accord sans conclusion d'un contrat de prestation, la Partie Réceptrice restituera ou détruira tous supports contenant des Informations Confidentielles et certifiera par écrit cette exécution dans un délai de quinze (15) jours ouvrés.</w:t>
      </w:r>
    </w:p>
    <w:p>
      <w:pPr>
        <w:keepNext/>
        <w:spacing w:before="280" w:after="160"/>
      </w:pPr>
      <w:r>
        <w:rPr>
          <w:rFonts w:ascii="Syne" w:hAnsi="Syne"/>
          <w:b/>
          <w:color w:val="000000"/>
          <w:sz w:val="30"/>
        </w:rPr>
        <w:t>Article 11 — Protection des données personnelles</w:t>
      </w:r>
    </w:p>
    <w:p>
      <w:pPr>
        <w:spacing w:before="0" w:after="80"/>
        <w:jc w:val="both"/>
      </w:pPr>
      <w:r>
        <w:t>Si des données à caractère personnel sont communiquées dans le cadre des discussions, chaque Partie s'engage à les traiter conformément au RGPD (UE) 2016/679 et à la loi Informatique et Libertés modifiée, aux seules fins nécessaires aux discussions visées à l'Article 1.</w:t>
      </w:r>
    </w:p>
    <w:p>
      <w:pPr>
        <w:keepNext/>
        <w:spacing w:before="280" w:after="160"/>
      </w:pPr>
      <w:r>
        <w:rPr>
          <w:rFonts w:ascii="Syne" w:hAnsi="Syne"/>
          <w:b/>
          <w:color w:val="000000"/>
          <w:sz w:val="30"/>
        </w:rPr>
        <w:t>Article 12 — Droit applicable et juridiction compétente</w:t>
      </w:r>
    </w:p>
    <w:p>
      <w:pPr>
        <w:spacing w:before="0" w:after="80"/>
        <w:jc w:val="both"/>
      </w:pPr>
      <w:r>
        <w:t>Le présent Accord est régi par le droit français. À défaut de résolution amiable dans un délai de trente (30) jours, tout litige sera soumis à la compétence exclusive du Tribunal des activités économiques de Paris.</w:t>
      </w:r>
    </w:p>
    <w:p>
      <w:pPr>
        <w:keepNext/>
        <w:spacing w:before="280" w:after="160"/>
      </w:pPr>
      <w:r>
        <w:rPr>
          <w:rFonts w:ascii="Syne" w:hAnsi="Syne"/>
          <w:b/>
          <w:color w:val="000000"/>
          <w:sz w:val="30"/>
        </w:rPr>
        <w:t>Article 13 — Stipulations diverses</w:t>
      </w:r>
    </w:p>
    <w:p>
      <w:pPr>
        <w:spacing w:before="0" w:after="80"/>
        <w:jc w:val="both"/>
      </w:pPr>
      <w:r>
        <w:t>Le présent Accord constitue l'intégralité de l'accord entre les Parties sur la confidentialité et ne constitue ni engagement à conclure un contrat de prestation, ni exclusivité de négociation. Toute modification fait l'objet d'un avenant écrit signé par les deux Parties. La nullité d'une stipulation n'affecte pas les autres.</w:t>
      </w:r>
    </w:p>
    <w:p>
      <w:pPr>
        <w:keepNext/>
        <w:spacing w:before="280" w:after="160"/>
      </w:pPr>
      <w:r>
        <w:rPr>
          <w:rFonts w:ascii="Syne" w:hAnsi="Syne"/>
          <w:b/>
          <w:color w:val="000000"/>
          <w:sz w:val="30"/>
        </w:rPr>
        <w:t>Acceptation valant signature</w:t>
      </w:r>
    </w:p>
    <w:p>
      <w:pPr>
        <w:spacing w:before="0" w:after="80"/>
        <w:jc w:val="both"/>
      </w:pPr>
      <w:r>
        <w:t>Le Client déclare avoir pris connaissance et accepter sans réserve l'intégralité des stipulations du présent Accord, y compris la clause pénale de 250 000 € par violation (Article 7).</w:t>
      </w:r>
    </w:p>
    <w:tbl>
      <w:tblPr>
        <w:tblStyle w:val="Table1"/>
        <w:tblW w:type="auto" w:w="0"/>
        <w:tblLook w:firstColumn="1" w:firstRow="1" w:lastColumn="0" w:lastRow="0" w:noHBand="0" w:noVBand="1" w:val="04A0"/>
      </w:tblPr>
      <w:tblGrid>
        <w:gridCol w:w="4819"/>
        <w:gridCol w:w="4819"/>
      </w:tblGrid>
      <w:tr>
        <w:tc>
          <w:tcPr>
            <w:tcW w:type="dxa" w:w="4819"/>
          </w:tcPr>
          <w:p>
            <w:pPr>
              <w:spacing w:before="40" w:after="40"/>
            </w:pPr>
            <w:r>
              <w:rPr>
                <w:b/>
                <w:sz w:val="19"/>
              </w:rPr>
              <w:t>Pour le Client</w:t>
            </w:r>
          </w:p>
        </w:tc>
        <w:tc>
          <w:tcPr>
            <w:tcW w:type="dxa" w:w="4819"/>
          </w:tcPr>
          <w:p>
            <w:pPr>
              <w:spacing w:before="40" w:after="40"/>
            </w:pPr>
            <w:r>
              <w:rPr>
                <w:b/>
                <w:sz w:val="19"/>
              </w:rPr>
              <w:t>Pour Lucid-Lab</w:t>
            </w:r>
          </w:p>
        </w:tc>
      </w:tr>
      <w:tr>
        <w:tc>
          <w:tcPr>
            <w:tcW w:type="dxa" w:w="4819"/>
          </w:tcPr>
          <w:p>
            <w:pPr>
              <w:spacing w:before="40" w:after="40"/>
            </w:pPr>
            <w:r>
              <w:rPr>
                <w:b w:val="0"/>
                <w:sz w:val="19"/>
              </w:rPr>
              <w:t>Date : ___________________</w:t>
            </w:r>
          </w:p>
        </w:tc>
        <w:tc>
          <w:tcPr>
            <w:tcW w:type="dxa" w:w="4819"/>
          </w:tcPr>
          <w:p>
            <w:pPr>
              <w:spacing w:before="40" w:after="40"/>
            </w:pPr>
            <w:r>
              <w:rPr>
                <w:b w:val="0"/>
                <w:sz w:val="19"/>
              </w:rPr>
              <w:t>Date : ___________________</w:t>
            </w:r>
          </w:p>
        </w:tc>
      </w:tr>
      <w:tr>
        <w:tc>
          <w:tcPr>
            <w:tcW w:type="dxa" w:w="4819"/>
          </w:tcPr>
          <w:p>
            <w:pPr>
              <w:spacing w:before="40" w:after="40"/>
            </w:pPr>
            <w:r>
              <w:rPr>
                <w:b w:val="0"/>
                <w:sz w:val="19"/>
              </w:rPr>
              <w:t>Lieu : ___________________</w:t>
            </w:r>
          </w:p>
        </w:tc>
        <w:tc>
          <w:tcPr>
            <w:tcW w:type="dxa" w:w="4819"/>
          </w:tcPr>
          <w:p>
            <w:pPr>
              <w:spacing w:before="40" w:after="40"/>
            </w:pPr>
            <w:r>
              <w:rPr>
                <w:b w:val="0"/>
                <w:sz w:val="19"/>
              </w:rPr>
              <w:t>Lieu : ___________________</w:t>
            </w:r>
          </w:p>
        </w:tc>
      </w:tr>
      <w:tr>
        <w:tc>
          <w:tcPr>
            <w:tcW w:type="dxa" w:w="4819"/>
          </w:tcPr>
          <w:p>
            <w:pPr>
              <w:spacing w:before="40" w:after="280"/>
            </w:pPr>
            <w:r>
              <w:rPr>
                <w:b w:val="0"/>
                <w:sz w:val="19"/>
              </w:rPr>
              <w:t>Nom et signature précédés de</w:t>
              <w:br/>
              <w:t>« Lu et approuvé, bon pour accord »</w:t>
              <w:br/>
              <w:br/>
              <w:br/>
              <w:t>_________________________</w:t>
            </w:r>
          </w:p>
        </w:tc>
        <w:tc>
          <w:tcPr>
            <w:tcW w:type="dxa" w:w="4819"/>
          </w:tcPr>
          <w:p>
            <w:pPr>
              <w:spacing w:before="40" w:after="280"/>
            </w:pPr>
            <w:r>
              <w:rPr>
                <w:b w:val="0"/>
                <w:sz w:val="19"/>
              </w:rPr>
              <w:t>Nom et signature précédés de</w:t>
              <w:br/>
              <w:t>« Lu et approuvé, bon pour accord »</w:t>
              <w:br/>
              <w:br/>
              <w:br/>
              <w:t>_________________________</w:t>
            </w:r>
          </w:p>
        </w:tc>
      </w:tr>
    </w:tbl>
    <w:sectPr>
      <w:headerReference r:id="rId7" w:type="default"/>
      <w:footerReference r:id="rId8" w:type="default"/>
      <w:pgSz w:h="16838" w:w="11906" w:orient="portrait"/>
      <w:pgMar w:bottom="1134" w:top="124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666666"/>
        <w:sz w:val="15"/>
        <w:szCs w:val="15"/>
        <w:u w:val="none"/>
        <w:shd w:fill="auto" w:val="clear"/>
        <w:vertAlign w:val="baseline"/>
        <w:rtl w:val="0"/>
      </w:rPr>
      <w:t>Lucid-Lab · SAS au capital de 999 € · RCS Paris 104 672 050 · TVA FR 02 104 672 050 · 47 rue Vivienne, 75002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Syne" w:cs="Syne" w:eastAsia="Syne" w:hAnsi="Syne"/>
        <w:b w:val="1"/>
        <w:bCs w:val="1"/>
        <w:i w:val="0"/>
        <w:iCs w:val="0"/>
        <w:smallCaps w:val="0"/>
        <w:strike w:val="0"/>
        <w:color w:val="000000"/>
        <w:sz w:val="26"/>
        <w:szCs w:val="26"/>
        <w:u w:val="none"/>
        <w:shd w:fill="auto" w:val="clear"/>
        <w:vertAlign w:val="baseline"/>
        <w:rtl w:val="0"/>
      </w:rPr>
      <w:t xml:space="preserve">Lucid-Lab</w:t>
    </w:r>
    <w:r w:rsidDel="00000000" w:rsidR="00000000" w:rsidRPr="00000000">
      <w:rPr>
        <w:rFonts w:ascii="Inter" w:cs="Inter" w:eastAsia="Inter" w:hAnsi="Inter"/>
        <w:b w:val="0"/>
        <w:bCs w:val="0"/>
        <w:i w:val="0"/>
        <w:iCs w:val="0"/>
        <w:smallCaps w:val="0"/>
        <w:strike w:val="0"/>
        <w:color w:val="0a0a0a"/>
        <w:sz w:val="21"/>
        <w:szCs w:val="21"/>
        <w:u w:val="none"/>
        <w:shd w:fill="auto" w:val="clear"/>
        <w:vertAlign w:val="baseline"/>
        <w:rtl w:val="0"/>
      </w:rPr>
      <w:t xml:space="preserve">    </w:t>
    </w:r>
    <w:r w:rsidDel="00000000" w:rsidR="00000000" w:rsidRPr="00000000">
      <w:rPr>
        <w:rFonts w:ascii="Inter" w:cs="Inter" w:eastAsia="Inter" w:hAnsi="Inter"/>
        <w:b w:val="0"/>
        <w:bCs w:val="0"/>
        <w:i w:val="1"/>
        <w:iCs w:val="1"/>
        <w:smallCaps w:val="0"/>
        <w:strike w:val="0"/>
        <w:color w:val="666666"/>
        <w:sz w:val="18"/>
        <w:szCs w:val="18"/>
        <w:u w:val="none"/>
        <w:shd w:fill="auto" w:val="clear"/>
        <w:vertAlign w:val="baseline"/>
        <w:rtl w:val="0"/>
      </w:rPr>
      <w:t>Accord de Non-Divulgation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-66674</wp:posOffset>
          </wp:positionV>
          <wp:extent cx="322897" cy="322897"/>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2897" cy="3228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a0a0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yne-regular.ttf"/><Relationship Id="rId6" Type="http://schemas.openxmlformats.org/officeDocument/2006/relationships/font" Target="fonts/Syn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3+wNRkqY7mtH5J6yCt+OZB9nNg==">CgMxLjA4AHIhMVFfdS0tSDBIcm1aZ2xMQW1SUFdnRWhsVEwzY1YzY2p4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