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92"/>
        <w:gridCol w:w="4592"/>
      </w:tblGrid>
      <w:tr>
        <w:tc>
          <w:tcPr>
            <w:tcW w:type="dxa" w:w="792"/>
            <w:vAlign w:val="center"/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Syne" w:hAnsi="Syne" w:cs="Syne" w:eastAsia="Syne"/>
                <w:b/>
                <w:color w:val="0A0A0A"/>
                <w:sz w:val="34"/>
              </w:rPr>
              <w:t>Lucid-Lab</w:t>
            </w:r>
          </w:p>
        </w:tc>
      </w:tr>
    </w:tbl>
    <w:p>
      <w:pPr>
        <w:spacing w:after="560"/>
      </w:pPr>
    </w:p>
    <w:p>
      <w:pPr>
        <w:spacing w:after="160"/>
      </w:pPr>
      <w:r>
        <w:rPr>
          <w:rFonts w:ascii="Inter" w:hAnsi="Inter" w:cs="Inter" w:eastAsia="Inter"/>
          <w:b/>
          <w:color w:val="555555"/>
          <w:sz w:val="17"/>
        </w:rPr>
        <w:t>PROPOSITION D'ACCOMPAGNEMENT</w:t>
      </w:r>
    </w:p>
    <w:p>
      <w:pPr>
        <w:spacing w:after="200" w:line="252" w:lineRule="auto"/>
        <w:keepNext w:val="1"/>
      </w:pPr>
      <w:r>
        <w:rPr>
          <w:rFonts w:ascii="Inter" w:hAnsi="Inter" w:cs="Inter" w:eastAsia="Inter"/>
          <w:b/>
          <w:color w:val="0A0A0A"/>
          <w:sz w:val="64"/>
        </w:rPr>
        <w:t>Sinibaldi Architecte</w:t>
      </w:r>
    </w:p>
    <w:p>
      <w:pPr>
        <w:spacing w:after="560" w:line="348" w:lineRule="auto"/>
      </w:pPr>
      <w:r>
        <w:rPr>
          <w:rFonts w:ascii="Inter" w:hAnsi="Inter" w:cs="Inter" w:eastAsia="Inter"/>
          <w:color w:val="555555"/>
          <w:sz w:val="24"/>
        </w:rPr>
        <w:t>Nouvelle page WordPress, acquisition Meta Ads et agent IA d'inspiration Instagram pour développer le service de conseil.</w:t>
      </w:r>
    </w:p>
    <w:p>
      <w:pPr>
        <w:spacing w:after="360"/>
        <w:pBdr>
          <w:bottom w:val="single" w:sz="12" w:space="1" w:color="FFB451"/>
        </w:pBdr>
      </w:pPr>
    </w:p>
    <w:p>
      <w:pPr>
        <w:spacing w:after="80"/>
      </w:pPr>
      <w:r>
        <w:rPr>
          <w:rFonts w:ascii="Inter" w:hAnsi="Inter" w:cs="Inter" w:eastAsia="Inter"/>
          <w:b/>
          <w:color w:val="555555"/>
          <w:sz w:val="16"/>
        </w:rPr>
        <w:t xml:space="preserve">CLIENT  </w:t>
      </w:r>
      <w:r>
        <w:rPr>
          <w:rFonts w:ascii="Inter" w:hAnsi="Inter" w:cs="Inter" w:eastAsia="Inter"/>
          <w:color w:val="0A0A0A"/>
          <w:sz w:val="21"/>
        </w:rPr>
        <w:t>Sinibaldi Architecte</w:t>
      </w:r>
    </w:p>
    <w:p>
      <w:pPr>
        <w:spacing w:after="80"/>
      </w:pPr>
      <w:r>
        <w:rPr>
          <w:rFonts w:ascii="Inter" w:hAnsi="Inter" w:cs="Inter" w:eastAsia="Inter"/>
          <w:b/>
          <w:color w:val="555555"/>
          <w:sz w:val="16"/>
        </w:rPr>
        <w:t xml:space="preserve">DATE  </w:t>
      </w:r>
      <w:r>
        <w:rPr>
          <w:rFonts w:ascii="Inter" w:hAnsi="Inter" w:cs="Inter" w:eastAsia="Inter"/>
          <w:color w:val="0A0A0A"/>
          <w:sz w:val="21"/>
        </w:rPr>
        <w:t>22 May 2026</w:t>
      </w:r>
    </w:p>
    <w:p>
      <w:pPr>
        <w:spacing w:after="80"/>
      </w:pPr>
      <w:r>
        <w:rPr>
          <w:rFonts w:ascii="Inter" w:hAnsi="Inter" w:cs="Inter" w:eastAsia="Inter"/>
          <w:b/>
          <w:color w:val="555555"/>
          <w:sz w:val="16"/>
        </w:rPr>
        <w:t xml:space="preserve">CONTACT  </w:t>
      </w:r>
      <w:r>
        <w:rPr>
          <w:rFonts w:ascii="Inter" w:hAnsi="Inter" w:cs="Inter" w:eastAsia="Inter"/>
          <w:color w:val="0A0A0A"/>
          <w:sz w:val="21"/>
        </w:rPr>
        <w:t>Lucid-Lab — info@lucid-lab.fr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Objectif</w:t>
      </w:r>
    </w:p>
    <w:p>
      <w:pPr>
        <w:spacing w:after="200" w:line="348" w:lineRule="auto"/>
      </w:pPr>
      <w:r>
        <w:rPr>
          <w:rFonts w:ascii="Inter" w:hAnsi="Inter" w:cs="Inter" w:eastAsia="Inter"/>
          <w:b w:val="0"/>
          <w:color w:val="0A0A0A"/>
          <w:sz w:val="21"/>
        </w:rPr>
        <w:t>Structurer l'offre de conseil, créer la page de conversion associée, puis soutenir l'acquisition et la visibilité par Meta Ads et contenu social.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Périmètre</w:t>
      </w:r>
    </w:p>
    <w:p>
      <w:pPr>
        <w:spacing w:before="280" w:after="120"/>
        <w:keepNext w:val="1"/>
      </w:pPr>
      <w:r>
        <w:rPr>
          <w:rFonts w:ascii="Inter" w:hAnsi="Inter" w:cs="Inter" w:eastAsia="Inter"/>
          <w:b/>
          <w:color w:val="0A0A0A"/>
          <w:sz w:val="22"/>
        </w:rPr>
        <w:t>Développement WordPress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Développement d'une page dédiée au service de conseil.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Intégration de la nouvelle page dans le site WordPress existant.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Mise en place d'une automatisation des posts blog.</w:t>
      </w:r>
    </w:p>
    <w:p>
      <w:pPr>
        <w:spacing w:before="280" w:after="120"/>
        <w:keepNext w:val="1"/>
      </w:pPr>
      <w:r>
        <w:rPr>
          <w:rFonts w:ascii="Inter" w:hAnsi="Inter" w:cs="Inter" w:eastAsia="Inter"/>
          <w:b/>
          <w:color w:val="0A0A0A"/>
          <w:sz w:val="22"/>
        </w:rPr>
        <w:t>Gestion Meta Ads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Gestion des campagnes Meta Ads pour promouvoir le service de conseil.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Objectif prioritaire : génération de leads et acquisition.</w:t>
      </w:r>
    </w:p>
    <w:p>
      <w:pPr>
        <w:spacing w:before="280" w:after="120"/>
        <w:keepNext w:val="1"/>
      </w:pPr>
      <w:r>
        <w:rPr>
          <w:rFonts w:ascii="Inter" w:hAnsi="Inter" w:cs="Inter" w:eastAsia="Inter"/>
          <w:b/>
          <w:color w:val="0A0A0A"/>
          <w:sz w:val="22"/>
        </w:rPr>
        <w:t>Agent IA — contenu Instagram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Agent IA proposant des idées de contenu Instagram.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Trames inspirationnelles mensuelles pour les réseaux sociaux.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Suggestions de posts et d'amélioration du contenu existant.</w:t>
      </w:r>
    </w:p>
    <w:p>
      <w:pPr>
        <w:spacing w:before="280" w:after="120"/>
        <w:keepNext w:val="1"/>
      </w:pPr>
      <w:r>
        <w:rPr>
          <w:rFonts w:ascii="Inter" w:hAnsi="Inter" w:cs="Inter" w:eastAsia="Inter"/>
          <w:b/>
          <w:color w:val="0A0A0A"/>
          <w:sz w:val="22"/>
        </w:rPr>
        <w:t>À discuter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Sujet SaaS prévu lors du prochain call, à planifier rapidement.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Calendrier</w:t>
      </w:r>
    </w:p>
    <w:p>
      <w:pPr>
        <w:spacing w:after="80"/>
      </w:pPr>
      <w:r>
        <w:rPr>
          <w:rFonts w:ascii="Inter" w:hAnsi="Inter" w:cs="Inter" w:eastAsia="Inter"/>
          <w:b/>
          <w:color w:val="0A0A0A"/>
          <w:sz w:val="21"/>
        </w:rPr>
        <w:t xml:space="preserve">Semaine 1  </w:t>
      </w:r>
      <w:r>
        <w:rPr>
          <w:rFonts w:ascii="Inter" w:hAnsi="Inter" w:cs="Inter" w:eastAsia="Inter"/>
          <w:color w:val="555555"/>
          <w:sz w:val="21"/>
        </w:rPr>
        <w:t>Cadrage de l'offre conseil et architecture de la page.</w:t>
      </w:r>
    </w:p>
    <w:p>
      <w:pPr>
        <w:spacing w:after="80"/>
      </w:pPr>
      <w:r>
        <w:rPr>
          <w:rFonts w:ascii="Inter" w:hAnsi="Inter" w:cs="Inter" w:eastAsia="Inter"/>
          <w:b/>
          <w:color w:val="0A0A0A"/>
          <w:sz w:val="21"/>
        </w:rPr>
        <w:t xml:space="preserve">Semaines 2–3  </w:t>
      </w:r>
      <w:r>
        <w:rPr>
          <w:rFonts w:ascii="Inter" w:hAnsi="Inter" w:cs="Inter" w:eastAsia="Inter"/>
          <w:color w:val="555555"/>
          <w:sz w:val="21"/>
        </w:rPr>
        <w:t>Développement WordPress, blog automation et campagnes Meta Ads.</w:t>
      </w:r>
    </w:p>
    <w:p>
      <w:pPr>
        <w:spacing w:after="80"/>
      </w:pPr>
      <w:r>
        <w:rPr>
          <w:rFonts w:ascii="Inter" w:hAnsi="Inter" w:cs="Inter" w:eastAsia="Inter"/>
          <w:b/>
          <w:color w:val="0A0A0A"/>
          <w:sz w:val="21"/>
        </w:rPr>
        <w:t xml:space="preserve">Semaine 4  </w:t>
      </w:r>
      <w:r>
        <w:rPr>
          <w:rFonts w:ascii="Inter" w:hAnsi="Inter" w:cs="Inter" w:eastAsia="Inter"/>
          <w:color w:val="555555"/>
          <w:sz w:val="21"/>
        </w:rPr>
        <w:t>Agent IA Instagram et routine de contenu mensuelle.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Investissement</w:t>
      </w:r>
    </w:p>
    <w:p>
      <w:pPr>
        <w:spacing w:after="200" w:line="348" w:lineRule="auto"/>
      </w:pPr>
      <w:r>
        <w:rPr>
          <w:rFonts w:ascii="Inter" w:hAnsi="Inter" w:cs="Inter" w:eastAsia="Inter"/>
          <w:b w:val="0"/>
          <w:color w:val="0A0A0A"/>
          <w:sz w:val="21"/>
        </w:rPr>
        <w:t>159 € HT / mois pendant 12 mois (au lieu de 269 € HT) ou 1 590 € HT en paiement unique (au lieu de 2 690 € HT).</w:t>
      </w:r>
    </w:p>
    <w:p>
      <w:pPr>
        <w:spacing w:before="36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Prochaines étapes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Donner l'accès WordPress et les éléments de positionnement du service de conseil.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Confirmer le budget publicitaire Meta Ads.</w:t>
      </w:r>
    </w:p>
    <w:p>
      <w:pPr>
        <w:pStyle w:val="ListBullet"/>
        <w:spacing w:after="60" w:line="324" w:lineRule="auto"/>
        <w:keepLines/>
      </w:pPr>
      <w:r>
        <w:rPr>
          <w:rFonts w:ascii="Inter" w:hAnsi="Inter" w:cs="Inter" w:eastAsia="Inter"/>
          <w:color w:val="0A0A0A"/>
          <w:sz w:val="21"/>
        </w:rPr>
        <w:t>Planifier le prochain call sur le sujet SaaS.</w:t>
      </w:r>
    </w:p>
    <w:p>
      <w:pPr>
        <w:spacing w:before="600" w:after="200" w:line="264" w:lineRule="auto"/>
        <w:keepNext w:val="1"/>
      </w:pPr>
      <w:r>
        <w:rPr>
          <w:rFonts w:ascii="Inter" w:hAnsi="Inter" w:cs="Inter" w:eastAsia="Inter"/>
          <w:b/>
          <w:color w:val="0A0A0A"/>
          <w:sz w:val="36"/>
        </w:rPr>
        <w:t>Validation &amp; Signatures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92"/>
        <w:gridCol w:w="4592"/>
      </w:tblGrid>
      <w:tr>
        <w:tc>
          <w:tcPr>
            <w:tcW w:type="dxa" w:w="4608"/>
          </w:tcPr>
          <w:p>
            <w:pPr>
              <w:keepLines/>
            </w:pPr>
            <w:r>
              <w:rPr>
                <w:rFonts w:ascii="Inter" w:hAnsi="Inter" w:cs="Inter" w:eastAsia="Inter"/>
                <w:b/>
                <w:color w:val="0A0A0A"/>
                <w:sz w:val="21"/>
              </w:rPr>
              <w:t>Pour Sinibaldi Architecte</w:t>
            </w:r>
          </w:p>
          <w:p>
            <w:pPr>
              <w:spacing w:before="160" w:after="720"/>
              <w:keepLines/>
            </w:pPr>
            <w:r>
              <w:rPr>
                <w:rFonts w:ascii="Inter" w:hAnsi="Inter" w:cs="Inter" w:eastAsia="Inter"/>
                <w:color w:val="555555"/>
                <w:sz w:val="21"/>
              </w:rPr>
              <w:t xml:space="preserve">Date : </w:t>
              <w:br/>
              <w:br/>
              <w:t>Signature :</w:t>
            </w:r>
          </w:p>
        </w:tc>
        <w:tc>
          <w:tcPr>
            <w:tcW w:type="dxa" w:w="4608"/>
          </w:tcPr>
          <w:p>
            <w:pPr>
              <w:keepLines/>
            </w:pPr>
            <w:r>
              <w:rPr>
                <w:rFonts w:ascii="Inter" w:hAnsi="Inter" w:cs="Inter" w:eastAsia="Inter"/>
                <w:b/>
                <w:color w:val="0A0A0A"/>
                <w:sz w:val="21"/>
              </w:rPr>
              <w:t>Pour Lucid-Lab</w:t>
            </w:r>
          </w:p>
          <w:p>
            <w:pPr>
              <w:spacing w:before="160" w:after="720"/>
              <w:keepLines/>
            </w:pPr>
            <w:r>
              <w:rPr>
                <w:rFonts w:ascii="Inter" w:hAnsi="Inter" w:cs="Inter" w:eastAsia="Inter"/>
                <w:color w:val="555555"/>
                <w:sz w:val="21"/>
              </w:rPr>
              <w:t xml:space="preserve">Date : </w:t>
              <w:br/>
              <w:br/>
              <w:t>Signature :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pgSz w:w="11906" w:h="16838"/>
      <w:pgMar w:top="1247" w:right="1361" w:bottom="1247" w:left="1361" w:header="567" w:footer="567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9000"/>
      </w:tabs>
    </w:pPr>
    <w:r>
      <w:rPr>
        <w:rFonts w:ascii="Inter" w:hAnsi="Inter" w:cs="Inter" w:eastAsia="Inter"/>
        <w:color w:val="999999"/>
        <w:sz w:val="16"/>
      </w:rPr>
      <w:t>lucid-lab.fr · info@lucid-lab.fr</w:t>
    </w:r>
    <w:r>
      <w:rPr>
        <w:rFonts w:ascii="Inter" w:hAnsi="Inter" w:cs="Inter" w:eastAsia="Inter"/>
        <w:color w:val="999999"/>
        <w:sz w:val="16"/>
      </w:rPr>
      <w:tab/>
    </w:r>
    <w:r>
      <w:rPr>
        <w:rFonts w:ascii="Inter" w:hAnsi="Inter" w:cs="Inter" w:eastAsia="Inter"/>
        <w:color w:val="999999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Inter" w:hAnsi="Inter" w:cs="Inter" w:eastAsia="Inter"/>
        <w:b/>
        <w:color w:val="0A0A0A"/>
        <w:sz w:val="18"/>
      </w:rPr>
      <w:t>Lucid-Lab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