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92"/>
        <w:gridCol w:w="4592"/>
      </w:tblGrid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Syne" w:hAnsi="Syne" w:cs="Syne" w:eastAsia="Syne"/>
                <w:b/>
                <w:color w:val="0A0A0A"/>
                <w:sz w:val="34"/>
              </w:rPr>
              <w:t>Lucid-Lab</w:t>
            </w:r>
          </w:p>
        </w:tc>
      </w:tr>
    </w:tbl>
    <w:p>
      <w:pPr>
        <w:spacing w:after="560"/>
      </w:pPr>
    </w:p>
    <w:p>
      <w:pPr>
        <w:spacing w:after="160"/>
      </w:pPr>
      <w:r>
        <w:rPr>
          <w:rFonts w:ascii="Inter" w:hAnsi="Inter" w:cs="Inter" w:eastAsia="Inter"/>
          <w:b/>
          <w:color w:val="555555"/>
          <w:sz w:val="17"/>
        </w:rPr>
        <w:t>PROPOSITION D'ACCOMPAGNEMENT</w:t>
      </w:r>
    </w:p>
    <w:p>
      <w:pPr>
        <w:spacing w:after="200" w:line="252" w:lineRule="auto"/>
        <w:keepNext w:val="1"/>
      </w:pPr>
      <w:r>
        <w:rPr>
          <w:rFonts w:ascii="Inter" w:hAnsi="Inter" w:cs="Inter" w:eastAsia="Inter"/>
          <w:b/>
          <w:color w:val="0A0A0A"/>
          <w:sz w:val="64"/>
        </w:rPr>
        <w:t>Fany Rother</w:t>
      </w:r>
    </w:p>
    <w:p>
      <w:pPr>
        <w:spacing w:after="560" w:line="348" w:lineRule="auto"/>
      </w:pPr>
      <w:r>
        <w:rPr>
          <w:rFonts w:ascii="Inter" w:hAnsi="Inter" w:cs="Inter" w:eastAsia="Inter"/>
          <w:color w:val="555555"/>
          <w:sz w:val="24"/>
        </w:rPr>
        <w:t>Bots WhatsApp et Instagram, relance avis Google et exploration des automatisations utiles au programme de coaching.</w:t>
      </w:r>
    </w:p>
    <w:p>
      <w:pPr>
        <w:spacing w:after="360"/>
        <w:pBdr>
          <w:bottom w:val="single" w:sz="12" w:space="1" w:color="FFB451"/>
        </w:pBdr>
      </w:pPr>
    </w:p>
    <w:p>
      <w:pPr>
        <w:spacing w:after="80"/>
      </w:pPr>
      <w:r>
        <w:rPr>
          <w:rFonts w:ascii="Inter" w:hAnsi="Inter" w:cs="Inter" w:eastAsia="Inter"/>
          <w:b/>
          <w:color w:val="555555"/>
          <w:sz w:val="16"/>
        </w:rPr>
        <w:t xml:space="preserve">CLIENT  </w:t>
      </w:r>
      <w:r>
        <w:rPr>
          <w:rFonts w:ascii="Inter" w:hAnsi="Inter" w:cs="Inter" w:eastAsia="Inter"/>
          <w:color w:val="0A0A0A"/>
          <w:sz w:val="21"/>
        </w:rPr>
        <w:t>Fany Rother</w:t>
      </w:r>
    </w:p>
    <w:p>
      <w:pPr>
        <w:spacing w:after="80"/>
      </w:pPr>
      <w:r>
        <w:rPr>
          <w:rFonts w:ascii="Inter" w:hAnsi="Inter" w:cs="Inter" w:eastAsia="Inter"/>
          <w:b/>
          <w:color w:val="555555"/>
          <w:sz w:val="16"/>
        </w:rPr>
        <w:t xml:space="preserve">DATE  </w:t>
      </w:r>
      <w:r>
        <w:rPr>
          <w:rFonts w:ascii="Inter" w:hAnsi="Inter" w:cs="Inter" w:eastAsia="Inter"/>
          <w:color w:val="0A0A0A"/>
          <w:sz w:val="21"/>
        </w:rPr>
        <w:t>22 May 2026</w:t>
      </w:r>
    </w:p>
    <w:p>
      <w:pPr>
        <w:spacing w:after="80"/>
      </w:pPr>
      <w:r>
        <w:rPr>
          <w:rFonts w:ascii="Inter" w:hAnsi="Inter" w:cs="Inter" w:eastAsia="Inter"/>
          <w:b/>
          <w:color w:val="555555"/>
          <w:sz w:val="16"/>
        </w:rPr>
        <w:t xml:space="preserve">CONTACT  </w:t>
      </w:r>
      <w:r>
        <w:rPr>
          <w:rFonts w:ascii="Inter" w:hAnsi="Inter" w:cs="Inter" w:eastAsia="Inter"/>
          <w:color w:val="0A0A0A"/>
          <w:sz w:val="21"/>
        </w:rPr>
        <w:t>Lucid-Lab — info@lucid-lab.fr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Objectif</w:t>
      </w:r>
    </w:p>
    <w:p>
      <w:pPr>
        <w:spacing w:after="200" w:line="348" w:lineRule="auto"/>
      </w:pPr>
      <w:r>
        <w:rPr>
          <w:rFonts w:ascii="Inter" w:hAnsi="Inter" w:cs="Inter" w:eastAsia="Inter"/>
          <w:b w:val="0"/>
          <w:color w:val="0A0A0A"/>
          <w:sz w:val="21"/>
        </w:rPr>
        <w:t>Automatiser les points de contact répétitifs pour libérer du temps, fluidifier les conversations clients et renforcer la preuve sociale via les avis Google.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Périmètre</w:t>
      </w:r>
    </w:p>
    <w:p>
      <w:pPr>
        <w:spacing w:before="280" w:after="120"/>
        <w:keepNext w:val="1"/>
      </w:pPr>
      <w:r>
        <w:rPr>
          <w:rFonts w:ascii="Inter" w:hAnsi="Inter" w:cs="Inter" w:eastAsia="Inter"/>
          <w:b/>
          <w:color w:val="0A0A0A"/>
          <w:sz w:val="22"/>
        </w:rPr>
        <w:t>Suivi et bots conversationnels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Bot WhatsApp et support pour la communauté WhatsApp.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Bot Instagram pour répondre aux clients et prospects.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Point de suivi prévu dans deux semaines.</w:t>
      </w:r>
    </w:p>
    <w:p>
      <w:pPr>
        <w:spacing w:before="280" w:after="120"/>
        <w:keepNext w:val="1"/>
      </w:pPr>
      <w:r>
        <w:rPr>
          <w:rFonts w:ascii="Inter" w:hAnsi="Inter" w:cs="Inter" w:eastAsia="Inter"/>
          <w:b/>
          <w:color w:val="0A0A0A"/>
          <w:sz w:val="22"/>
        </w:rPr>
        <w:t>Avis Google et automatisations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Configuration de la relance Google Review dans Système.io.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Cadrage des automatisations potentielles et de leurs priorités.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Garder l'humain sur les moments à forte valeur, automatiser les relances répétitives.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Calendrier</w:t>
      </w:r>
    </w:p>
    <w:p>
      <w:pPr>
        <w:spacing w:after="80"/>
      </w:pPr>
      <w:r>
        <w:rPr>
          <w:rFonts w:ascii="Inter" w:hAnsi="Inter" w:cs="Inter" w:eastAsia="Inter"/>
          <w:b/>
          <w:color w:val="0A0A0A"/>
          <w:sz w:val="21"/>
        </w:rPr>
        <w:t xml:space="preserve">Semaine 1  </w:t>
      </w:r>
      <w:r>
        <w:rPr>
          <w:rFonts w:ascii="Inter" w:hAnsi="Inter" w:cs="Inter" w:eastAsia="Inter"/>
          <w:color w:val="555555"/>
          <w:sz w:val="21"/>
        </w:rPr>
        <w:t>Cadrage des scénarios WhatsApp, Instagram et Système.io.</w:t>
      </w:r>
    </w:p>
    <w:p>
      <w:pPr>
        <w:spacing w:after="80"/>
      </w:pPr>
      <w:r>
        <w:rPr>
          <w:rFonts w:ascii="Inter" w:hAnsi="Inter" w:cs="Inter" w:eastAsia="Inter"/>
          <w:b/>
          <w:color w:val="0A0A0A"/>
          <w:sz w:val="21"/>
        </w:rPr>
        <w:t xml:space="preserve">Semaines 2–3  </w:t>
      </w:r>
      <w:r>
        <w:rPr>
          <w:rFonts w:ascii="Inter" w:hAnsi="Inter" w:cs="Inter" w:eastAsia="Inter"/>
          <w:color w:val="555555"/>
          <w:sz w:val="21"/>
        </w:rPr>
        <w:t>Configuration des bots et relance avis Google.</w:t>
      </w:r>
    </w:p>
    <w:p>
      <w:pPr>
        <w:spacing w:after="80"/>
      </w:pPr>
      <w:r>
        <w:rPr>
          <w:rFonts w:ascii="Inter" w:hAnsi="Inter" w:cs="Inter" w:eastAsia="Inter"/>
          <w:b/>
          <w:color w:val="0A0A0A"/>
          <w:sz w:val="21"/>
        </w:rPr>
        <w:t xml:space="preserve">Semaine 4  </w:t>
      </w:r>
      <w:r>
        <w:rPr>
          <w:rFonts w:ascii="Inter" w:hAnsi="Inter" w:cs="Inter" w:eastAsia="Inter"/>
          <w:color w:val="555555"/>
          <w:sz w:val="21"/>
        </w:rPr>
        <w:t>Point de suivi et priorisation des automatisations suivantes.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Investissement</w:t>
      </w:r>
    </w:p>
    <w:p>
      <w:pPr>
        <w:spacing w:after="200" w:line="348" w:lineRule="auto"/>
      </w:pPr>
      <w:r>
        <w:rPr>
          <w:rFonts w:ascii="Inter" w:hAnsi="Inter" w:cs="Inter" w:eastAsia="Inter"/>
          <w:b w:val="0"/>
          <w:color w:val="0A0A0A"/>
          <w:sz w:val="21"/>
        </w:rPr>
        <w:t>225 € HT / mois pendant 12 mois (au lieu de 260 € HT) ou 2 250 € HT en paiement unique (au lieu de 2 600 € HT).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Prochaines étapes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Confirmer les accès Système.io, WhatsApp Business et Instagram.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Lister les questions fréquentes et messages types à automatiser.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Maintenir le point de suivi dans deux semaines.</w:t>
      </w:r>
    </w:p>
    <w:p>
      <w:pPr>
        <w:spacing w:before="60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Validation &amp; Signatures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92"/>
        <w:gridCol w:w="4592"/>
      </w:tblGrid>
      <w:tr>
        <w:tc>
          <w:tcPr>
            <w:tcW w:type="dxa" w:w="4608"/>
          </w:tcPr>
          <w:p>
            <w:pPr>
              <w:keepLines/>
            </w:pPr>
            <w:r>
              <w:rPr>
                <w:rFonts w:ascii="Inter" w:hAnsi="Inter" w:cs="Inter" w:eastAsia="Inter"/>
                <w:b/>
                <w:color w:val="0A0A0A"/>
                <w:sz w:val="21"/>
              </w:rPr>
              <w:t>Pour Fany Rother</w:t>
            </w:r>
          </w:p>
          <w:p>
            <w:pPr>
              <w:spacing w:before="160" w:after="720"/>
              <w:keepLines/>
            </w:pPr>
            <w:r>
              <w:rPr>
                <w:rFonts w:ascii="Inter" w:hAnsi="Inter" w:cs="Inter" w:eastAsia="Inter"/>
                <w:color w:val="555555"/>
                <w:sz w:val="21"/>
              </w:rPr>
              <w:t xml:space="preserve">Date : </w:t>
              <w:br/>
              <w:br/>
              <w:t>Signature :</w:t>
            </w:r>
          </w:p>
        </w:tc>
        <w:tc>
          <w:tcPr>
            <w:tcW w:type="dxa" w:w="4608"/>
          </w:tcPr>
          <w:p>
            <w:pPr>
              <w:keepLines/>
            </w:pPr>
            <w:r>
              <w:rPr>
                <w:rFonts w:ascii="Inter" w:hAnsi="Inter" w:cs="Inter" w:eastAsia="Inter"/>
                <w:b/>
                <w:color w:val="0A0A0A"/>
                <w:sz w:val="21"/>
              </w:rPr>
              <w:t>Pour Lucid-Lab</w:t>
            </w:r>
          </w:p>
          <w:p>
            <w:pPr>
              <w:spacing w:before="160" w:after="720"/>
              <w:keepLines/>
            </w:pPr>
            <w:r>
              <w:rPr>
                <w:rFonts w:ascii="Inter" w:hAnsi="Inter" w:cs="Inter" w:eastAsia="Inter"/>
                <w:color w:val="555555"/>
                <w:sz w:val="21"/>
              </w:rPr>
              <w:t xml:space="preserve">Date : </w:t>
              <w:br/>
              <w:br/>
              <w:t>Signature :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footerReference w:type="default" r:id="rId11"/>
      <w:pgSz w:w="11906" w:h="16838"/>
      <w:pgMar w:top="1247" w:right="1361" w:bottom="1247" w:left="1361" w:header="567" w:footer="567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right" w:pos="9000"/>
      </w:tabs>
    </w:pPr>
    <w:r>
      <w:rPr>
        <w:rFonts w:ascii="Inter" w:hAnsi="Inter" w:cs="Inter" w:eastAsia="Inter"/>
        <w:color w:val="999999"/>
        <w:sz w:val="16"/>
      </w:rPr>
      <w:t>lucid-lab.fr · info@lucid-lab.fr</w:t>
    </w:r>
    <w:r>
      <w:rPr>
        <w:rFonts w:ascii="Inter" w:hAnsi="Inter" w:cs="Inter" w:eastAsia="Inter"/>
        <w:color w:val="999999"/>
        <w:sz w:val="16"/>
      </w:rPr>
      <w:tab/>
    </w:r>
    <w:r>
      <w:rPr>
        <w:rFonts w:ascii="Inter" w:hAnsi="Inter" w:cs="Inter" w:eastAsia="Inter"/>
        <w:color w:val="999999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Inter" w:hAnsi="Inter" w:cs="Inter" w:eastAsia="Inter"/>
        <w:b/>
        <w:color w:val="0A0A0A"/>
        <w:sz w:val="18"/>
      </w:rPr>
      <w:t>Lucid-Lab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