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828D" w14:textId="77777777" w:rsidR="00965D8D" w:rsidRDefault="00000000">
      <w:pPr>
        <w:keepNext/>
        <w:spacing w:before="360" w:after="240"/>
        <w:rPr>
          <w:rFonts w:hint="eastAsia"/>
        </w:rPr>
      </w:pPr>
      <w:r>
        <w:rPr>
          <w:rFonts w:ascii="Syne" w:eastAsia="Syne" w:hAnsi="Syne" w:cs="Syne"/>
          <w:b/>
          <w:color w:val="000000"/>
          <w:sz w:val="44"/>
        </w:rPr>
        <w:t>PROPOSITION COMMERCIALE VALANT BON DE COMMANDE</w:t>
      </w:r>
    </w:p>
    <w:p w14:paraId="02FD1D2A" w14:textId="77777777" w:rsidR="00965D8D" w:rsidRDefault="00000000">
      <w:pPr>
        <w:spacing w:line="300" w:lineRule="auto"/>
        <w:jc w:val="both"/>
        <w:rPr>
          <w:rFonts w:hint="eastAsia"/>
        </w:rPr>
      </w:pPr>
      <w:r>
        <w:rPr>
          <w:rFonts w:eastAsia="Inter"/>
          <w:i/>
          <w:color w:val="666666"/>
        </w:rPr>
        <w:t>Référence : PROP-2026-009   ·   Date d'émission : 22/05/2026   ·   Valable 30 jours</w:t>
      </w:r>
    </w:p>
    <w:p w14:paraId="435481BD" w14:textId="77777777" w:rsidR="00965D8D" w:rsidRDefault="00000000">
      <w:pPr>
        <w:spacing w:after="280" w:line="300" w:lineRule="auto"/>
        <w:rPr>
          <w:rFonts w:hint="eastAsia"/>
        </w:rPr>
      </w:pPr>
      <w:r>
        <w:rPr>
          <w:rFonts w:eastAsia="Inter"/>
          <w:i/>
          <w:color w:val="666666"/>
        </w:rPr>
        <w:t>La signature de la présente Proposition par le Client vaut acceptation pleine et entière de l'offre, formation du Contrat et engagement ferme de payer aux conditions ci-dessous.</w:t>
      </w:r>
    </w:p>
    <w:p w14:paraId="1C021352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Parties</w:t>
      </w:r>
    </w:p>
    <w:p w14:paraId="16ABEB3C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 xml:space="preserve">Le Prestataire — </w:t>
      </w:r>
      <w:r>
        <w:rPr>
          <w:rFonts w:eastAsia="Inter"/>
        </w:rPr>
        <w:t>Lucid-Lab, Société par actions simplifiée (SAS) au capital de 999 euros, siège social : 47 rue Vivienne, 75002 Paris, France, immatriculée au 104 672 050 R.C.S. Paris, numéro de TVA intracommunautaire FR 02 104 672 050, représentée par son Président, Periscope-X SARL, elle-même représentée par Monsieur Anthony Poirier dûment habilité.</w:t>
      </w:r>
    </w:p>
    <w:p w14:paraId="5C6C2A59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3CA17219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Le Client — Sophia Kanouni, BSP 37, dont le siège social est situé Route du Coutureau, « Le Coudray », 37120 Lémeré, France, immatriculée sous le numéro SIRET [À COMPLÉTER], représentée par Sophia Kanouni en qualité de Gérante.</w:t>
      </w:r>
      <w:r>
        <w:rPr>
          <w:rFonts w:eastAsia="Inter"/>
        </w:rPr>
      </w:r>
    </w:p>
    <w:p w14:paraId="18A2F3CA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Objet et périmètre de la prestation</w:t>
      </w:r>
    </w:p>
    <w:p w14:paraId="3E6F4388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Intitulé</w:t>
      </w:r>
      <w:r>
        <w:rPr>
          <w:rFonts w:eastAsia="Inter"/>
        </w:rPr>
        <w:t xml:space="preserve"> : Refonte du site web bsp37.com, acquisition Meta Ads pour l'activité film solaire et installation du système IA Claude + Obsidian..</w:t>
      </w:r>
    </w:p>
    <w:p w14:paraId="4D7E8642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Description synthétique</w:t>
      </w:r>
      <w:r>
        <w:rPr>
          <w:rFonts w:eastAsia="Inter"/>
        </w:rPr>
        <w:t xml:space="preserve"> : Refonte complète du site bsp37.com (remplacement du site Wix) avec intégration du catalogue produits, galerie de réalisations et formulaires de contact, maintenance mensuelle incluse ; création et gestion des campagnes Meta Ads (Facebook / Instagram) pour générer des leads qualifiés sur l'activité d'installation de film solaire, avec landing page dédiée, production de vidéos courtes et suivi des leads ; installation du système IA Claude + Obsidian sur la machine de Sophia pour centraliser la connaissance opérationnelle de BSP 37..</w:t>
      </w:r>
    </w:p>
    <w:p w14:paraId="09F16141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Livrables attendus</w:t>
      </w:r>
      <w:r>
        <w:rPr>
          <w:rFonts w:eastAsia="Inter"/>
        </w:rPr>
        <w:t xml:space="preserve"> :</w:t>
      </w:r>
    </w:p>
    <w:p w14:paraId="0C2CB4D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Site web bsp37.com refait : catalogue, galerie, formulaires, déploiement + maintenance mensuelle incluse.</w:t>
      </w:r>
    </w:p>
    <w:p w14:paraId="2A222E64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Campagnes Meta Ads film solaire : compte Ads, landing page, gestion mensuelle, reporting et suivi leads.</w:t>
      </w:r>
    </w:p>
    <w:p w14:paraId="7C5A7217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Système IA Claude + Obsidian installé et configuré : vault BSP 37, ingestion initiale, guides Lucid-Lab + formation.</w:t>
      </w:r>
    </w:p>
    <w:p w14:paraId="34D7CC4D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55C567AF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Calendrier indicatif</w:t>
      </w:r>
      <w:r>
        <w:rPr>
          <w:rFonts w:eastAsia="Inter"/>
        </w:rPr>
        <w:t xml:space="preserve"> : démarrage à compter du 22/05/2026 sous réserve de la signature du présent Bon de Commande et de la réception du premier paiement.</w:t>
      </w:r>
    </w:p>
    <w:p w14:paraId="112789E1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financières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28AF72B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4E14665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HT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156595F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3 440,00 € (500 € setup + 12 × 245,00 €)</w:t>
            </w:r>
          </w:p>
        </w:tc>
      </w:tr>
      <w:tr w:rsidR="00965D8D" w14:paraId="23DD584E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6DCFE0B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TVA (20 %)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AEBD1D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688,00 €</w:t>
            </w:r>
          </w:p>
        </w:tc>
      </w:tr>
      <w:tr w:rsidR="00965D8D" w14:paraId="4B2D8373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D917B3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Prix TTC total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130760C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4 128,00 € (hors vidéos et commission performance)</w:t>
            </w:r>
          </w:p>
        </w:tc>
      </w:tr>
      <w:tr w:rsidR="00965D8D" w14:paraId="16668692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C18AB7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Modalité retenue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977DD03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☑ Setup IA Claude + Obsidian — 500,00 € HT / 600,00 € TTC — versement unique avant démarrage</w:t>
              <w:br/>
              <w:t>☑ Abonnement 12 mois — 245,00 € HT / 294,00 € TTC / mois (site web + gestion Meta Ads)</w:t>
              <w:br/>
              <w:t>☐ Vidéos Reels/Stories — 150,00 € HT / 180,00 € TTC / vidéo, à la commande</w:t>
              <w:br/>
              <w:t>☐ Commission performance — 2 % HT sur devis signés issus des leads Meta Ads</w:t>
            </w:r>
          </w:p>
        </w:tc>
      </w:tr>
      <w:tr w:rsidR="00965D8D" w14:paraId="025DDFB0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764557A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Échéancier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D402F27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600,00 € TTC à la signature + 294,00 € TTC × 12 mois</w:t>
            </w:r>
          </w:p>
        </w:tc>
      </w:tr>
    </w:tbl>
    <w:p w14:paraId="665B015B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4C4FF68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Moyen de paiement</w:t>
      </w:r>
      <w:r>
        <w:rPr>
          <w:rFonts w:eastAsia="Inter"/>
        </w:rPr>
        <w:t xml:space="preserve"> : virement SEPA exclusivement, sur le compte ci-après.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65D8D" w14:paraId="40DAD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32B143D4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lastRenderedPageBreak/>
              <w:t>Titulaire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583EAF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Lucid-Lab</w:t>
            </w:r>
          </w:p>
        </w:tc>
      </w:tr>
      <w:tr w:rsidR="00965D8D" w14:paraId="78C126FC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6764AAE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IBAN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231BB37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FR76 1732 8844 0043 2662 8862 178</w:t>
            </w:r>
          </w:p>
        </w:tc>
      </w:tr>
      <w:tr w:rsidR="00965D8D" w14:paraId="1343DB6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5017F52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BIC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457E2450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SWNBFR22</w:t>
            </w:r>
          </w:p>
        </w:tc>
      </w:tr>
      <w:tr w:rsidR="00965D8D" w14:paraId="0BB5702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2D446C5D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Banque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34FDE7E1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Swan</w:t>
            </w:r>
          </w:p>
        </w:tc>
      </w:tr>
      <w:tr w:rsidR="00965D8D" w14:paraId="548C48D5" w14:textId="77777777">
        <w:tc>
          <w:tcPr>
            <w:tcW w:w="2835" w:type="dxa"/>
            <w:tcBorders>
              <w:bottom w:val="single" w:sz="4" w:space="0" w:color="DDDDDD"/>
            </w:tcBorders>
          </w:tcPr>
          <w:p w14:paraId="4A9BE0E8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b/>
                <w:color w:val="000000"/>
                <w:sz w:val="19"/>
              </w:rPr>
              <w:t>Référence à indiquer</w:t>
            </w:r>
          </w:p>
        </w:tc>
        <w:tc>
          <w:tcPr>
            <w:tcW w:w="6236" w:type="dxa"/>
            <w:tcBorders>
              <w:bottom w:val="single" w:sz="4" w:space="0" w:color="DDDDDD"/>
            </w:tcBorders>
          </w:tcPr>
          <w:p w14:paraId="590FF73A" w14:textId="77777777" w:rsidR="00965D8D" w:rsidRDefault="00000000">
            <w:pPr>
              <w:spacing w:after="40"/>
              <w:rPr>
                <w:rFonts w:hint="eastAsia"/>
              </w:rPr>
            </w:pPr>
            <w:r>
              <w:rPr>
                <w:rFonts w:eastAsia="Inter"/>
                <w:sz w:val="20"/>
              </w:rPr>
              <w:t>BC-2026-009 / BSP 37 — Sophia Kanouni</w:t>
            </w:r>
          </w:p>
        </w:tc>
      </w:tr>
    </w:tbl>
    <w:p w14:paraId="24D2E846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Pénalités de retard et frais de recouvrement</w:t>
      </w:r>
    </w:p>
    <w:p w14:paraId="4A25978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Conformément à l'article 6 des Conditions Générales de Vente, tout retard de paiement entraîne de plein droit, dès le jour suivant la date d'exigibilité, l'application :</w:t>
      </w:r>
    </w:p>
    <w:p w14:paraId="1F33D9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d'intérêts moratoires au taux de la BCE majoré de 10 points (≈14,5 %/an à la date des présentes), conformément à l'article L. 441-10 du Code de commerce ;</w:t>
      </w:r>
    </w:p>
    <w:p w14:paraId="231AF05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légale de quarante (40) euros pour frais de recouvrement (article D. 441-5 du Code de commerce) ;</w:t>
      </w:r>
    </w:p>
    <w:p w14:paraId="5B81FB10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d'une indemnité forfaitaire contractuelle de deux cent cinquante (250) euros par facture en retard, à titre de clause pénale couvrant les frais administratifs internes de traitement du retard.</w:t>
      </w:r>
    </w:p>
    <w:p w14:paraId="248972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Ces trois pénalités sont </w:t>
      </w:r>
      <w:r>
        <w:rPr>
          <w:rFonts w:eastAsia="Inter"/>
          <w:b/>
        </w:rPr>
        <w:t>cumulables</w:t>
      </w:r>
      <w:r>
        <w:rPr>
          <w:rFonts w:eastAsia="Inter"/>
        </w:rPr>
        <w:t>. En cas de retard supérieur à dix (10) jours, Lucid-Lab pourra suspendre l'exécution des Prestations et, pour la modalité mensuelle 12 mois, prononcer la déchéance du terme.</w:t>
      </w:r>
    </w:p>
    <w:p w14:paraId="47E8288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Conditions Générales de Vente</w:t>
      </w:r>
    </w:p>
    <w:p w14:paraId="30675613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 xml:space="preserve">Le présent Bon de Commande est régi par les </w:t>
      </w:r>
      <w:r>
        <w:rPr>
          <w:rFonts w:eastAsia="Inter"/>
          <w:b/>
        </w:rPr>
        <w:t>Conditions Générales de Vente de Lucid-Lab — Version 1.0</w:t>
      </w:r>
      <w:r>
        <w:rPr>
          <w:rFonts w:eastAsia="Inter"/>
        </w:rPr>
        <w:t xml:space="preserve">, en vigueur au 15 mai 2026, accessibles à l'adresse </w:t>
      </w:r>
      <w:r>
        <w:rPr>
          <w:rFonts w:eastAsia="Inter"/>
          <w:u w:val="single"/>
        </w:rPr>
        <w:t>https://lucid-lab.fr/cgv</w:t>
      </w:r>
      <w:r>
        <w:rPr>
          <w:rFonts w:eastAsia="Inter"/>
        </w:rPr>
        <w:t xml:space="preserve"> et jointes en annexe. Le Client reconnaît en avoir pris connaissance et les accepter sans réserve avant la signature.</w:t>
      </w:r>
    </w:p>
    <w:p w14:paraId="075DF5FD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Sauf accord écrit exprès, les présentes CGV prévalent sur tout document du Client, en particulier ses conditions générales d'achat.</w:t>
      </w:r>
    </w:p>
    <w:p w14:paraId="3AB2B1A5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Acceptation valant commande ferme</w:t>
      </w:r>
    </w:p>
    <w:p w14:paraId="7455CC6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Le Client déclare avoir pris connaissance et accepter sans réserve :</w:t>
      </w:r>
    </w:p>
    <w:p w14:paraId="1A8F4D82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périmètre, les livrables et le calendrier décrits ci-dessus ;</w:t>
      </w:r>
    </w:p>
    <w:p w14:paraId="069D2FA6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la modalité tarifaire cochée et l'engagement de durée associé ;</w:t>
      </w:r>
    </w:p>
    <w:p w14:paraId="5739A85A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les Conditions Générales de Vente Lucid-Lab v1.0 jointes en Annexe et accessibles sur lucid-lab.fr/cgv ;</w:t>
      </w:r>
    </w:p>
    <w:p w14:paraId="59FC75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l'obligation de paiement préalable au démarrage des Prestations (article 5 CGV) ;</w:t>
      </w:r>
    </w:p>
    <w:p w14:paraId="4538D79C" w14:textId="77777777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>•  le caractère ferme et irrévocable de la commande, sous réserve du droit de retrait prévu à l'article L. 121-21 du Code de la consommation lorsqu'il est applicable.</w:t>
      </w:r>
    </w:p>
    <w:p w14:paraId="30B451C4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10B19ABB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  <w:b/>
        </w:rPr>
        <w:t>La signature de la présente Proposition par le Client vaut acceptation de l'offre, formation du Contrat et commande ferme</w:t>
      </w:r>
      <w:r>
        <w:rPr>
          <w:rFonts w:eastAsia="Inter"/>
        </w:rPr>
        <w:t>, et déclenche l'émission d'une facture pro forma puis l'exécution des Prestations à compter de la réception effective du premier paiement.</w:t>
      </w:r>
    </w:p>
    <w:p w14:paraId="0889B933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6929506" w14:textId="77777777" w:rsidR="00965D8D" w:rsidRDefault="00000000">
      <w:pPr>
        <w:spacing w:after="80" w:line="300" w:lineRule="auto"/>
        <w:jc w:val="both"/>
        <w:rPr>
          <w:rFonts w:hint="eastAsia"/>
        </w:rPr>
      </w:pPr>
      <w:r>
        <w:rPr>
          <w:rFonts w:eastAsia="Inter"/>
        </w:rPr>
        <w:t>Mention manuscrite obligatoire du Client : « Lu et approuvé — Bon pour accord et commande ferme — Prix : 4 € — Modalité : one-shot / mensuel 12 mois ».</w:t>
      </w:r>
    </w:p>
    <w:p w14:paraId="606BC332" w14:textId="77777777" w:rsidR="00965D8D" w:rsidRDefault="00965D8D">
      <w:pPr>
        <w:spacing w:after="80" w:line="300" w:lineRule="auto"/>
        <w:jc w:val="both"/>
        <w:rPr>
          <w:rFonts w:hint="eastAsia"/>
        </w:rPr>
      </w:pPr>
    </w:p>
    <w:p w14:paraId="212C41F6" w14:textId="77777777" w:rsidR="00965D8D" w:rsidRDefault="00965D8D">
      <w:pPr>
        <w:spacing w:after="240" w:line="300" w:lineRule="auto"/>
        <w:jc w:val="both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65D8D" w14:paraId="0D0131EC" w14:textId="77777777">
        <w:trPr>
          <w:jc w:val="center"/>
        </w:trPr>
        <w:tc>
          <w:tcPr>
            <w:tcW w:w="4819" w:type="dxa"/>
          </w:tcPr>
          <w:p w14:paraId="39EB4A51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le Client</w:t>
            </w:r>
          </w:p>
        </w:tc>
        <w:tc>
          <w:tcPr>
            <w:tcW w:w="4819" w:type="dxa"/>
          </w:tcPr>
          <w:p w14:paraId="128ED80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b/>
              </w:rPr>
              <w:t>Pour Lucid-Lab</w:t>
            </w:r>
          </w:p>
        </w:tc>
      </w:tr>
      <w:tr w:rsidR="00965D8D" w14:paraId="2A5B566D" w14:textId="77777777">
        <w:trPr>
          <w:jc w:val="center"/>
        </w:trPr>
        <w:tc>
          <w:tcPr>
            <w:tcW w:w="4819" w:type="dxa"/>
          </w:tcPr>
          <w:p w14:paraId="01E4EDE0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  <w:tc>
          <w:tcPr>
            <w:tcW w:w="4819" w:type="dxa"/>
          </w:tcPr>
          <w:p w14:paraId="46865443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Date :</w:t>
            </w:r>
          </w:p>
        </w:tc>
      </w:tr>
      <w:tr w:rsidR="00965D8D" w14:paraId="4A0EF0E0" w14:textId="77777777">
        <w:trPr>
          <w:jc w:val="center"/>
        </w:trPr>
        <w:tc>
          <w:tcPr>
            <w:tcW w:w="4819" w:type="dxa"/>
          </w:tcPr>
          <w:p w14:paraId="0D0F540A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 Lémeré</w:t>
            </w:r>
          </w:p>
        </w:tc>
        <w:tc>
          <w:tcPr>
            <w:tcW w:w="4819" w:type="dxa"/>
          </w:tcPr>
          <w:p w14:paraId="2017BF34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Lieu :</w:t>
            </w:r>
          </w:p>
        </w:tc>
      </w:tr>
      <w:tr w:rsidR="00965D8D" w14:paraId="3BB7EC69" w14:textId="77777777">
        <w:trPr>
          <w:jc w:val="center"/>
        </w:trPr>
        <w:tc>
          <w:tcPr>
            <w:tcW w:w="4819" w:type="dxa"/>
          </w:tcPr>
          <w:p w14:paraId="3A3BAA0D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  <w:tc>
          <w:tcPr>
            <w:tcW w:w="4819" w:type="dxa"/>
          </w:tcPr>
          <w:p w14:paraId="1DF7850C" w14:textId="77777777" w:rsidR="00965D8D" w:rsidRDefault="00000000">
            <w:pPr>
              <w:rPr>
                <w:rFonts w:hint="eastAsia"/>
              </w:rPr>
            </w:pPr>
            <w:r>
              <w:rPr>
                <w:rFonts w:eastAsia="Inter"/>
                <w:sz w:val="19"/>
              </w:rPr>
              <w:t>Signature précédée de la mention</w:t>
            </w:r>
            <w:r>
              <w:rPr>
                <w:rFonts w:eastAsia="Inter"/>
                <w:sz w:val="19"/>
              </w:rPr>
              <w:br/>
              <w:t>« Lu et approuvé, bon pour accord » :</w:t>
            </w:r>
          </w:p>
        </w:tc>
      </w:tr>
    </w:tbl>
    <w:p w14:paraId="19F543D3" w14:textId="77777777" w:rsidR="00965D8D" w:rsidRDefault="00000000">
      <w:pPr>
        <w:keepNext/>
        <w:spacing w:before="280" w:after="160"/>
        <w:rPr>
          <w:rFonts w:hint="eastAsia"/>
        </w:rPr>
      </w:pPr>
      <w:r>
        <w:rPr>
          <w:rFonts w:ascii="Syne" w:eastAsia="Syne" w:hAnsi="Syne" w:cs="Syne"/>
          <w:b/>
          <w:color w:val="000000"/>
          <w:sz w:val="30"/>
        </w:rPr>
        <w:t>Annexes</w:t>
      </w:r>
    </w:p>
    <w:p w14:paraId="7137BAA9" w14:textId="17352128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1 — Conditions Générales de Vente Lucid-Lab </w:t>
      </w:r>
      <w:r w:rsidR="00373864">
        <w:rPr>
          <w:rFonts w:eastAsia="Inter"/>
        </w:rPr>
        <w:t xml:space="preserve">- </w:t>
      </w:r>
      <w:r w:rsidR="00373864" w:rsidRPr="00373864">
        <w:rPr>
          <w:rFonts w:eastAsia="Inter"/>
        </w:rPr>
        <w:t>https://lucid-lab.fr/</w:t>
      </w:r>
    </w:p>
    <w:p w14:paraId="0200CA67" w14:textId="2ED07D6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2 — RIB Lucid-Lab </w:t>
      </w:r>
    </w:p>
    <w:p w14:paraId="73617F32" w14:textId="636FA751" w:rsidR="00965D8D" w:rsidRDefault="00000000">
      <w:pPr>
        <w:spacing w:after="40" w:line="300" w:lineRule="auto"/>
        <w:ind w:left="283"/>
        <w:rPr>
          <w:rFonts w:hint="eastAsia"/>
        </w:rPr>
      </w:pPr>
      <w:r>
        <w:rPr>
          <w:rFonts w:eastAsia="Inter"/>
        </w:rPr>
        <w:t xml:space="preserve">•  Annexe 3 — Attestation RCP </w:t>
      </w:r>
      <w:r w:rsidR="00373864">
        <w:rPr>
          <w:rFonts w:eastAsia="Inter"/>
        </w:rPr>
        <w:t xml:space="preserve">- </w:t>
      </w:r>
      <w:r>
        <w:rPr>
          <w:rFonts w:eastAsia="Inter"/>
        </w:rPr>
        <w:t xml:space="preserve">sur </w:t>
      </w:r>
      <w:proofErr w:type="spellStart"/>
      <w:r>
        <w:rPr>
          <w:rFonts w:eastAsia="Inter"/>
        </w:rPr>
        <w:t>demande</w:t>
      </w:r>
      <w:proofErr w:type="spellEnd"/>
    </w:p>
    <w:sectPr w:rsidR="00965D8D" w:rsidSect="00034616">
      <w:headerReference w:type="default" r:id="rId8"/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8F2F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C3178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ne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1498" w14:textId="77777777" w:rsidR="00965D8D" w:rsidRDefault="00000000">
    <w:pPr>
      <w:pStyle w:val="Pieddepage"/>
      <w:jc w:val="center"/>
      <w:rPr>
        <w:rFonts w:hint="eastAsia"/>
      </w:rPr>
    </w:pPr>
    <w:r>
      <w:rPr>
        <w:rFonts w:eastAsia="Inter"/>
        <w:color w:val="666666"/>
        <w:sz w:val="15"/>
      </w:rPr>
      <w:t>Lucid-Lab · SAS au capital de 999 € · RCS Paris 104 672 050 · TVA FR 02 104 672 050 · 47 rue Vivienne, 75002 Paris, France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C8D0" w14:textId="77777777" w:rsidR="00ED2F37" w:rsidRDefault="00ED2F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CA0644" w14:textId="77777777" w:rsidR="00ED2F37" w:rsidRDefault="00ED2F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F1BA" w14:textId="59D78557" w:rsidR="00965D8D" w:rsidRDefault="00000000">
    <w:pPr>
      <w:pStyle w:val="En-tte"/>
      <w:rPr>
        <w:rFonts w:hint="eastAsia"/>
      </w:rPr>
    </w:pPr>
    <w:r>
      <w:t xml:space="preserve">    </w:t>
    </w:r>
    <w:r>
      <w:rPr>
        <w:rFonts w:ascii="Syne" w:eastAsia="Syne" w:hAnsi="Syne" w:cs="Syne"/>
        <w:b/>
        <w:color w:val="000000"/>
        <w:sz w:val="26"/>
      </w:rPr>
      <w:t>Lucid-Lab</w:t>
    </w:r>
    <w:r>
      <w:t xml:space="preserve">    </w:t>
    </w:r>
    <w:r>
      <w:rPr>
        <w:rFonts w:eastAsia="Inter"/>
        <w:i/>
        <w:color w:val="666666"/>
        <w:sz w:val="18"/>
      </w:rPr>
      <w:t xml:space="preserve">Proposition </w:t>
    </w:r>
    <w:proofErr w:type="spellStart"/>
    <w:r>
      <w:rPr>
        <w:rFonts w:eastAsia="Inter"/>
        <w:i/>
        <w:color w:val="666666"/>
        <w:sz w:val="18"/>
      </w:rPr>
      <w:t>valant</w:t>
    </w:r>
    <w:proofErr w:type="spellEnd"/>
    <w:r>
      <w:rPr>
        <w:rFonts w:eastAsia="Inter"/>
        <w:i/>
        <w:color w:val="666666"/>
        <w:sz w:val="18"/>
      </w:rPr>
      <w:t xml:space="preserve"> Bon de </w:t>
    </w:r>
    <w:proofErr w:type="spellStart"/>
    <w:r>
      <w:rPr>
        <w:rFonts w:eastAsia="Inter"/>
        <w:i/>
        <w:color w:val="666666"/>
        <w:sz w:val="18"/>
      </w:rPr>
      <w:t>Commande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005419">
    <w:abstractNumId w:val="8"/>
  </w:num>
  <w:num w:numId="2" w16cid:durableId="1287077963">
    <w:abstractNumId w:val="6"/>
  </w:num>
  <w:num w:numId="3" w16cid:durableId="1073044011">
    <w:abstractNumId w:val="5"/>
  </w:num>
  <w:num w:numId="4" w16cid:durableId="680862532">
    <w:abstractNumId w:val="4"/>
  </w:num>
  <w:num w:numId="5" w16cid:durableId="1493368900">
    <w:abstractNumId w:val="7"/>
  </w:num>
  <w:num w:numId="6" w16cid:durableId="2034183724">
    <w:abstractNumId w:val="3"/>
  </w:num>
  <w:num w:numId="7" w16cid:durableId="1834562025">
    <w:abstractNumId w:val="2"/>
  </w:num>
  <w:num w:numId="8" w16cid:durableId="651064323">
    <w:abstractNumId w:val="1"/>
  </w:num>
  <w:num w:numId="9" w16cid:durableId="838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864"/>
    <w:rsid w:val="00965D8D"/>
    <w:rsid w:val="00AA1D8D"/>
    <w:rsid w:val="00B47730"/>
    <w:rsid w:val="00CB0664"/>
    <w:rsid w:val="00EB6340"/>
    <w:rsid w:val="00ED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8D1C8"/>
  <w14:defaultImageDpi w14:val="300"/>
  <w15:docId w15:val="{0051EF31-596E-8047-9760-317B3F96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 w:cs="Inter"/>
      <w:color w:val="0A0A0A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Poirier</cp:lastModifiedBy>
  <cp:revision>2</cp:revision>
  <dcterms:created xsi:type="dcterms:W3CDTF">2026-05-15T09:27:00Z</dcterms:created>
  <dcterms:modified xsi:type="dcterms:W3CDTF">2026-05-15T09:27:00Z</dcterms:modified>
  <cp:category/>
</cp:coreProperties>
</file>