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Syne" w:hAnsi="Syne"/>
          <w:b/>
          <w:color w:val="000000"/>
          <w:sz w:val="44"/>
        </w:rPr>
        <w:t>PROPOSITION D'ACCOMPAGNEMENT</w:t>
      </w:r>
    </w:p>
    <w:p>
      <w:pPr>
        <w:spacing w:after="80"/>
      </w:pPr>
      <w:r>
        <w:rPr>
          <w:b/>
        </w:rPr>
        <w:t>BSP 37 — Sophia Kanouni</w:t>
      </w:r>
    </w:p>
    <w:p>
      <w:pPr>
        <w:spacing w:after="280"/>
      </w:pPr>
      <w:r>
        <w:rPr>
          <w:color w:val="666666"/>
        </w:rPr>
        <w:t>Refonte + maintenance du site web bsp37.com et gestion Meta Ads à partir du 1er septembre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BSP 37 — Sophia Kanouni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23 mai 2026</w:t>
            </w:r>
          </w:p>
        </w:tc>
      </w:tr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Contact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Lucid-Lab — info@lucid-lab.fr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9"/>
              </w:rPr>
              <w:t>Référence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PROP-2026-009</w:t>
            </w:r>
          </w:p>
        </w:tc>
      </w:tr>
      <w:tr>
        <w:tc>
          <w:tcPr>
            <w:tcW w:type="dxa" w:w="3600"/>
            <w:shd w:val="clear" w:color="auto" w:fill="F5F5F2"/>
          </w:tcPr>
          <w:p>
            <w:r>
              <w:rPr>
                <w:b/>
                <w:sz w:val="19"/>
              </w:rPr>
              <w:t>Validité</w:t>
            </w:r>
          </w:p>
        </w:tc>
        <w:tc>
          <w:tcPr>
            <w:tcW w:type="dxa" w:w="9360"/>
            <w:shd w:val="clear" w:color="auto" w:fill="F5F5F2"/>
          </w:tcPr>
          <w:p>
            <w:r>
              <w:rPr>
                <w:sz w:val="20"/>
              </w:rPr>
              <w:t>30 jours à compter de la date d'émission</w:t>
            </w:r>
          </w:p>
        </w:tc>
      </w:tr>
    </w:tbl>
    <w:p>
      <w:pPr>
        <w:spacing w:after="280"/>
      </w:pP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Objectif</w:t>
      </w:r>
    </w:p>
    <w:p>
      <w:pPr>
        <w:spacing w:after="280"/>
      </w:pPr>
      <w:r>
        <w:t>BSP 37 est un groupement familial actif dans l'artisanat du bâtiment depuis 1989. L'objectif de cet accompagnement est double : moderniser la présence digitale de l'entreprise avec une refonte complète du site web bsp37.com, puis ouvrir un canal d'acquisition pour l'activité film solaire via Meta Ads à partir du 1er septembre 2026.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Périmètre</w:t>
      </w:r>
    </w:p>
    <w:p>
      <w:pPr>
        <w:spacing w:before="200" w:after="120"/>
      </w:pPr>
      <w:r>
        <w:rPr>
          <w:rFonts w:ascii="Syne" w:hAnsi="Syne"/>
          <w:b/>
          <w:color w:val="000000"/>
          <w:sz w:val="24"/>
        </w:rPr>
        <w:t>Refonte du site web — bsp37.com (incluse dans le forfait mensuel)</w:t>
      </w:r>
    </w:p>
    <w:p>
      <w:pPr>
        <w:spacing w:after="40"/>
        <w:ind w:left="283"/>
      </w:pPr>
      <w:r>
        <w:t>•  Audit du site Wix existant et recommandations.</w:t>
      </w:r>
    </w:p>
    <w:p>
      <w:pPr>
        <w:spacing w:after="40"/>
        <w:ind w:left="283"/>
      </w:pPr>
      <w:r>
        <w:t>•  Refonte complète sur technologie moderne : meilleure performance, SEO et contrôle total sans abonnement Wix.</w:t>
      </w:r>
    </w:p>
    <w:p>
      <w:pPr>
        <w:spacing w:after="40"/>
        <w:ind w:left="283"/>
      </w:pPr>
      <w:r>
        <w:t>•  Intégration du catalogue produits, galerie de réalisations, pages de services et formulaires de contact.</w:t>
      </w:r>
    </w:p>
    <w:p>
      <w:pPr>
        <w:spacing w:after="40"/>
        <w:ind w:left="283"/>
      </w:pPr>
      <w:r>
        <w:t>•  Déploiement et configuration du nom de domaine.</w:t>
      </w:r>
    </w:p>
    <w:p>
      <w:pPr>
        <w:spacing w:after="40"/>
        <w:ind w:left="283"/>
      </w:pPr>
      <w:r>
        <w:t>•  Maintenance mensuelle : mises à jour, corrections et suivi des performances SEO.</w:t>
      </w:r>
    </w:p>
    <w:p>
      <w:pPr>
        <w:spacing w:before="200" w:after="120"/>
      </w:pPr>
      <w:r>
        <w:rPr>
          <w:rFonts w:ascii="Syne" w:hAnsi="Syne"/>
          <w:b/>
          <w:color w:val="000000"/>
          <w:sz w:val="24"/>
        </w:rPr>
        <w:t>Meta Ads — Film solaire (à partir du 1er septembre 2026)</w:t>
      </w:r>
    </w:p>
    <w:p>
      <w:pPr>
        <w:spacing w:after="40"/>
        <w:ind w:left="283"/>
      </w:pPr>
      <w:r>
        <w:t>•  Création et configuration du compte Meta Ads Facebook / Instagram.</w:t>
      </w:r>
    </w:p>
    <w:p>
      <w:pPr>
        <w:spacing w:after="40"/>
        <w:ind w:left="283"/>
      </w:pPr>
      <w:r>
        <w:t>•  Définition de la cible locale : zone géographique, audiences et centres d'intérêt.</w:t>
      </w:r>
    </w:p>
    <w:p>
      <w:pPr>
        <w:spacing w:after="40"/>
        <w:ind w:left="283"/>
      </w:pPr>
      <w:r>
        <w:t>•  Création de deux publicités Meta Ads pour le lancement : 250 € HT en frais unique.</w:t>
      </w:r>
    </w:p>
    <w:p>
      <w:pPr>
        <w:spacing w:after="40"/>
        <w:ind w:left="283"/>
      </w:pPr>
      <w:r>
        <w:t>•  Gestion mensuelle des campagnes : optimisation, tests visuels, reporting mensuel.</w:t>
      </w:r>
    </w:p>
    <w:p>
      <w:pPr>
        <w:spacing w:after="40"/>
        <w:ind w:left="283"/>
      </w:pPr>
      <w:r>
        <w:t>•  Mise en place d'un suivi des leads : formulaire dédié, traçabilité et tableau de bord partagé.</w:t>
      </w:r>
    </w:p>
    <w:p>
      <w:pPr>
        <w:spacing w:after="40"/>
        <w:ind w:left="283"/>
      </w:pPr>
      <w:r>
        <w:t>•  Budget publicitaire Meta non inclus, réglé directement par Sophia auprès de Meta.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Calendrier</w:t>
      </w:r>
    </w:p>
    <w:p>
      <w:pPr>
        <w:spacing w:after="60"/>
      </w:pPr>
      <w:r>
        <w:rPr>
          <w:b/>
        </w:rPr>
        <w:t xml:space="preserve">Semaine 1  </w:t>
      </w:r>
      <w:r>
        <w:t>Audit du site Wix existant, cadrage du nouveau site et préparation du brief Meta Ads.</w:t>
      </w:r>
    </w:p>
    <w:p>
      <w:pPr>
        <w:spacing w:after="60"/>
      </w:pPr>
      <w:r>
        <w:rPr>
          <w:b/>
        </w:rPr>
        <w:t xml:space="preserve">Semaines 2–3  </w:t>
      </w:r>
      <w:r>
        <w:t>Refonte du site web : structure, design, contenus et intégrations.</w:t>
      </w:r>
    </w:p>
    <w:p>
      <w:pPr>
        <w:spacing w:after="60"/>
      </w:pPr>
      <w:r>
        <w:rPr>
          <w:b/>
        </w:rPr>
        <w:t xml:space="preserve">Semaine 4  </w:t>
      </w:r>
      <w:r>
        <w:t>Mise en ligne du site et validation du parcours de génération de leads film solaire.</w:t>
      </w:r>
    </w:p>
    <w:p>
      <w:pPr>
        <w:spacing w:after="60"/>
      </w:pPr>
      <w:r>
        <w:rPr>
          <w:b/>
        </w:rPr>
        <w:t xml:space="preserve">À partir du 1er septembre 2026  </w:t>
      </w:r>
      <w:r>
        <w:t>Création des deux publicités, lancement et gestion mensuelle des campagnes Meta Ads.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Investissement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Forfait mensuel — Site web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150 € HT / mois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Gestion Meta Ads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100 € HT / mois à partir du 1er septembre 2026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Forfait mensuel total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250 € HT / mois à partir du 1er septembre 2026 (site web + gestion Meta Ads)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Création de 2 publicités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250 € HT en frais unique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TVA (20 %)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Applicable en sus des prix HT ci-dessus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Conditions de paiement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Virement SEPA exclusivement, à l'avance — voir CGV article 5</w:t>
            </w:r>
          </w:p>
        </w:tc>
      </w:tr>
      <w:tr>
        <w:tc>
          <w:tcPr>
            <w:tcW w:type="dxa" w:w="4600"/>
            <w:shd w:val="clear" w:color="auto" w:fill="F5F5F2"/>
          </w:tcPr>
          <w:p>
            <w:r>
              <w:rPr>
                <w:b/>
                <w:sz w:val="19"/>
              </w:rPr>
              <w:t>Engagement (forfait mensuel)</w:t>
            </w:r>
          </w:p>
        </w:tc>
        <w:tc>
          <w:tcPr>
            <w:tcW w:type="dxa" w:w="8360"/>
            <w:shd w:val="clear" w:color="auto" w:fill="F5F5F2"/>
          </w:tcPr>
          <w:p>
            <w:r>
              <w:rPr>
                <w:sz w:val="20"/>
              </w:rPr>
              <w:t>Ferme et irrévocable sur 12 mois — clause pénale en cas de rupture anticipée</w:t>
            </w:r>
          </w:p>
        </w:tc>
      </w:tr>
      <w:tr>
        <w:tc>
          <w:tcPr>
            <w:tcW w:type="dxa" w:w="4600"/>
          </w:tcPr>
          <w:p>
            <w:r>
              <w:rPr>
                <w:b/>
                <w:sz w:val="19"/>
              </w:rPr>
              <w:t>Pénalités de retard</w:t>
            </w:r>
          </w:p>
        </w:tc>
        <w:tc>
          <w:tcPr>
            <w:tcW w:type="dxa" w:w="8360"/>
          </w:tcPr>
          <w:p>
            <w:r>
              <w:rPr>
                <w:sz w:val="20"/>
              </w:rPr>
              <w:t>Intérêts BCE +10 pts (≈14,5 %/an) + 40 € (D. 441-5 Cciv) + 250 € par facture</w:t>
            </w:r>
          </w:p>
        </w:tc>
      </w:tr>
    </w:tbl>
    <w:p>
      <w:pPr>
        <w:spacing w:after="160"/>
      </w:pP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Coûts exclus du forfait</w:t>
      </w:r>
    </w:p>
    <w:p>
      <w:pPr>
        <w:spacing w:after="80"/>
      </w:pPr>
      <w:r>
        <w:t>Le prix de la Prestation rémunère exclusivement le travail de Lucid-Lab. Restent à votre charge directe les coûts variables suivants, par nature dépendants de votre activité et de votre usage :</w:t>
      </w:r>
    </w:p>
    <w:p>
      <w:pPr>
        <w:spacing w:after="40"/>
        <w:ind w:left="283"/>
      </w:pPr>
      <w:r>
        <w:t>•  Budget publicitaire Meta Ads, réglé directement par Sophia auprès de Meta ;</w:t>
      </w:r>
    </w:p>
    <w:p>
      <w:pPr>
        <w:spacing w:after="40"/>
        <w:ind w:left="283"/>
      </w:pPr>
      <w:r>
        <w:t>•  Abonnements aux outils tiers utilisés pour votre compte (hébergeur, nom de domaine, etc.) ;</w:t>
      </w:r>
    </w:p>
    <w:p>
      <w:pPr>
        <w:spacing w:after="40"/>
        <w:ind w:left="283"/>
      </w:pPr>
      <w:r>
        <w:t>•  Frais de déplacement éventuels, sur accord préalable écrit.</w:t>
      </w:r>
    </w:p>
    <w:p>
      <w:pPr>
        <w:spacing w:after="80"/>
      </w:pPr>
      <w:r>
        <w:t>Une estimation indicative de ces coûts vous est fournie sur demande, sans engagement de plafond.</w:t>
      </w:r>
    </w:p>
    <w:p>
      <w:pPr>
        <w:spacing w:after="280"/>
      </w:pPr>
      <w:r>
        <w:t>Les présentes conditions financières sont régies par les Conditions Générales de Vente de Lucid-Lab — Version 1.0 accessibles à https://lucid-lab.fr/cgv.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Prochaines étapes</w:t>
      </w:r>
    </w:p>
    <w:p>
      <w:pPr>
        <w:spacing w:after="40"/>
        <w:ind w:left="283"/>
      </w:pPr>
      <w:r>
        <w:t>•  Confirmer la date de démarrage du site et le lancement Meta Ads au 1er septembre 2026.</w:t>
      </w:r>
    </w:p>
    <w:p>
      <w:pPr>
        <w:spacing w:after="40"/>
        <w:ind w:left="283"/>
      </w:pPr>
      <w:r>
        <w:t>•  Fournir les accès au site Wix, au domaine bsp37.com et au compte Meta Business.</w:t>
      </w:r>
    </w:p>
    <w:p>
      <w:pPr>
        <w:spacing w:after="40"/>
        <w:ind w:left="283"/>
      </w:pPr>
      <w:r>
        <w:t>•  Valider le budget publicitaire Meta Ads mensuel, distinct des frais de gestion Lucid-Lab.</w:t>
      </w:r>
    </w:p>
    <w:p>
      <w:pPr>
        <w:spacing w:after="40"/>
        <w:ind w:left="283"/>
      </w:pPr>
      <w:r>
        <w:t>•  Signer le Bon de Commande et procéder au premier paiement pour démarrage.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Cadre contractuel et démarrage</w:t>
      </w:r>
    </w:p>
    <w:p>
      <w:pPr>
        <w:spacing w:after="80"/>
      </w:pPr>
      <w:r>
        <w:t>Démarrage des Prestations : après signature du Bon de Commande accompagnant la présente Proposition et réception effective du premier paiement sur le compte bancaire de Lucid-Lab (IBAN FR76 1732 8844 0043 2662 8862 178 — BIC SWNBFR22).</w:t>
      </w:r>
    </w:p>
    <w:p>
      <w:pPr>
        <w:spacing w:after="80"/>
      </w:pPr>
      <w:r>
        <w:t>Documents contractuels remis : (i) la présente Proposition, (ii) le Bon de Commande à signer, (iii) le Contrat de Prestation, (iv) les CGV v1.0, (v) le cas échéant l'Accord de sous-traitance des données (DPA).</w:t>
      </w:r>
    </w:p>
    <w:p>
      <w:pPr>
        <w:spacing w:after="280"/>
      </w:pPr>
      <w:r>
        <w:t>Couverture assurantielle : Lucid-Lab est assurée en Responsabilité Civile Professionnelle auprès de Hiscox SA (police RCPLP 3695175450, plafond 100 000 € par période d'assurance, monde entier hors USA/Canada).</w:t>
      </w:r>
    </w:p>
    <w:p>
      <w:pPr>
        <w:spacing w:before="280" w:after="160"/>
      </w:pPr>
      <w:r>
        <w:rPr>
          <w:rFonts w:ascii="Syne" w:hAnsi="Syne"/>
          <w:b/>
          <w:color w:val="000000"/>
          <w:sz w:val="30"/>
        </w:rPr>
        <w:t>Acceptation valant commande ferme</w:t>
      </w:r>
    </w:p>
    <w:p>
      <w:pPr>
        <w:spacing w:after="80"/>
      </w:pPr>
      <w:r>
        <w:t>Le Client déclare avoir pris connaissance et accepter sans réserve :</w:t>
      </w:r>
    </w:p>
    <w:p>
      <w:pPr>
        <w:spacing w:after="40"/>
        <w:ind w:left="283"/>
      </w:pPr>
      <w:r>
        <w:t>•  le périmètre, les livrables et le calendrier décrits ci-dessus ;</w:t>
      </w:r>
    </w:p>
    <w:p>
      <w:pPr>
        <w:spacing w:after="40"/>
        <w:ind w:left="283"/>
      </w:pPr>
      <w:r>
        <w:t>•  la modalité tarifaire retenue et l'engagement de durée associé ;</w:t>
      </w:r>
    </w:p>
    <w:p>
      <w:pPr>
        <w:spacing w:after="40"/>
        <w:ind w:left="283"/>
      </w:pPr>
      <w:r>
        <w:t>•  les Conditions Générales de Vente Lucid-Lab v1.0 accessibles sur lucid-lab.fr/cgv ;</w:t>
      </w:r>
    </w:p>
    <w:p>
      <w:pPr>
        <w:spacing w:after="40"/>
        <w:ind w:left="283"/>
      </w:pPr>
      <w:r>
        <w:t>•  l'obligation de paiement préalable au démarrage des Prestations (art. 5 CGV).</w:t>
      </w:r>
    </w:p>
    <w:p>
      <w:pPr>
        <w:spacing w:after="160"/>
      </w:pPr>
      <w:r>
        <w:t>La signature de la présente Proposition vaut acceptation de l'offre, formation du Contrat et commande ferme, et déclenche l'émission d'une facture pro forma puis l'exécution des Prestations à compter de la réception effective du premier paiement.</w:t>
      </w:r>
    </w:p>
    <w:p>
      <w:pPr>
        <w:spacing w:after="120"/>
      </w:pPr>
      <w:r>
        <w:rPr>
          <w:b/>
        </w:rPr>
        <w:t>Modalité retenue : ☑ Forfait mensuel site + gestion Meta Ads à 250 € HT/mois à partir du 1er septembre 2026 + frais unique de 250 € HT pour deux publicités Meta Ads.</w:t>
      </w:r>
    </w:p>
    <w:p>
      <w:pPr>
        <w:spacing w:after="280"/>
      </w:pPr>
      <w:r>
        <w:rPr>
          <w:b/>
        </w:rPr>
        <w:t>Mention manuscrite obligatoire : « Lu et approuvé — Bon pour accord et commande ferme — Prix : [Total TTC] € — Modalité : [forfait mensuel site + gestion Meta Ads + frais unique deux publicités] 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6"/>
        <w:gridCol w:w="4536"/>
      </w:tblGrid>
      <w:tr>
        <w:tc>
          <w:tcPr>
            <w:tcW w:type="dxa" w:w="6480"/>
          </w:tcPr>
          <w:p>
            <w:r>
              <w:rPr>
                <w:b/>
                <w:sz w:val="19"/>
              </w:rPr>
              <w:t>Pour BSP 37 / Sophia Kanouni</w:t>
            </w:r>
          </w:p>
        </w:tc>
        <w:tc>
          <w:tcPr>
            <w:tcW w:type="dxa" w:w="6480"/>
          </w:tcPr>
          <w:p>
            <w:r>
              <w:rPr>
                <w:b/>
                <w:sz w:val="19"/>
              </w:rPr>
              <w:t>Pour Lucid-Lab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Date 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Date :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Lieu 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Lieu :</w:t>
            </w:r>
          </w:p>
        </w:tc>
      </w:tr>
      <w:tr>
        <w:tc>
          <w:tcPr>
            <w:tcW w:type="dxa" w:w="6480"/>
          </w:tcPr>
          <w:p>
            <w:r>
              <w:rPr>
                <w:b/>
                <w:sz w:val="18"/>
              </w:rPr>
              <w:t>Signature précédée de la mention</w:t>
              <w:br/>
              <w:t>« Lu et approuvé, bon pour accord » :</w:t>
            </w:r>
          </w:p>
        </w:tc>
        <w:tc>
          <w:tcPr>
            <w:tcW w:type="dxa" w:w="6480"/>
          </w:tcPr>
          <w:p>
            <w:r>
              <w:rPr>
                <w:b/>
                <w:sz w:val="18"/>
              </w:rPr>
              <w:t>Signature précédée de la mention</w:t>
              <w:br/>
              <w:t>« Lu et approuvé, bon pour accord » 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99999"/>
        <w:sz w:val="16"/>
      </w:rPr>
      <w:t>Lucid-Lab · SAS au capital de 999 € · RCS Paris 104 672 050 · TVA FR 02 104 672 050 · info@lucid-lab.fr · lucid-lab.fr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66700" cy="3082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700" cy="308257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66666"/>
        <w:sz w:val="17"/>
      </w:rPr>
      <w:t xml:space="preserve">    Lucid-Lab    Proposition d'accompagnement — BSP 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