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592"/>
        <w:gridCol w:w="4592"/>
      </w:tblGrid>
      <w:tr>
        <w:tc>
          <w:tcPr>
            <w:tcW w:type="dxa" w:w="792"/>
            <w:vAlign w:val="center"/>
          </w:tcPr>
          <w:p>
            <w:pPr>
              <w:spacing w:after="0" w:before="0"/>
            </w:pPr>
            <w:r>
              <w:drawing>
                <wp:inline xmlns:a="http://schemas.openxmlformats.org/drawingml/2006/main" xmlns:pic="http://schemas.openxmlformats.org/drawingml/2006/picture">
                  <wp:extent cx="365760" cy="42275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4227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200"/>
            <w:vAlign w:val="center"/>
          </w:tcPr>
          <w:p>
            <w:pPr>
              <w:spacing w:after="0" w:before="0"/>
            </w:pPr>
            <w:r>
              <w:rPr>
                <w:rFonts w:ascii="Syne" w:hAnsi="Syne" w:cs="Syne" w:eastAsia="Syne"/>
                <w:b/>
                <w:color w:val="0A0A0A"/>
                <w:sz w:val="34"/>
              </w:rPr>
              <w:t>Lucid-Lab</w:t>
            </w:r>
          </w:p>
        </w:tc>
      </w:tr>
    </w:tbl>
    <w:p>
      <w:pPr>
        <w:spacing w:after="560"/>
      </w:pPr>
    </w:p>
    <w:p>
      <w:pPr>
        <w:spacing w:after="160"/>
      </w:pPr>
      <w:r>
        <w:rPr>
          <w:rFonts w:ascii="Inter" w:hAnsi="Inter" w:cs="Inter" w:eastAsia="Inter"/>
          <w:b/>
          <w:color w:val="555555"/>
          <w:sz w:val="17"/>
        </w:rPr>
        <w:t>PROPOSITION D'ACCOMPAGNEMENT</w:t>
      </w:r>
    </w:p>
    <w:p>
      <w:pPr>
        <w:spacing w:after="200" w:line="252" w:lineRule="auto"/>
        <w:keepNext w:val="1"/>
      </w:pPr>
      <w:r>
        <w:rPr>
          <w:rFonts w:ascii="Inter" w:hAnsi="Inter" w:cs="Inter" w:eastAsia="Inter"/>
          <w:b/>
          <w:color w:val="0A0A0A"/>
          <w:sz w:val="64"/>
        </w:rPr>
        <w:t>BSP 37 — Sophia Kanouni</w:t>
      </w:r>
    </w:p>
    <w:p>
      <w:pPr>
        <w:spacing w:after="560" w:line="348" w:lineRule="auto"/>
      </w:pPr>
      <w:r>
        <w:rPr>
          <w:rFonts w:ascii="Inter" w:hAnsi="Inter" w:cs="Inter" w:eastAsia="Inter"/>
          <w:color w:val="555555"/>
          <w:sz w:val="24"/>
        </w:rPr>
        <w:t>Refonte du site web et gestion Meta Ads pour le film solaire à partir du 1er septembre 2026.</w:t>
      </w:r>
    </w:p>
    <w:p>
      <w:pPr>
        <w:spacing w:after="360"/>
        <w:pBdr>
          <w:bottom w:val="single" w:sz="12" w:space="1" w:color="FFB451"/>
        </w:pBdr>
      </w:pPr>
    </w:p>
    <w:p>
      <w:pPr>
        <w:spacing w:after="80"/>
      </w:pPr>
      <w:r>
        <w:rPr>
          <w:rFonts w:ascii="Inter" w:hAnsi="Inter" w:cs="Inter" w:eastAsia="Inter"/>
          <w:b/>
          <w:color w:val="555555"/>
          <w:sz w:val="16"/>
        </w:rPr>
        <w:t xml:space="preserve">CLIENT  </w:t>
      </w:r>
      <w:r>
        <w:rPr>
          <w:rFonts w:ascii="Inter" w:hAnsi="Inter" w:cs="Inter" w:eastAsia="Inter"/>
          <w:color w:val="0A0A0A"/>
          <w:sz w:val="21"/>
        </w:rPr>
        <w:t>BSP 37 — Sophia Kanouni</w:t>
      </w:r>
    </w:p>
    <w:p>
      <w:pPr>
        <w:spacing w:after="80"/>
      </w:pPr>
      <w:r>
        <w:rPr>
          <w:rFonts w:ascii="Inter" w:hAnsi="Inter" w:cs="Inter" w:eastAsia="Inter"/>
          <w:b/>
          <w:color w:val="555555"/>
          <w:sz w:val="16"/>
        </w:rPr>
        <w:t xml:space="preserve">DATE  </w:t>
      </w:r>
      <w:r>
        <w:rPr>
          <w:rFonts w:ascii="Inter" w:hAnsi="Inter" w:cs="Inter" w:eastAsia="Inter"/>
          <w:color w:val="0A0A0A"/>
          <w:sz w:val="21"/>
        </w:rPr>
        <w:t>04 June 2026</w:t>
      </w:r>
    </w:p>
    <w:p>
      <w:pPr>
        <w:spacing w:after="80"/>
      </w:pPr>
      <w:r>
        <w:rPr>
          <w:rFonts w:ascii="Inter" w:hAnsi="Inter" w:cs="Inter" w:eastAsia="Inter"/>
          <w:b/>
          <w:color w:val="555555"/>
          <w:sz w:val="16"/>
        </w:rPr>
        <w:t xml:space="preserve">CONTACT  </w:t>
      </w:r>
      <w:r>
        <w:rPr>
          <w:rFonts w:ascii="Inter" w:hAnsi="Inter" w:cs="Inter" w:eastAsia="Inter"/>
          <w:color w:val="0A0A0A"/>
          <w:sz w:val="21"/>
        </w:rPr>
        <w:t>Lucid-Lab — info@lucid-lab.fr</w:t>
      </w:r>
    </w:p>
    <w:p>
      <w:pPr>
        <w:spacing w:before="360" w:after="200" w:line="264" w:lineRule="auto"/>
        <w:keepNext w:val="1"/>
      </w:pPr>
      <w:r>
        <w:rPr>
          <w:rFonts w:ascii="Inter" w:hAnsi="Inter" w:cs="Inter" w:eastAsia="Inter"/>
          <w:b/>
          <w:color w:val="0A0A0A"/>
          <w:sz w:val="36"/>
        </w:rPr>
        <w:t>Objectif</w:t>
      </w:r>
    </w:p>
    <w:p>
      <w:pPr>
        <w:spacing w:after="200" w:line="348" w:lineRule="auto"/>
      </w:pPr>
      <w:r>
        <w:rPr>
          <w:rFonts w:ascii="Inter" w:hAnsi="Inter" w:cs="Inter" w:eastAsia="Inter"/>
          <w:b w:val="0"/>
          <w:color w:val="0A0A0A"/>
          <w:sz w:val="21"/>
        </w:rPr>
        <w:t>BSP 37 est un groupement familial ancré dans l'artisanat depuis 1989. L'objectif de cet accompagnement est double : moderniser la présence digitale de l'entreprise avec un site plus performant, puis ouvrir un canal d'acquisition pour l'activité d'installation de film solaire via Meta Ads (Facebook / Instagram) à partir du 1er septembre 2026.</w:t>
      </w:r>
    </w:p>
    <w:p>
      <w:pPr>
        <w:spacing w:before="360" w:after="200" w:line="264" w:lineRule="auto"/>
        <w:keepNext w:val="1"/>
      </w:pPr>
      <w:r>
        <w:rPr>
          <w:rFonts w:ascii="Inter" w:hAnsi="Inter" w:cs="Inter" w:eastAsia="Inter"/>
          <w:b/>
          <w:color w:val="0A0A0A"/>
          <w:sz w:val="36"/>
        </w:rPr>
        <w:t>Périmètre</w:t>
      </w:r>
    </w:p>
    <w:p>
      <w:pPr>
        <w:spacing w:before="280" w:after="120"/>
        <w:keepNext w:val="1"/>
      </w:pPr>
      <w:r>
        <w:rPr>
          <w:rFonts w:ascii="Inter" w:hAnsi="Inter" w:cs="Inter" w:eastAsia="Inter"/>
          <w:b/>
          <w:color w:val="0A0A0A"/>
          <w:sz w:val="22"/>
        </w:rPr>
        <w:t>Refonte du site web — bsp37.com</w:t>
      </w:r>
    </w:p>
    <w:p>
      <w:pPr>
        <w:pStyle w:val="ListBullet"/>
        <w:spacing w:after="60" w:line="324" w:lineRule="auto"/>
        <w:keepLines/>
      </w:pPr>
      <w:r>
        <w:rPr>
          <w:rFonts w:ascii="Inter" w:hAnsi="Inter" w:cs="Inter" w:eastAsia="Inter"/>
          <w:color w:val="0A0A0A"/>
          <w:sz w:val="21"/>
        </w:rPr>
        <w:t>Audit du site Wix existant et recommandations.</w:t>
      </w:r>
    </w:p>
    <w:p>
      <w:pPr>
        <w:pStyle w:val="ListBullet"/>
        <w:spacing w:after="60" w:line="324" w:lineRule="auto"/>
        <w:keepLines/>
      </w:pPr>
      <w:r>
        <w:rPr>
          <w:rFonts w:ascii="Inter" w:hAnsi="Inter" w:cs="Inter" w:eastAsia="Inter"/>
          <w:color w:val="0A0A0A"/>
          <w:sz w:val="21"/>
        </w:rPr>
        <w:t>Refonte complète sur une technologie moderne : meilleure performance, SEO et contrôle total sans abonnement Wix.</w:t>
      </w:r>
    </w:p>
    <w:p>
      <w:pPr>
        <w:pStyle w:val="ListBullet"/>
        <w:spacing w:after="60" w:line="324" w:lineRule="auto"/>
        <w:keepLines/>
      </w:pPr>
      <w:r>
        <w:rPr>
          <w:rFonts w:ascii="Inter" w:hAnsi="Inter" w:cs="Inter" w:eastAsia="Inter"/>
          <w:color w:val="0A0A0A"/>
          <w:sz w:val="21"/>
        </w:rPr>
        <w:t>Intégration du catalogue produits, galerie de réalisations, pages de services et formulaires de contact.</w:t>
      </w:r>
    </w:p>
    <w:p>
      <w:pPr>
        <w:pStyle w:val="ListBullet"/>
        <w:spacing w:after="60" w:line="324" w:lineRule="auto"/>
        <w:keepLines/>
      </w:pPr>
      <w:r>
        <w:rPr>
          <w:rFonts w:ascii="Inter" w:hAnsi="Inter" w:cs="Inter" w:eastAsia="Inter"/>
          <w:color w:val="0A0A0A"/>
          <w:sz w:val="21"/>
        </w:rPr>
        <w:t>Déploiement et configuration du nom de domaine.</w:t>
      </w:r>
    </w:p>
    <w:p>
      <w:pPr>
        <w:pStyle w:val="ListBullet"/>
        <w:spacing w:after="60" w:line="324" w:lineRule="auto"/>
        <w:keepLines/>
      </w:pPr>
      <w:r>
        <w:rPr>
          <w:rFonts w:ascii="Inter" w:hAnsi="Inter" w:cs="Inter" w:eastAsia="Inter"/>
          <w:color w:val="0A0A0A"/>
          <w:sz w:val="21"/>
        </w:rPr>
        <w:t>Maintenance mensuelle : mises à jour, corrections, suivi des performances SEO.</w:t>
      </w:r>
    </w:p>
    <w:p>
      <w:pPr>
        <w:spacing w:before="280" w:after="120"/>
        <w:keepNext w:val="1"/>
      </w:pPr>
      <w:r>
        <w:rPr>
          <w:rFonts w:ascii="Inter" w:hAnsi="Inter" w:cs="Inter" w:eastAsia="Inter"/>
          <w:b/>
          <w:color w:val="0A0A0A"/>
          <w:sz w:val="22"/>
        </w:rPr>
        <w:t>Meta Ads — Film solaire à partir du 1er septembre 2026</w:t>
      </w:r>
    </w:p>
    <w:p>
      <w:pPr>
        <w:pStyle w:val="ListBullet"/>
        <w:spacing w:after="60" w:line="324" w:lineRule="auto"/>
        <w:keepLines/>
      </w:pPr>
      <w:r>
        <w:rPr>
          <w:rFonts w:ascii="Inter" w:hAnsi="Inter" w:cs="Inter" w:eastAsia="Inter"/>
          <w:color w:val="0A0A0A"/>
          <w:sz w:val="21"/>
        </w:rPr>
        <w:t>Création et configuration du compte Meta Ads (Facebook / Instagram).</w:t>
      </w:r>
    </w:p>
    <w:p>
      <w:pPr>
        <w:pStyle w:val="ListBullet"/>
        <w:spacing w:after="60" w:line="324" w:lineRule="auto"/>
        <w:keepLines/>
      </w:pPr>
      <w:r>
        <w:rPr>
          <w:rFonts w:ascii="Inter" w:hAnsi="Inter" w:cs="Inter" w:eastAsia="Inter"/>
          <w:color w:val="0A0A0A"/>
          <w:sz w:val="21"/>
        </w:rPr>
        <w:t>Définition de la cible locale : zone géographique, audiences et ciblages d'intérêt.</w:t>
      </w:r>
    </w:p>
    <w:p>
      <w:pPr>
        <w:pStyle w:val="ListBullet"/>
        <w:spacing w:after="60" w:line="324" w:lineRule="auto"/>
        <w:keepLines/>
      </w:pPr>
      <w:r>
        <w:rPr>
          <w:rFonts w:ascii="Inter" w:hAnsi="Inter" w:cs="Inter" w:eastAsia="Inter"/>
          <w:color w:val="0A0A0A"/>
          <w:sz w:val="21"/>
        </w:rPr>
        <w:t>Création d'une landing page dédiée à la génération de leads film solaire.</w:t>
      </w:r>
    </w:p>
    <w:p>
      <w:pPr>
        <w:pStyle w:val="ListBullet"/>
        <w:spacing w:after="60" w:line="324" w:lineRule="auto"/>
        <w:keepLines/>
      </w:pPr>
      <w:r>
        <w:rPr>
          <w:rFonts w:ascii="Inter" w:hAnsi="Inter" w:cs="Inter" w:eastAsia="Inter"/>
          <w:color w:val="0A0A0A"/>
          <w:sz w:val="21"/>
        </w:rPr>
        <w:t>Création de deux publicités Meta Ads pour le lancement : 250 € HT en frais unique.</w:t>
      </w:r>
    </w:p>
    <w:p>
      <w:pPr>
        <w:pStyle w:val="ListBullet"/>
        <w:spacing w:after="60" w:line="324" w:lineRule="auto"/>
        <w:keepLines/>
      </w:pPr>
      <w:r>
        <w:rPr>
          <w:rFonts w:ascii="Inter" w:hAnsi="Inter" w:cs="Inter" w:eastAsia="Inter"/>
          <w:color w:val="0A0A0A"/>
          <w:sz w:val="21"/>
        </w:rPr>
        <w:t>Gestion mensuelle des campagnes : 100 € HT / mois à partir du 1er septembre 2026, incluant optimisation, tests visuels et reporting mensuel.</w:t>
      </w:r>
    </w:p>
    <w:p>
      <w:pPr>
        <w:pStyle w:val="ListBullet"/>
        <w:spacing w:after="60" w:line="324" w:lineRule="auto"/>
        <w:keepLines/>
      </w:pPr>
      <w:r>
        <w:rPr>
          <w:rFonts w:ascii="Inter" w:hAnsi="Inter" w:cs="Inter" w:eastAsia="Inter"/>
          <w:color w:val="0A0A0A"/>
          <w:sz w:val="21"/>
        </w:rPr>
        <w:t>Mise en place d'un suivi des leads : formulaire dédié + tableau de bord partagé.</w:t>
      </w:r>
    </w:p>
    <w:p>
      <w:pPr>
        <w:pStyle w:val="ListBullet"/>
        <w:spacing w:after="60" w:line="324" w:lineRule="auto"/>
        <w:keepLines/>
      </w:pPr>
      <w:r>
        <w:rPr>
          <w:rFonts w:ascii="Inter" w:hAnsi="Inter" w:cs="Inter" w:eastAsia="Inter"/>
          <w:color w:val="0A0A0A"/>
          <w:sz w:val="21"/>
        </w:rPr>
        <w:t>Note : le budget publicitaire Meta est distinct des frais de gestion et reste réglé directement par Sophia auprès de Meta.</w:t>
      </w:r>
    </w:p>
    <w:p>
      <w:pPr>
        <w:spacing w:before="360" w:after="200" w:line="264" w:lineRule="auto"/>
        <w:keepNext w:val="1"/>
      </w:pPr>
      <w:r>
        <w:rPr>
          <w:rFonts w:ascii="Inter" w:hAnsi="Inter" w:cs="Inter" w:eastAsia="Inter"/>
          <w:b/>
          <w:color w:val="0A0A0A"/>
          <w:sz w:val="36"/>
        </w:rPr>
        <w:t>Calendrier</w:t>
      </w:r>
    </w:p>
    <w:p>
      <w:pPr>
        <w:spacing w:after="80"/>
      </w:pPr>
      <w:r>
        <w:rPr>
          <w:rFonts w:ascii="Inter" w:hAnsi="Inter" w:cs="Inter" w:eastAsia="Inter"/>
          <w:b/>
          <w:color w:val="0A0A0A"/>
          <w:sz w:val="21"/>
        </w:rPr>
        <w:t xml:space="preserve">Semaine 1  </w:t>
      </w:r>
      <w:r>
        <w:rPr>
          <w:rFonts w:ascii="Inter" w:hAnsi="Inter" w:cs="Inter" w:eastAsia="Inter"/>
          <w:color w:val="555555"/>
          <w:sz w:val="21"/>
        </w:rPr>
        <w:t>Audit du site existant, cadrage du nouveau site et préparation du brief Meta Ads.</w:t>
      </w:r>
    </w:p>
    <w:p>
      <w:pPr>
        <w:spacing w:after="80"/>
      </w:pPr>
      <w:r>
        <w:rPr>
          <w:rFonts w:ascii="Inter" w:hAnsi="Inter" w:cs="Inter" w:eastAsia="Inter"/>
          <w:b/>
          <w:color w:val="0A0A0A"/>
          <w:sz w:val="21"/>
        </w:rPr>
        <w:t xml:space="preserve">Semaines 2–3  </w:t>
      </w:r>
      <w:r>
        <w:rPr>
          <w:rFonts w:ascii="Inter" w:hAnsi="Inter" w:cs="Inter" w:eastAsia="Inter"/>
          <w:color w:val="555555"/>
          <w:sz w:val="21"/>
        </w:rPr>
        <w:t>Refonte du site web : structure, design, contenus et intégrations.</w:t>
      </w:r>
    </w:p>
    <w:p>
      <w:pPr>
        <w:spacing w:after="80"/>
      </w:pPr>
      <w:r>
        <w:rPr>
          <w:rFonts w:ascii="Inter" w:hAnsi="Inter" w:cs="Inter" w:eastAsia="Inter"/>
          <w:b/>
          <w:color w:val="0A0A0A"/>
          <w:sz w:val="21"/>
        </w:rPr>
        <w:t xml:space="preserve">Semaine 4  </w:t>
      </w:r>
      <w:r>
        <w:rPr>
          <w:rFonts w:ascii="Inter" w:hAnsi="Inter" w:cs="Inter" w:eastAsia="Inter"/>
          <w:color w:val="555555"/>
          <w:sz w:val="21"/>
        </w:rPr>
        <w:t>Mise en ligne du site et validation du parcours de génération de leads film solaire.</w:t>
      </w:r>
    </w:p>
    <w:p>
      <w:pPr>
        <w:spacing w:after="80"/>
      </w:pPr>
      <w:r>
        <w:rPr>
          <w:rFonts w:ascii="Inter" w:hAnsi="Inter" w:cs="Inter" w:eastAsia="Inter"/>
          <w:b/>
          <w:color w:val="0A0A0A"/>
          <w:sz w:val="21"/>
        </w:rPr>
        <w:t xml:space="preserve">À partir du 1er septembre 2026  </w:t>
      </w:r>
      <w:r>
        <w:rPr>
          <w:rFonts w:ascii="Inter" w:hAnsi="Inter" w:cs="Inter" w:eastAsia="Inter"/>
          <w:color w:val="555555"/>
          <w:sz w:val="21"/>
        </w:rPr>
        <w:t>Création des deux publicités, lancement et gestion mensuelle des campagnes Meta Ads.</w:t>
      </w:r>
    </w:p>
    <w:p>
      <w:pPr>
        <w:spacing w:before="360" w:after="200" w:line="264" w:lineRule="auto"/>
        <w:keepNext w:val="1"/>
      </w:pPr>
      <w:r>
        <w:rPr>
          <w:rFonts w:ascii="Inter" w:hAnsi="Inter" w:cs="Inter" w:eastAsia="Inter"/>
          <w:b/>
          <w:color w:val="0A0A0A"/>
          <w:sz w:val="36"/>
        </w:rPr>
        <w:t>Investissement</w:t>
      </w:r>
    </w:p>
    <w:p>
      <w:pPr>
        <w:spacing w:after="200" w:line="348" w:lineRule="auto"/>
      </w:pPr>
      <w:r>
        <w:rPr>
          <w:rFonts w:ascii="Inter" w:hAnsi="Inter" w:cs="Inter" w:eastAsia="Inter"/>
          <w:b w:val="0"/>
          <w:color w:val="0A0A0A"/>
          <w:sz w:val="21"/>
        </w:rPr>
        <w:t>Site web — refonte + maintenance : 150 € HT / mois.</w:t>
        <w:br/>
        <w:t>Gestion Meta Ads — Film solaire : 100 € HT / mois à partir du 1er septembre 2026.</w:t>
        <w:br/>
        <w:t>Forfait mensuel total site + gestion Meta Ads : 250 € HT / mois à partir du 1er septembre 2026.</w:t>
        <w:br/>
        <w:t>Création de deux publicités Meta Ads : 250 € HT en frais unique.</w:t>
        <w:br/>
        <w:t>Budget publicitaire Meta : non inclus, réglé directement par Sophia auprès de Meta.</w:t>
      </w:r>
    </w:p>
    <w:p>
      <w:pPr>
        <w:spacing w:before="360" w:after="200" w:line="264" w:lineRule="auto"/>
        <w:keepNext w:val="1"/>
      </w:pPr>
      <w:r>
        <w:rPr>
          <w:rFonts w:ascii="Inter" w:hAnsi="Inter" w:cs="Inter" w:eastAsia="Inter"/>
          <w:b/>
          <w:color w:val="0A0A0A"/>
          <w:sz w:val="36"/>
        </w:rPr>
        <w:t>Prochaines étapes</w:t>
      </w:r>
    </w:p>
    <w:p>
      <w:pPr>
        <w:pStyle w:val="ListBullet"/>
        <w:spacing w:after="60" w:line="324" w:lineRule="auto"/>
        <w:keepLines/>
      </w:pPr>
      <w:r>
        <w:rPr>
          <w:rFonts w:ascii="Inter" w:hAnsi="Inter" w:cs="Inter" w:eastAsia="Inter"/>
          <w:color w:val="0A0A0A"/>
          <w:sz w:val="21"/>
        </w:rPr>
        <w:t>Valider le périmètre site web et Meta Ads.</w:t>
      </w:r>
    </w:p>
    <w:p>
      <w:pPr>
        <w:pStyle w:val="ListBullet"/>
        <w:spacing w:after="60" w:line="324" w:lineRule="auto"/>
        <w:keepLines/>
      </w:pPr>
      <w:r>
        <w:rPr>
          <w:rFonts w:ascii="Inter" w:hAnsi="Inter" w:cs="Inter" w:eastAsia="Inter"/>
          <w:color w:val="0A0A0A"/>
          <w:sz w:val="21"/>
        </w:rPr>
        <w:t>Confirmer le budget publicitaire Meta Ads mensuel à régler directement à Meta.</w:t>
      </w:r>
    </w:p>
    <w:p>
      <w:pPr>
        <w:pStyle w:val="ListBullet"/>
        <w:spacing w:after="60" w:line="324" w:lineRule="auto"/>
        <w:keepLines/>
      </w:pPr>
      <w:r>
        <w:rPr>
          <w:rFonts w:ascii="Inter" w:hAnsi="Inter" w:cs="Inter" w:eastAsia="Inter"/>
          <w:color w:val="0A0A0A"/>
          <w:sz w:val="21"/>
        </w:rPr>
        <w:t>Accès à fournir : hébergement/domaine bsp37.com, accès Wix et compte Meta Business.</w:t>
      </w:r>
    </w:p>
    <w:p>
      <w:pPr>
        <w:pStyle w:val="ListBullet"/>
        <w:spacing w:after="60" w:line="324" w:lineRule="auto"/>
        <w:keepLines/>
      </w:pPr>
      <w:r>
        <w:rPr>
          <w:rFonts w:ascii="Inter" w:hAnsi="Inter" w:cs="Inter" w:eastAsia="Inter"/>
          <w:color w:val="0A0A0A"/>
          <w:sz w:val="21"/>
        </w:rPr>
        <w:t>Valider le lancement de la gestion Meta Ads au 1er septembre 2026.</w:t>
      </w:r>
    </w:p>
    <w:p>
      <w:pPr>
        <w:pStyle w:val="ListBullet"/>
        <w:spacing w:after="60" w:line="324" w:lineRule="auto"/>
        <w:keepLines/>
      </w:pPr>
      <w:r>
        <w:rPr>
          <w:rFonts w:ascii="Inter" w:hAnsi="Inter" w:cs="Inter" w:eastAsia="Inter"/>
          <w:color w:val="0A0A0A"/>
          <w:sz w:val="21"/>
        </w:rPr>
        <w:t>Signature de la proposition et règlement du premier mois pour démarrer.</w:t>
      </w:r>
    </w:p>
    <w:p>
      <w:pPr>
        <w:spacing w:before="600" w:after="200" w:line="264" w:lineRule="auto"/>
        <w:keepNext w:val="1"/>
      </w:pPr>
      <w:r>
        <w:rPr>
          <w:rFonts w:ascii="Inter" w:hAnsi="Inter" w:cs="Inter" w:eastAsia="Inter"/>
          <w:b/>
          <w:color w:val="0A0A0A"/>
          <w:sz w:val="36"/>
        </w:rPr>
        <w:t>Validation &amp; Signatures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592"/>
        <w:gridCol w:w="4592"/>
      </w:tblGrid>
      <w:tr>
        <w:tc>
          <w:tcPr>
            <w:tcW w:type="dxa" w:w="4608"/>
          </w:tcPr>
          <w:p>
            <w:pPr>
              <w:keepLines/>
            </w:pPr>
            <w:r>
              <w:rPr>
                <w:rFonts w:ascii="Inter" w:hAnsi="Inter" w:cs="Inter" w:eastAsia="Inter"/>
                <w:b/>
                <w:color w:val="0A0A0A"/>
                <w:sz w:val="21"/>
              </w:rPr>
              <w:t>Pour BSP 37 — Sophia Kanouni</w:t>
            </w:r>
          </w:p>
          <w:p>
            <w:pPr>
              <w:spacing w:before="160" w:after="720"/>
              <w:keepLines/>
            </w:pPr>
            <w:r>
              <w:rPr>
                <w:rFonts w:ascii="Inter" w:hAnsi="Inter" w:cs="Inter" w:eastAsia="Inter"/>
                <w:color w:val="555555"/>
                <w:sz w:val="21"/>
              </w:rPr>
              <w:t xml:space="preserve">Date : </w:t>
              <w:br/>
              <w:br/>
              <w:t>Signature :</w:t>
            </w:r>
          </w:p>
        </w:tc>
        <w:tc>
          <w:tcPr>
            <w:tcW w:type="dxa" w:w="4608"/>
          </w:tcPr>
          <w:p>
            <w:pPr>
              <w:keepLines/>
            </w:pPr>
            <w:r>
              <w:rPr>
                <w:rFonts w:ascii="Inter" w:hAnsi="Inter" w:cs="Inter" w:eastAsia="Inter"/>
                <w:b/>
                <w:color w:val="0A0A0A"/>
                <w:sz w:val="21"/>
              </w:rPr>
              <w:t>Pour Lucid-Lab</w:t>
            </w:r>
          </w:p>
          <w:p>
            <w:pPr>
              <w:spacing w:before="160" w:after="720"/>
              <w:keepLines/>
            </w:pPr>
            <w:r>
              <w:rPr>
                <w:rFonts w:ascii="Inter" w:hAnsi="Inter" w:cs="Inter" w:eastAsia="Inter"/>
                <w:color w:val="555555"/>
                <w:sz w:val="21"/>
              </w:rPr>
              <w:t xml:space="preserve">Date : </w:t>
              <w:br/>
              <w:br/>
              <w:t>Signature :</w:t>
            </w:r>
          </w:p>
        </w:tc>
      </w:tr>
    </w:tbl>
    <w:sectPr w:rsidR="00FC693F" w:rsidRPr="0006063C" w:rsidSect="00034616">
      <w:headerReference w:type="default" r:id="rId9"/>
      <w:headerReference w:type="first" r:id="rId10"/>
      <w:footerReference w:type="default" r:id="rId11"/>
      <w:pgSz w:w="11906" w:h="16838"/>
      <w:pgMar w:top="1247" w:right="1361" w:bottom="1247" w:left="1361" w:header="567" w:footer="567" w:gutter="0"/>
      <w:cols w:space="720"/>
      <w:docGrid w:linePitch="36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  <w:tabs>
        <w:tab w:val="right" w:pos="9000"/>
      </w:tabs>
    </w:pPr>
    <w:r>
      <w:rPr>
        <w:rFonts w:ascii="Inter" w:hAnsi="Inter" w:cs="Inter" w:eastAsia="Inter"/>
        <w:color w:val="999999"/>
        <w:sz w:val="16"/>
      </w:rPr>
      <w:t>lucid-lab.fr · info@lucid-lab.fr</w:t>
    </w:r>
    <w:r>
      <w:rPr>
        <w:rFonts w:ascii="Inter" w:hAnsi="Inter" w:cs="Inter" w:eastAsia="Inter"/>
        <w:color w:val="999999"/>
        <w:sz w:val="16"/>
      </w:rPr>
      <w:tab/>
    </w:r>
    <w:r>
      <w:rPr>
        <w:rFonts w:ascii="Inter" w:hAnsi="Inter" w:cs="Inter" w:eastAsia="Inter"/>
        <w:color w:val="999999"/>
        <w:sz w:val="16"/>
      </w:rPr>
      <w:fldChar w:fldCharType="begin"/>
      <w:instrText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Inter" w:hAnsi="Inter" w:cs="Inter" w:eastAsia="Inter"/>
        <w:b/>
        <w:color w:val="0A0A0A"/>
        <w:sz w:val="18"/>
      </w:rPr>
      <w:t>Lucid-Lab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nter" w:hAnsi="Inter" w:eastAsia="Inter"/>
      <w:color w:val="0A0A0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