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Syne-bold.ttf" ContentType="application/x-font-ttf"/>
  <Override PartName="/word/fonts/Sy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60" w:after="240"/>
      </w:pPr>
      <w:r>
        <w:rPr>
          <w:rFonts w:ascii="Syne" w:hAnsi="Syne"/>
          <w:b/>
          <w:color w:val="000000"/>
          <w:sz w:val="44"/>
        </w:rPr>
        <w:t>NON-DISCLOSURE AGREEMENT</w:t>
      </w:r>
    </w:p>
    <w:p>
      <w:pPr>
        <w:spacing w:before="0" w:after="280"/>
      </w:pPr>
      <w:r>
        <w:rPr>
          <w:color w:val="666666"/>
        </w:rPr>
        <w:t>Reference: NDA-20260528-ARTINCELL-00001   ·   Date: 28/05/2026   ·   Confidential document</w:t>
      </w:r>
    </w:p>
    <w:p>
      <w:pPr>
        <w:spacing w:before="0" w:after="280"/>
        <w:jc w:val="both"/>
      </w:pPr>
      <w:r>
        <w:rPr>
          <w:i/>
          <w:color w:val="666666"/>
        </w:rPr>
        <w:t>This Non-Disclosure Agreement (the "Agreement" or "NDA") governs the exchange of confidential information in the context of pre-contractual discussions between the Parties. It is entered into on a mutual basis: each Party may act as both a Disclosing Party and a Receiving Party.</w:t>
      </w:r>
    </w:p>
    <w:p>
      <w:pPr>
        <w:keepNext/>
        <w:spacing w:before="280" w:after="160"/>
      </w:pPr>
      <w:r>
        <w:rPr>
          <w:rFonts w:ascii="Syne" w:hAnsi="Syne"/>
          <w:b/>
          <w:color w:val="000000"/>
          <w:sz w:val="30"/>
        </w:rPr>
        <w:t>Parties</w:t>
      </w:r>
    </w:p>
    <w:tbl>
      <w:tblPr>
        <w:tblStyle w:val="Table1"/>
        <w:tblW w:type="auto" w:w="0"/>
        <w:tblLook w:firstColumn="1" w:firstRow="1" w:lastColumn="0" w:lastRow="0" w:noHBand="0" w:noVBand="1" w:val="04A0"/>
      </w:tblPr>
      <w:tblGrid>
        <w:gridCol w:w="9638"/>
      </w:tblGrid>
      <w:tr>
        <w:tc>
          <w:tcPr>
            <w:tcW w:type="dxa" w:w="9638"/>
            <w:shd w:val="clear" w:color="auto" w:fill="F8F8F8"/>
          </w:tcPr>
          <w:p>
            <w:pPr>
              <w:spacing w:before="0" w:after="40"/>
            </w:pPr>
            <w:r>
              <w:rPr>
                <w:b/>
                <w:sz w:val="19"/>
              </w:rPr>
              <w:t>Party A — Lucid-Lab (the Service Provider)</w:t>
            </w:r>
          </w:p>
          <w:p>
            <w:pPr>
              <w:spacing w:before="0" w:after="20"/>
            </w:pPr>
            <w:r>
              <w:t>Lucid-Lab, Société par actions simplifiée (SAS), registered capital €999,</w:t>
            </w:r>
          </w:p>
          <w:p>
            <w:pPr>
              <w:spacing w:before="0" w:after="20"/>
            </w:pPr>
            <w:r>
              <w:t>Registered office: 47 rue Vivienne, 75002 Paris, France</w:t>
            </w:r>
          </w:p>
          <w:p>
            <w:pPr>
              <w:spacing w:before="0" w:after="20"/>
            </w:pPr>
            <w:r>
              <w:t>RCS Paris no. 104 672 050  ·  VAT FR 02 104 672 050</w:t>
            </w:r>
          </w:p>
          <w:p>
            <w:pPr>
              <w:spacing w:before="0" w:after="20"/>
            </w:pPr>
            <w:r>
              <w:t>Represented by its Chairman, Periscope-X SARL,</w:t>
            </w:r>
          </w:p>
          <w:p>
            <w:pPr>
              <w:spacing w:before="0" w:after="20"/>
            </w:pPr>
            <w:r>
              <w:t>itself represented by Mr Anthony Poirier.</w:t>
            </w:r>
          </w:p>
        </w:tc>
      </w:tr>
    </w:tbl>
    <w:p>
      <w:pPr>
        <w:spacing w:after="80"/>
      </w:pPr>
    </w:p>
    <w:tbl>
      <w:tblPr>
        <w:tblStyle w:val="Table1"/>
        <w:tblW w:type="auto" w:w="0"/>
        <w:tblLook w:firstColumn="1" w:firstRow="1" w:lastColumn="0" w:lastRow="0" w:noHBand="0" w:noVBand="1" w:val="04A0"/>
      </w:tblPr>
      <w:tblGrid>
        <w:gridCol w:w="9638"/>
      </w:tblGrid>
      <w:tr>
        <w:tc>
          <w:tcPr>
            <w:tcW w:type="dxa" w:w="9638"/>
            <w:shd w:val="clear" w:color="auto" w:fill="F8F8F8"/>
          </w:tcPr>
          <w:p>
            <w:pPr>
              <w:spacing w:before="0" w:after="40"/>
            </w:pPr>
            <w:r>
              <w:rPr>
                <w:b/>
                <w:sz w:val="19"/>
              </w:rPr>
              <w:t>Party B — The Client</w:t>
            </w:r>
          </w:p>
          <w:p>
            <w:pPr>
              <w:spacing w:before="0" w:after="20"/>
            </w:pPr>
            <w:r>
              <w:t>Company: Artincell</w:t>
            </w:r>
          </w:p>
          <w:p>
            <w:pPr>
              <w:spacing w:before="0" w:after="20"/>
            </w:pPr>
            <w:r>
              <w:t>Address: artincell.com</w:t>
            </w:r>
          </w:p>
          <w:p>
            <w:pPr>
              <w:spacing w:before="0" w:after="20"/>
            </w:pPr>
            <w:r>
              <w:t>Registration no.: À compléter / To be completed</w:t>
            </w:r>
          </w:p>
          <w:p>
            <w:pPr>
              <w:spacing w:before="0" w:after="20"/>
            </w:pPr>
            <w:r>
              <w:t>Represented by: David Guzman, as Directeur Général / CEO</w:t>
            </w:r>
          </w:p>
          <w:p>
            <w:pPr>
              <w:spacing w:before="0" w:after="20"/>
            </w:pPr>
            <w:r>
              <w:t>Email: david@artincell.com</w:t>
            </w:r>
          </w:p>
        </w:tc>
      </w:tr>
    </w:tbl>
    <w:p>
      <w:pPr>
        <w:spacing w:after="80"/>
      </w:pPr>
    </w:p>
    <w:p>
      <w:pPr>
        <w:spacing w:before="0" w:after="80"/>
        <w:jc w:val="both"/>
      </w:pPr>
      <w:r>
        <w:t>Together referred to as the "Parties".</w:t>
      </w:r>
    </w:p>
    <w:p>
      <w:pPr>
        <w:keepNext/>
        <w:spacing w:before="280" w:after="160"/>
      </w:pPr>
      <w:r>
        <w:rPr>
          <w:rFonts w:ascii="Syne" w:hAnsi="Syne"/>
          <w:b/>
          <w:color w:val="000000"/>
          <w:sz w:val="30"/>
        </w:rPr>
        <w:t>Article 1 — Purpose and Context</w:t>
      </w:r>
    </w:p>
    <w:p>
      <w:pPr>
        <w:spacing w:before="0" w:after="80"/>
        <w:jc w:val="both"/>
      </w:pPr>
      <w:r>
        <w:t>This Agreement sets out the conditions under which the Parties undertake to protect the confidentiality of information exchanged in connection with pre-contractual discussions regarding:</w:t>
      </w:r>
    </w:p>
    <w:tbl>
      <w:tblPr>
        <w:tblStyle w:val="Table1"/>
        <w:tblW w:type="auto" w:w="0"/>
        <w:tblLook w:firstColumn="1" w:firstRow="1" w:lastColumn="0" w:lastRow="0" w:noHBand="0" w:noVBand="1" w:val="04A0"/>
      </w:tblPr>
      <w:tblGrid>
        <w:gridCol w:w="9638"/>
      </w:tblGrid>
      <w:tr>
        <w:tc>
          <w:tcPr>
            <w:tcW w:type="dxa" w:w="9638"/>
          </w:tcPr>
          <w:p>
            <w:pPr>
              <w:spacing w:before="40" w:after="40"/>
              <w:jc w:val="both"/>
            </w:pPr>
            <w:r>
              <w:rPr>
                <w:i/>
              </w:rPr>
              <w:t>Intégration de solutions d'intelligence artificielle pour l'expansion commerciale sur le marché européen — évaluation d'alternatives pour les fonctionnalités de suggested orders (XTE Chain), de détection de ventes perdues et de chat fournisseur.</w:t>
              <w:br/>
              <w:br/>
              <w:t>Integration of artificial intelligence solutions for European market expansion — evaluation of alternatives for suggested orders (XTE Chain), lost sales detection, and vendor chat features.</w:t>
            </w:r>
          </w:p>
        </w:tc>
      </w:tr>
    </w:tbl>
    <w:p>
      <w:pPr>
        <w:spacing w:after="80"/>
      </w:pPr>
    </w:p>
    <w:p>
      <w:pPr>
        <w:spacing w:before="0" w:after="80"/>
        <w:jc w:val="both"/>
      </w:pPr>
      <w:r>
        <w:t>Such discussions may include, without limitation: technical exchanges, demonstrations, commercial proposals, audits of existing systems, access to operational data, and any other sensitive information.</w:t>
      </w:r>
    </w:p>
    <w:p>
      <w:pPr>
        <w:keepNext/>
        <w:spacing w:before="280" w:after="160"/>
      </w:pPr>
      <w:r>
        <w:rPr>
          <w:rFonts w:ascii="Syne" w:hAnsi="Syne"/>
          <w:b/>
          <w:color w:val="000000"/>
          <w:sz w:val="30"/>
        </w:rPr>
        <w:t>Article 2 — Definition of Confidential Information</w:t>
      </w:r>
    </w:p>
    <w:p>
      <w:pPr>
        <w:spacing w:before="0" w:after="80"/>
        <w:jc w:val="both"/>
      </w:pPr>
      <w:r>
        <w:t>"Confidential Information" means all information, in any form (oral, written, electronic, visual), communicated by one Party (the "Disclosing Party") to the other (the "Receiving Party"), including but not limited to:</w:t>
      </w:r>
    </w:p>
    <w:p>
      <w:pPr>
        <w:spacing w:before="0" w:after="40"/>
      </w:pPr>
      <w:r>
        <w:t>•  technical architectures, source code, proprietary algorithms and software configurations;</w:t>
      </w:r>
    </w:p>
    <w:p>
      <w:pPr>
        <w:spacing w:before="0" w:after="40"/>
      </w:pPr>
      <w:r>
        <w:t>•  AI models, system prompts, training data, agent architectures and integrations;</w:t>
      </w:r>
    </w:p>
    <w:p>
      <w:pPr>
        <w:spacing w:before="0" w:after="40"/>
      </w:pPr>
      <w:r>
        <w:t>•  commercial, financial, pricing, strategic data and trade secrets;</w:t>
      </w:r>
    </w:p>
    <w:p>
      <w:pPr>
        <w:spacing w:before="0" w:after="40"/>
      </w:pPr>
      <w:r>
        <w:t>•  business processes, specifications, functional and technical requirements;</w:t>
      </w:r>
    </w:p>
    <w:p>
      <w:pPr>
        <w:spacing w:before="0" w:after="40"/>
      </w:pPr>
      <w:r>
        <w:t>•  credentials, API keys, tokens and authentication systems;</w:t>
      </w:r>
    </w:p>
    <w:p>
      <w:pPr>
        <w:spacing w:before="0" w:after="40"/>
      </w:pPr>
      <w:r>
        <w:t>•  information relating to suppliers, partners, customers and prospects;</w:t>
      </w:r>
    </w:p>
    <w:p>
      <w:pPr>
        <w:spacing w:before="0" w:after="40"/>
      </w:pPr>
      <w:r>
        <w:t>•  any information designated as confidential or whose confidential nature is reasonably apparent.</w:t>
      </w:r>
    </w:p>
    <w:p>
      <w:pPr>
        <w:keepNext/>
        <w:spacing w:before="280" w:after="160"/>
      </w:pPr>
      <w:r>
        <w:rPr>
          <w:rFonts w:ascii="Syne" w:hAnsi="Syne"/>
          <w:b/>
          <w:color w:val="000000"/>
          <w:sz w:val="30"/>
        </w:rPr>
        <w:t>Article 3 — Obligations of the Parties</w:t>
      </w:r>
    </w:p>
    <w:p>
      <w:pPr>
        <w:spacing w:before="0" w:after="80"/>
        <w:jc w:val="both"/>
      </w:pPr>
      <w:r>
        <w:t>Each Receiving Party undertakes to:</w:t>
      </w:r>
    </w:p>
    <w:p>
      <w:pPr>
        <w:spacing w:before="0" w:after="40"/>
      </w:pPr>
      <w:r>
        <w:t>•  treat Confidential Information with the same level of protection as its own confidential information, and at a minimum with reasonable care;</w:t>
      </w:r>
    </w:p>
    <w:p>
      <w:pPr>
        <w:spacing w:before="0" w:after="40"/>
      </w:pPr>
      <w:r>
        <w:t>•  not disclose Confidential Information to any third party without the prior written consent of the Disclosing Party;</w:t>
      </w:r>
    </w:p>
    <w:p>
      <w:pPr>
        <w:spacing w:before="0" w:after="40"/>
      </w:pPr>
      <w:r>
        <w:t>•  use Confidential Information solely for the purposes of the pre-contractual discussions referred to in Article 1;</w:t>
      </w:r>
    </w:p>
    <w:p>
      <w:pPr>
        <w:spacing w:before="0" w:after="40"/>
      </w:pPr>
      <w:r>
        <w:t>•  restrict access to persons who need to know it and who are bound by equivalent obligations;</w:t>
      </w:r>
    </w:p>
    <w:p>
      <w:pPr>
        <w:spacing w:before="0" w:after="40"/>
      </w:pPr>
      <w:r>
        <w:t>•  promptly notify the Disclosing Party of any unauthorised disclosure, even accidental.</w:t>
      </w:r>
    </w:p>
    <w:p>
      <w:pPr>
        <w:keepNext/>
        <w:spacing w:before="280" w:after="160"/>
      </w:pPr>
      <w:r>
        <w:rPr>
          <w:rFonts w:ascii="Syne" w:hAnsi="Syne"/>
          <w:b/>
          <w:color w:val="000000"/>
          <w:sz w:val="30"/>
        </w:rPr>
        <w:t>Article 4 — Third-Party and Partner Liability</w:t>
      </w:r>
    </w:p>
    <w:p>
      <w:pPr>
        <w:spacing w:before="0" w:after="80"/>
        <w:jc w:val="both"/>
      </w:pPr>
      <w:r>
        <w:t>The Receiving Party shall ensure that its partners, consultants, sub-contractors and affiliates who access Confidential Information are bound by confidentiality obligations at least as restrictive as those set out in this Agreement.</w:t>
      </w:r>
    </w:p>
    <w:p>
      <w:pPr>
        <w:spacing w:before="0" w:after="80"/>
        <w:jc w:val="both"/>
      </w:pPr>
      <w:r>
        <w:rPr>
          <w:b/>
        </w:rPr>
        <w:t>The Receiving Party is strictly and jointly liable for any breach of this Agreement committed by its partners, consultants or affiliates</w:t>
      </w:r>
      <w:r>
        <w:rPr>
          <w:b w:val="0"/>
        </w:rPr>
        <w:t>, as if such breach were its own.</w:t>
      </w:r>
    </w:p>
    <w:p>
      <w:pPr>
        <w:keepNext/>
        <w:spacing w:before="280" w:after="160"/>
      </w:pPr>
      <w:r>
        <w:rPr>
          <w:rFonts w:ascii="Syne" w:hAnsi="Syne"/>
          <w:b/>
          <w:color w:val="000000"/>
          <w:sz w:val="30"/>
        </w:rPr>
        <w:t>Article 5 — Exclusions</w:t>
      </w:r>
    </w:p>
    <w:p>
      <w:pPr>
        <w:spacing w:before="0" w:after="80"/>
        <w:jc w:val="both"/>
      </w:pPr>
      <w:r>
        <w:t>The obligations in Article 3 shall not apply to information that the Receiving Party demonstrates:</w:t>
      </w:r>
    </w:p>
    <w:p>
      <w:pPr>
        <w:spacing w:before="0" w:after="40"/>
      </w:pPr>
      <w:r>
        <w:t>•  was in the public domain at the time of communication, or entered the public domain through no fault of the Receiving Party;</w:t>
      </w:r>
    </w:p>
    <w:p>
      <w:pPr>
        <w:spacing w:before="0" w:after="40"/>
      </w:pPr>
      <w:r>
        <w:t>•  was already known to the Receiving Party prior to communication by the Disclosing Party;</w:t>
      </w:r>
    </w:p>
    <w:p>
      <w:pPr>
        <w:spacing w:before="0" w:after="40"/>
      </w:pPr>
      <w:r>
        <w:t>•  was independently developed without use of the Confidential Information;</w:t>
      </w:r>
    </w:p>
    <w:p>
      <w:pPr>
        <w:spacing w:before="0" w:after="40"/>
      </w:pPr>
      <w:r>
        <w:t>•  was lawfully obtained from a third party free from any obligation of confidence;</w:t>
      </w:r>
    </w:p>
    <w:p>
      <w:pPr>
        <w:spacing w:before="0" w:after="40"/>
      </w:pPr>
      <w:r>
        <w:t>•  is required to be disclosed by law or court order — in which case the Receiving Party shall notify the Disclosing Party in advance and limit disclosure to the minimum necessary.</w:t>
      </w:r>
    </w:p>
    <w:p>
      <w:pPr>
        <w:keepNext/>
        <w:spacing w:before="280" w:after="160"/>
      </w:pPr>
      <w:r>
        <w:rPr>
          <w:rFonts w:ascii="Syne" w:hAnsi="Syne"/>
          <w:b/>
          <w:color w:val="000000"/>
          <w:sz w:val="30"/>
        </w:rPr>
        <w:t>Article 6 — Term</w:t>
      </w:r>
    </w:p>
    <w:p>
      <w:pPr>
        <w:spacing w:before="0" w:after="80"/>
        <w:jc w:val="both"/>
      </w:pPr>
      <w:r>
        <w:t>This Agreement takes effect upon signature and remains in force for 5 years from the date of the last disclosure of Confidential Information, unless terminated earlier by written agreement. Obligations relating to information constituting trade secrets survive the expiry of this Agreement indefinitely.</w:t>
      </w:r>
    </w:p>
    <w:p>
      <w:pPr>
        <w:keepNext/>
        <w:spacing w:before="280" w:after="160"/>
      </w:pPr>
      <w:r>
        <w:rPr>
          <w:rFonts w:ascii="Syne" w:hAnsi="Syne"/>
          <w:b/>
          <w:color w:val="000000"/>
          <w:sz w:val="30"/>
        </w:rPr>
        <w:t>Article 7 — Penalties and Damages</w:t>
      </w:r>
    </w:p>
    <w:p>
      <w:pPr>
        <w:spacing w:before="0" w:after="80"/>
        <w:jc w:val="both"/>
      </w:pPr>
      <w:r>
        <w:t>The Parties acknowledge that any breach of this Agreement would cause the Disclosing Party irreparable harm for which monetary damages alone may be insufficient.</w:t>
      </w:r>
    </w:p>
    <w:tbl>
      <w:tblPr>
        <w:tblStyle w:val="Table1"/>
        <w:tblW w:type="auto" w:w="0"/>
        <w:tblLook w:firstColumn="1" w:firstRow="1" w:lastColumn="0" w:lastRow="0" w:noHBand="0" w:noVBand="1" w:val="04A0"/>
      </w:tblPr>
      <w:tblGrid>
        <w:gridCol w:w="9638"/>
      </w:tblGrid>
      <w:tr>
        <w:tc>
          <w:tcPr>
            <w:tcW w:type="dxa" w:w="9638"/>
            <w:shd w:val="clear" w:color="auto" w:fill="FDF6F2"/>
            <w:tcBorders>
              <w:top w:val="single" w:sz="4" w:color="D0D0D0"/>
              <w:left w:val="thick" w:sz="18" w:color="C85E1A"/>
              <w:bottom w:val="single" w:sz="4" w:color="D0D0D0"/>
              <w:right w:val="single" w:sz="4" w:color="D0D0D0"/>
            </w:tcBorders>
          </w:tcPr>
          <w:p>
            <w:pPr>
              <w:spacing w:before="0" w:after="40"/>
              <w:jc w:val="both"/>
            </w:pPr>
            <w:r>
              <w:rPr>
                <w:b w:val="0"/>
                <w:color w:val="000000"/>
                <w:sz w:val="18"/>
              </w:rPr>
              <w:t>In the event of a proven breach of this Agreement, the breaching Party shall pay the injured Party:</w:t>
            </w:r>
          </w:p>
          <w:p>
            <w:pPr>
              <w:spacing w:before="0" w:after="40"/>
              <w:jc w:val="both"/>
            </w:pPr>
            <w:r>
              <w:rPr>
                <w:b/>
                <w:color w:val="C85E1A"/>
                <w:sz w:val="24"/>
              </w:rPr>
              <w:t>€250,000 (two hundred and fifty thousand euros) per breach</w:t>
            </w:r>
          </w:p>
          <w:p>
            <w:pPr>
              <w:spacing w:before="0" w:after="40"/>
              <w:jc w:val="both"/>
            </w:pPr>
            <w:r>
              <w:rPr>
                <w:b w:val="0"/>
                <w:color w:val="000000"/>
                <w:sz w:val="18"/>
              </w:rPr>
              <w:t>as liquidated damages, without prejudice to the injured Party's right to claim additional compensation for actual losses exceeding this amount, as well as any injunctive or other equitable relief.</w:t>
            </w:r>
          </w:p>
        </w:tc>
      </w:tr>
    </w:tbl>
    <w:p>
      <w:pPr>
        <w:spacing w:after="80"/>
      </w:pPr>
    </w:p>
    <w:p>
      <w:pPr>
        <w:spacing w:before="0" w:after="80"/>
        <w:jc w:val="both"/>
      </w:pPr>
      <w:r>
        <w:t>Payment of this penalty does not release the breaching Party from its obligations under this Agreement.</w:t>
      </w:r>
    </w:p>
    <w:p>
      <w:pPr>
        <w:keepNext/>
        <w:spacing w:before="280" w:after="160"/>
      </w:pPr>
      <w:r>
        <w:rPr>
          <w:rFonts w:ascii="Syne" w:hAnsi="Syne"/>
          <w:b/>
          <w:color w:val="000000"/>
          <w:sz w:val="30"/>
        </w:rPr>
        <w:t>Article 8 — Non-Solicitation and Non-Circumvention</w:t>
      </w:r>
    </w:p>
    <w:p>
      <w:pPr>
        <w:spacing w:before="0" w:after="80"/>
        <w:jc w:val="both"/>
      </w:pPr>
      <w:r>
        <w:t>For the duration of this Agreement and twenty-four (24) months thereafter, each Party shall not solicit or hire any employee or sub-contractor of the other Party who participated in the discussions, nor contact directly any suppliers, partners or prospects whose identity was disclosed in the context of those discussions. A breach shall incur a fixed penalty of €20,000 per infringement, without prejudice to the application of Article 7.</w:t>
      </w:r>
    </w:p>
    <w:p>
      <w:pPr>
        <w:keepNext/>
        <w:spacing w:before="280" w:after="160"/>
      </w:pPr>
      <w:r>
        <w:rPr>
          <w:rFonts w:ascii="Syne" w:hAnsi="Syne"/>
          <w:b/>
          <w:color w:val="000000"/>
          <w:sz w:val="30"/>
        </w:rPr>
        <w:t>Article 9 — Ownership of Confidential Information</w:t>
      </w:r>
    </w:p>
    <w:p>
      <w:pPr>
        <w:spacing w:before="0" w:after="80"/>
        <w:jc w:val="both"/>
      </w:pPr>
      <w:r>
        <w:t>This Agreement does not grant the Receiving Party any intellectual property rights, licence, or other rights in respect of Confidential Information. All Confidential Information remains the exclusive property of the Disclosing Party.</w:t>
      </w:r>
    </w:p>
    <w:p>
      <w:pPr>
        <w:keepNext/>
        <w:spacing w:before="280" w:after="160"/>
      </w:pPr>
      <w:r>
        <w:rPr>
          <w:rFonts w:ascii="Syne" w:hAnsi="Syne"/>
          <w:b/>
          <w:color w:val="000000"/>
          <w:sz w:val="30"/>
        </w:rPr>
        <w:t>Article 10 — Return and Destruction of Information</w:t>
      </w:r>
    </w:p>
    <w:p>
      <w:pPr>
        <w:spacing w:before="0" w:after="80"/>
        <w:jc w:val="both"/>
      </w:pPr>
      <w:r>
        <w:t>Upon written request by the Disclosing Party, or upon expiry of the Agreement without conclusion of a services contract, the Receiving Party shall return or destroy all media containing Confidential Information and certify such destruction in writing within fifteen (15) business days.</w:t>
      </w:r>
    </w:p>
    <w:p>
      <w:pPr>
        <w:keepNext/>
        <w:spacing w:before="280" w:after="160"/>
      </w:pPr>
      <w:r>
        <w:rPr>
          <w:rFonts w:ascii="Syne" w:hAnsi="Syne"/>
          <w:b/>
          <w:color w:val="000000"/>
          <w:sz w:val="30"/>
        </w:rPr>
        <w:t>Article 11 — Data Protection</w:t>
      </w:r>
    </w:p>
    <w:p>
      <w:pPr>
        <w:spacing w:before="0" w:after="80"/>
        <w:jc w:val="both"/>
      </w:pPr>
      <w:r>
        <w:t>Where personal data is communicated in the course of the discussions, each Party undertakes to process it in compliance with the GDPR (EU) 2016/679, solely for the purposes of the discussions referred to in Article 1.</w:t>
      </w:r>
    </w:p>
    <w:p>
      <w:pPr>
        <w:keepNext/>
        <w:spacing w:before="280" w:after="160"/>
      </w:pPr>
      <w:r>
        <w:rPr>
          <w:rFonts w:ascii="Syne" w:hAnsi="Syne"/>
          <w:b/>
          <w:color w:val="000000"/>
          <w:sz w:val="30"/>
        </w:rPr>
        <w:t>Article 12 — Governing Law and Jurisdiction</w:t>
      </w:r>
    </w:p>
    <w:p>
      <w:pPr>
        <w:spacing w:before="0" w:after="80"/>
        <w:jc w:val="both"/>
      </w:pPr>
      <w:r>
        <w:t>This Agreement is governed by French law. In the absence of an amicable resolution within thirty (30) days, any dispute shall be submitted to the exclusive jurisdiction of the Commercial Court of Paris (Tribunal des activités économiques de Paris).</w:t>
      </w:r>
    </w:p>
    <w:p>
      <w:pPr>
        <w:keepNext/>
        <w:spacing w:before="280" w:after="160"/>
      </w:pPr>
      <w:r>
        <w:rPr>
          <w:rFonts w:ascii="Syne" w:hAnsi="Syne"/>
          <w:b/>
          <w:color w:val="000000"/>
          <w:sz w:val="30"/>
        </w:rPr>
        <w:t>Article 13 — Miscellaneous</w:t>
      </w:r>
    </w:p>
    <w:p>
      <w:pPr>
        <w:spacing w:before="0" w:after="80"/>
        <w:jc w:val="both"/>
      </w:pPr>
      <w:r>
        <w:t>This Agreement constitutes the entire agreement between the Parties with respect to confidentiality and does not constitute a commitment to enter into a services contract or an exclusivity of negotiation. Any amendment shall be made by a written addendum signed by both Parties. The invalidity of any provision shall not affect the remaining provisions.</w:t>
      </w:r>
    </w:p>
    <w:p>
      <w:pPr>
        <w:keepNext/>
        <w:spacing w:before="280" w:after="160"/>
      </w:pPr>
      <w:r>
        <w:rPr>
          <w:rFonts w:ascii="Syne" w:hAnsi="Syne"/>
          <w:b/>
          <w:color w:val="000000"/>
          <w:sz w:val="30"/>
        </w:rPr>
        <w:t>Acceptance and Signatures</w:t>
      </w:r>
    </w:p>
    <w:p>
      <w:pPr>
        <w:spacing w:before="0" w:after="80"/>
        <w:jc w:val="both"/>
      </w:pPr>
      <w:r>
        <w:t>By signing this Agreement, the Client confirms having read, understood and accepted all of its provisions, including the liquidated damages clause of €250,000 per breach (Article 7).</w:t>
      </w:r>
    </w:p>
    <w:tbl>
      <w:tblPr>
        <w:tblStyle w:val="Table1"/>
        <w:tblW w:type="auto" w:w="0"/>
        <w:tblLook w:firstColumn="1" w:firstRow="1" w:lastColumn="0" w:lastRow="0" w:noHBand="0" w:noVBand="1" w:val="04A0"/>
      </w:tblPr>
      <w:tblGrid>
        <w:gridCol w:w="4819"/>
        <w:gridCol w:w="4819"/>
      </w:tblGrid>
      <w:tr>
        <w:tc>
          <w:tcPr>
            <w:tcW w:type="dxa" w:w="4819"/>
          </w:tcPr>
          <w:p>
            <w:pPr>
              <w:spacing w:before="40" w:after="40"/>
            </w:pPr>
            <w:r>
              <w:rPr>
                <w:b/>
                <w:sz w:val="19"/>
              </w:rPr>
              <w:t>For the Client</w:t>
            </w:r>
          </w:p>
        </w:tc>
        <w:tc>
          <w:tcPr>
            <w:tcW w:type="dxa" w:w="4819"/>
          </w:tcPr>
          <w:p>
            <w:pPr>
              <w:spacing w:before="40" w:after="40"/>
            </w:pPr>
            <w:r>
              <w:rPr>
                <w:b/>
                <w:sz w:val="19"/>
              </w:rPr>
              <w:t>For Lucid-Lab</w:t>
            </w:r>
          </w:p>
        </w:tc>
      </w:tr>
      <w:tr>
        <w:tc>
          <w:tcPr>
            <w:tcW w:type="dxa" w:w="4819"/>
          </w:tcPr>
          <w:p>
            <w:pPr>
              <w:spacing w:before="40" w:after="40"/>
            </w:pPr>
            <w:r>
              <w:rPr>
                <w:b w:val="0"/>
                <w:sz w:val="19"/>
              </w:rPr>
              <w:t>Date : ___________________</w:t>
            </w:r>
          </w:p>
        </w:tc>
        <w:tc>
          <w:tcPr>
            <w:tcW w:type="dxa" w:w="4819"/>
          </w:tcPr>
          <w:p>
            <w:pPr>
              <w:spacing w:before="40" w:after="40"/>
            </w:pPr>
            <w:r>
              <w:rPr>
                <w:b w:val="0"/>
                <w:sz w:val="19"/>
              </w:rPr>
              <w:t>Date : ___________________</w:t>
            </w:r>
          </w:p>
        </w:tc>
      </w:tr>
      <w:tr>
        <w:tc>
          <w:tcPr>
            <w:tcW w:type="dxa" w:w="4819"/>
          </w:tcPr>
          <w:p>
            <w:pPr>
              <w:spacing w:before="40" w:after="40"/>
            </w:pPr>
            <w:r>
              <w:rPr>
                <w:b w:val="0"/>
                <w:sz w:val="19"/>
              </w:rPr>
              <w:t>Lieu : ___________________</w:t>
            </w:r>
          </w:p>
        </w:tc>
        <w:tc>
          <w:tcPr>
            <w:tcW w:type="dxa" w:w="4819"/>
          </w:tcPr>
          <w:p>
            <w:pPr>
              <w:spacing w:before="40" w:after="40"/>
            </w:pPr>
            <w:r>
              <w:rPr>
                <w:b w:val="0"/>
                <w:sz w:val="19"/>
              </w:rPr>
              <w:t>Lieu : ___________________</w:t>
            </w:r>
          </w:p>
        </w:tc>
      </w:tr>
      <w:tr>
        <w:tc>
          <w:tcPr>
            <w:tcW w:type="dxa" w:w="4819"/>
          </w:tcPr>
          <w:p>
            <w:pPr>
              <w:spacing w:before="40" w:after="280"/>
            </w:pPr>
            <w:r>
              <w:rPr>
                <w:b w:val="0"/>
                <w:sz w:val="19"/>
              </w:rPr>
              <w:t>Nom et signature précédés de</w:t>
              <w:br/>
              <w:t>« Lu et approuvé, bon pour accord »</w:t>
              <w:br/>
              <w:br/>
              <w:br/>
              <w:t>_________________________</w:t>
            </w:r>
          </w:p>
        </w:tc>
        <w:tc>
          <w:tcPr>
            <w:tcW w:type="dxa" w:w="4819"/>
          </w:tcPr>
          <w:p>
            <w:pPr>
              <w:spacing w:before="40" w:after="280"/>
            </w:pPr>
            <w:r>
              <w:rPr>
                <w:b w:val="0"/>
                <w:sz w:val="19"/>
              </w:rPr>
              <w:t>Nom et signature précédés de</w:t>
              <w:br/>
              <w:t>« Lu et approuvé, bon pour accord »</w:t>
              <w:br/>
              <w:br/>
              <w:br/>
              <w:t>_________________________</w:t>
            </w:r>
          </w:p>
        </w:tc>
      </w:tr>
    </w:tbl>
    <w:sectPr>
      <w:headerReference r:id="rId7" w:type="default"/>
      <w:footerReference r:id="rId8" w:type="default"/>
      <w:pgSz w:h="16838" w:w="11906" w:orient="portrait"/>
      <w:pgMar w:bottom="1134" w:top="124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Inter" w:cs="Inter" w:eastAsia="Inter" w:hAnsi="Inter"/>
        <w:b w:val="0"/>
        <w:bCs w:val="0"/>
        <w:i w:val="0"/>
        <w:iCs w:val="0"/>
        <w:smallCaps w:val="0"/>
        <w:strike w:val="0"/>
        <w:color w:val="0a0a0a"/>
        <w:sz w:val="21"/>
        <w:szCs w:val="21"/>
        <w:u w:val="none"/>
        <w:shd w:fill="auto" w:val="clear"/>
        <w:vertAlign w:val="baseline"/>
      </w:rPr>
    </w:pPr>
    <w:r w:rsidDel="00000000" w:rsidR="00000000" w:rsidRPr="00000000">
      <w:rPr>
        <w:rFonts w:ascii="Inter" w:cs="Inter" w:eastAsia="Inter" w:hAnsi="Inter"/>
        <w:b w:val="0"/>
        <w:bCs w:val="0"/>
        <w:i w:val="0"/>
        <w:iCs w:val="0"/>
        <w:smallCaps w:val="0"/>
        <w:strike w:val="0"/>
        <w:color w:val="666666"/>
        <w:sz w:val="15"/>
        <w:szCs w:val="15"/>
        <w:u w:val="none"/>
        <w:shd w:fill="auto" w:val="clear"/>
        <w:vertAlign w:val="baseline"/>
        <w:rtl w:val="0"/>
      </w:rPr>
      <w:t>Lucid-Lab · SAS au capital de 999 € · RCS Paris 104 672 050 · TVA FR 02 104 672 050 · 47 rue Vivienne, 75002 Paris · France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0a0a0a"/>
        <w:sz w:val="21"/>
        <w:szCs w:val="21"/>
        <w:u w:val="none"/>
        <w:shd w:fill="auto" w:val="clear"/>
        <w:vertAlign w:val="baseline"/>
      </w:rPr>
    </w:pPr>
    <w:r w:rsidDel="00000000" w:rsidR="00000000" w:rsidRPr="00000000">
      <w:rPr>
        <w:rFonts w:ascii="Syne" w:cs="Syne" w:eastAsia="Syne" w:hAnsi="Syne"/>
        <w:b w:val="1"/>
        <w:bCs w:val="1"/>
        <w:i w:val="0"/>
        <w:iCs w:val="0"/>
        <w:smallCaps w:val="0"/>
        <w:strike w:val="0"/>
        <w:color w:val="000000"/>
        <w:sz w:val="26"/>
        <w:szCs w:val="26"/>
        <w:u w:val="none"/>
        <w:shd w:fill="auto" w:val="clear"/>
        <w:vertAlign w:val="baseline"/>
        <w:rtl w:val="0"/>
      </w:rPr>
      <w:t xml:space="preserve">Lucid-Lab</w:t>
    </w:r>
    <w:r w:rsidDel="00000000" w:rsidR="00000000" w:rsidRPr="00000000">
      <w:rPr>
        <w:rFonts w:ascii="Inter" w:cs="Inter" w:eastAsia="Inter" w:hAnsi="Inter"/>
        <w:b w:val="0"/>
        <w:bCs w:val="0"/>
        <w:i w:val="0"/>
        <w:iCs w:val="0"/>
        <w:smallCaps w:val="0"/>
        <w:strike w:val="0"/>
        <w:color w:val="0a0a0a"/>
        <w:sz w:val="21"/>
        <w:szCs w:val="21"/>
        <w:u w:val="none"/>
        <w:shd w:fill="auto" w:val="clear"/>
        <w:vertAlign w:val="baseline"/>
        <w:rtl w:val="0"/>
      </w:rPr>
      <w:t xml:space="preserve">    </w:t>
    </w:r>
    <w:r w:rsidDel="00000000" w:rsidR="00000000" w:rsidRPr="00000000">
      <w:rPr>
        <w:rFonts w:ascii="Inter" w:cs="Inter" w:eastAsia="Inter" w:hAnsi="Inter"/>
        <w:b w:val="0"/>
        <w:bCs w:val="0"/>
        <w:i w:val="1"/>
        <w:iCs w:val="1"/>
        <w:smallCaps w:val="0"/>
        <w:strike w:val="0"/>
        <w:color w:val="666666"/>
        <w:sz w:val="18"/>
        <w:szCs w:val="18"/>
        <w:u w:val="none"/>
        <w:shd w:fill="auto" w:val="clear"/>
        <w:vertAlign w:val="baseline"/>
        <w:rtl w:val="0"/>
      </w:rPr>
      <w:t>Non-Disclosure Agreement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-66674</wp:posOffset>
          </wp:positionV>
          <wp:extent cx="322897" cy="322897"/>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2897" cy="32289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a0a0a"/>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yne-regular.ttf"/><Relationship Id="rId6" Type="http://schemas.openxmlformats.org/officeDocument/2006/relationships/font" Target="fonts/Syn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3+wNRkqY7mtH5J6yCt+OZB9nNg==">CgMxLjA4AHIhMVFfdS0tSDBIcm1aZ2xMQW1SUFdnRWhsVEwzY1YzY2p4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