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</w:pPr>
      <w:r>
        <w:rPr>
          <w:rFonts w:ascii="Syne" w:hAnsi="Syne"/>
          <w:b/>
          <w:color w:val="000000"/>
          <w:sz w:val="44"/>
        </w:rPr>
        <w:t>PROPOSITION D'ACCOMPAGNEMENT</w:t>
      </w:r>
    </w:p>
    <w:p>
      <w:pPr>
        <w:spacing w:after="80"/>
      </w:pPr>
      <w:r>
        <w:rPr>
          <w:b/>
        </w:rPr>
        <w:t>Sinibaldi Agency, Clément Sinibaldi</w:t>
      </w:r>
    </w:p>
    <w:p>
      <w:pPr>
        <w:spacing w:after="280"/>
      </w:pPr>
      <w:r>
        <w:rPr>
          <w:color w:val="666666"/>
        </w:rPr>
        <w:t>Développement d'une plateforme IA de génération automatique de dossiers de permis de construire. Phase 1 B2B.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3600"/>
            <w:shd w:val="clear" w:color="auto" w:fill="F5F5F2"/>
          </w:tcPr>
          <w:p>
            <w:r>
              <w:rPr>
                <w:b/>
                <w:sz w:val="19"/>
              </w:rPr>
              <w:t>Client</w:t>
            </w:r>
          </w:p>
        </w:tc>
        <w:tc>
          <w:tcPr>
            <w:tcW w:type="dxa" w:w="9360"/>
            <w:shd w:val="clear" w:color="auto" w:fill="F5F5F2"/>
          </w:tcPr>
          <w:p>
            <w:r>
              <w:rPr>
                <w:sz w:val="20"/>
              </w:rPr>
              <w:t>Sinibaldi Agency, Clément Sinibaldi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9 juin 2026</w:t>
            </w:r>
          </w:p>
        </w:tc>
      </w:tr>
      <w:tr>
        <w:tc>
          <w:tcPr>
            <w:tcW w:type="dxa" w:w="3600"/>
            <w:shd w:val="clear" w:color="auto" w:fill="F5F5F2"/>
          </w:tcPr>
          <w:p>
            <w:r>
              <w:rPr>
                <w:b/>
                <w:sz w:val="19"/>
              </w:rPr>
              <w:t>Contact</w:t>
            </w:r>
          </w:p>
        </w:tc>
        <w:tc>
          <w:tcPr>
            <w:tcW w:type="dxa" w:w="9360"/>
            <w:shd w:val="clear" w:color="auto" w:fill="F5F5F2"/>
          </w:tcPr>
          <w:p>
            <w:r>
              <w:rPr>
                <w:sz w:val="20"/>
              </w:rPr>
              <w:t>Lucid-Lab, info@lucid-lab.fr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9"/>
              </w:rPr>
              <w:t>Référence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PROP-2026-010</w:t>
            </w:r>
          </w:p>
        </w:tc>
      </w:tr>
      <w:tr>
        <w:tc>
          <w:tcPr>
            <w:tcW w:type="dxa" w:w="3600"/>
            <w:shd w:val="clear" w:color="auto" w:fill="F5F5F2"/>
          </w:tcPr>
          <w:p>
            <w:r>
              <w:rPr>
                <w:b/>
                <w:sz w:val="19"/>
              </w:rPr>
              <w:t>Validité</w:t>
            </w:r>
          </w:p>
        </w:tc>
        <w:tc>
          <w:tcPr>
            <w:tcW w:type="dxa" w:w="9360"/>
            <w:shd w:val="clear" w:color="auto" w:fill="F5F5F2"/>
          </w:tcPr>
          <w:p>
            <w:r>
              <w:rPr>
                <w:sz w:val="20"/>
              </w:rPr>
              <w:t>30 jours à compter de la date d'émission</w:t>
            </w:r>
          </w:p>
        </w:tc>
      </w:tr>
    </w:tbl>
    <w:p>
      <w:pPr>
        <w:spacing w:after="280"/>
      </w:pP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Objectif</w:t>
      </w:r>
    </w:p>
    <w:p>
      <w:pPr>
        <w:spacing w:after="80"/>
      </w:pPr>
      <w:r>
        <w:t>Sinibaldi Agency produit chaque mois des dossiers complets de Déclarations Préalables et Permis de Construire pour ses clients : plans de situation, plans cadastraux, notices architecturales, élévations de façades (état existant et état projet), rendus. Chaque dossier mobilise plusieurs heures de production manuelle.</w:t>
      </w:r>
    </w:p>
    <w:p>
      <w:pPr>
        <w:spacing w:after="80"/>
      </w:pPr>
      <w:r>
        <w:t>L'objectif de cet accompagnement est de concevoir et de développer une plateforme IA capable de générer automatiquement l'ensemble de ces pièces graphiques et écrites, à partir des données de projet : adresse, références cadastrales, description des travaux, photos de l'existant. L'IA produit les plans, les élévations, les rendus et les notices en quelques minutes, au standard attendu par les services instructeurs.</w:t>
      </w:r>
    </w:p>
    <w:p>
      <w:pPr>
        <w:spacing w:after="280"/>
      </w:pPr>
      <w:r>
        <w:t>La stratégie retenue est une approche en deux phases : Phase 1 B2B (3 mois, 9 000 € HT) pour développer et valider le MVP avec Sinibaldi Agency et un premier panel professionnel. Phase 2 B2C, budget à définir conjointement à l'issue de la Phase 1, pour un lancement auprès des particuliers souhaitant gérer eux-mêmes leur dossier de travaux.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Périmètre</w:t>
      </w:r>
    </w:p>
    <w:p>
      <w:pPr>
        <w:spacing w:before="200" w:after="120"/>
      </w:pPr>
      <w:r>
        <w:rPr>
          <w:rFonts w:ascii="Syne" w:hAnsi="Syne"/>
          <w:b/>
          <w:color w:val="000000"/>
          <w:sz w:val="24"/>
        </w:rPr>
        <w:t>Moteur IA : génération des pièces du dossier</w:t>
      </w:r>
    </w:p>
    <w:p>
      <w:pPr>
        <w:spacing w:after="40"/>
        <w:ind w:left="283"/>
      </w:pPr>
      <w:r>
        <w:t>•  Plans de situation et plans cadastraux générés automatiquement à partir de l'adresse et des références parcellaires (intégration des données cadastrales officielles : Géoportail, API cadastre).</w:t>
      </w:r>
    </w:p>
    <w:p>
      <w:pPr>
        <w:spacing w:after="40"/>
        <w:ind w:left="283"/>
      </w:pPr>
      <w:r>
        <w:t>•  Notices architecturales rédigées automatiquement à partir de la description du projet : nature des travaux, matériaux, dimensions, caractéristiques de l'existant.</w:t>
      </w:r>
    </w:p>
    <w:p>
      <w:pPr>
        <w:spacing w:after="40"/>
        <w:ind w:left="283"/>
      </w:pPr>
      <w:r>
        <w:t>•  Élévations de façades (état existant et état projet) générées par IA à partir de photos de la construction et de la description des modifications.</w:t>
      </w:r>
    </w:p>
    <w:p>
      <w:pPr>
        <w:spacing w:after="40"/>
        <w:ind w:left="283"/>
      </w:pPr>
      <w:r>
        <w:t>•  Rendus architecturaux produits par IA pour illustrer le dossier.</w:t>
      </w:r>
    </w:p>
    <w:p>
      <w:pPr>
        <w:spacing w:after="40"/>
        <w:ind w:left="283"/>
      </w:pPr>
      <w:r>
        <w:t>•  Pré-remplissage des formulaires CERFA (13703, 16702, 13406…) à partir des données saisies.</w:t>
      </w:r>
    </w:p>
    <w:p>
      <w:pPr>
        <w:spacing w:before="200" w:after="120"/>
      </w:pPr>
      <w:r>
        <w:rPr>
          <w:rFonts w:ascii="Syne" w:hAnsi="Syne"/>
          <w:b/>
          <w:color w:val="000000"/>
          <w:sz w:val="24"/>
        </w:rPr>
        <w:t>Interface et workflow</w:t>
      </w:r>
    </w:p>
    <w:p>
      <w:pPr>
        <w:spacing w:after="40"/>
        <w:ind w:left="283"/>
      </w:pPr>
      <w:r>
        <w:t>•  Interface de saisie structurée : adresse, références cadastrales, type de travaux, photos de l'existant, description du projet.</w:t>
      </w:r>
    </w:p>
    <w:p>
      <w:pPr>
        <w:spacing w:after="40"/>
        <w:ind w:left="283"/>
      </w:pPr>
      <w:r>
        <w:t>•  Génération du dossier complet en PDF au format attendu par les services instructeurs.</w:t>
      </w:r>
    </w:p>
    <w:p>
      <w:pPr>
        <w:spacing w:after="40"/>
        <w:ind w:left="283"/>
      </w:pPr>
      <w:r>
        <w:t>•  Relecture et ajustement possibles par l'architecte avant envoi.</w:t>
      </w:r>
    </w:p>
    <w:p>
      <w:pPr>
        <w:spacing w:after="40"/>
        <w:ind w:left="283"/>
      </w:pPr>
      <w:r>
        <w:t>•  Archivage et gestion des dossiers par client / projet.</w:t>
      </w:r>
    </w:p>
    <w:p>
      <w:pPr>
        <w:spacing w:before="200" w:after="120"/>
      </w:pPr>
      <w:r>
        <w:rPr>
          <w:rFonts w:ascii="Syne" w:hAnsi="Syne"/>
          <w:b/>
          <w:color w:val="000000"/>
          <w:sz w:val="24"/>
        </w:rPr>
        <w:t>Go-to-market B2B et préparation Phase 2</w:t>
      </w:r>
    </w:p>
    <w:p>
      <w:pPr>
        <w:spacing w:after="40"/>
        <w:ind w:left="283"/>
      </w:pPr>
      <w:r>
        <w:t>•  Onboarding de Sinibaldi Agency comme premier client pilote et co-développeur produit.</w:t>
      </w:r>
    </w:p>
    <w:p>
      <w:pPr>
        <w:spacing w:after="40"/>
        <w:ind w:left="283"/>
      </w:pPr>
      <w:r>
        <w:t>•  Identification et approche d'un panel complémentaire : cabinets d'architecture d'intérieur, agences immobilières avec activité travaux, entreprises générales de rénovation.</w:t>
      </w:r>
    </w:p>
    <w:p>
      <w:pPr>
        <w:spacing w:after="40"/>
        <w:ind w:left="283"/>
      </w:pPr>
      <w:r>
        <w:t>•  Collecte structurée des retours terrain pour prioriser les itérations.</w:t>
      </w:r>
    </w:p>
    <w:p>
      <w:pPr>
        <w:spacing w:after="40"/>
        <w:ind w:left="283"/>
      </w:pPr>
      <w:r>
        <w:t>•  Définition du modèle tarifaire B2B (abonnement par siège ou à la consommation par dossier) et recommandations pour le périmètre de la Phase 2 B2C.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Calendrier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30"/>
              <w:jc w:val="center"/>
            </w:pPr>
            <w:r>
              <w:rPr>
                <w:rFonts w:ascii="Inter" w:hAnsi="Inter"/>
                <w:b/>
                <w:color w:val="0A0A0A"/>
                <w:sz w:val="18"/>
              </w:rPr>
              <w:t>Juillet</w:t>
            </w:r>
          </w:p>
          <w:p>
            <w:pPr>
              <w:spacing w:before="0" w:after="20"/>
              <w:jc w:val="center"/>
            </w:pPr>
            <w:r>
              <w:rPr>
                <w:rFonts w:ascii="Inter" w:hAnsi="Inter"/>
                <w:b/>
                <w:color w:val="FFB451"/>
                <w:sz w:val="14"/>
              </w:rPr>
              <w:t>DÉMARRAGE</w:t>
            </w:r>
          </w:p>
        </w:tc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30"/>
              <w:jc w:val="center"/>
            </w:pPr>
            <w:r>
              <w:rPr>
                <w:rFonts w:ascii="Inter" w:hAnsi="Inter"/>
                <w:b/>
                <w:color w:val="0A0A0A"/>
                <w:sz w:val="18"/>
              </w:rPr>
              <w:t>Mi-juillet</w:t>
            </w:r>
          </w:p>
        </w:tc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30"/>
              <w:jc w:val="center"/>
            </w:pPr>
            <w:r>
              <w:rPr>
                <w:rFonts w:ascii="Inter" w:hAnsi="Inter"/>
                <w:b/>
                <w:color w:val="0A0A0A"/>
                <w:sz w:val="18"/>
              </w:rPr>
              <w:t>Août</w:t>
            </w:r>
          </w:p>
        </w:tc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30"/>
              <w:jc w:val="center"/>
            </w:pPr>
            <w:r>
              <w:rPr>
                <w:rFonts w:ascii="Inter" w:hAnsi="Inter"/>
                <w:b/>
                <w:color w:val="0A0A0A"/>
                <w:sz w:val="18"/>
              </w:rPr>
              <w:t>Mi-août</w:t>
            </w:r>
          </w:p>
        </w:tc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30"/>
              <w:jc w:val="center"/>
            </w:pPr>
            <w:r>
              <w:rPr>
                <w:rFonts w:ascii="Inter" w:hAnsi="Inter"/>
                <w:b/>
                <w:color w:val="0A0A0A"/>
                <w:sz w:val="18"/>
              </w:rPr>
              <w:t>Septembre</w:t>
            </w:r>
          </w:p>
        </w:tc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30"/>
              <w:jc w:val="center"/>
            </w:pPr>
            <w:r>
              <w:rPr>
                <w:rFonts w:ascii="Inter" w:hAnsi="Inter"/>
                <w:b/>
                <w:color w:val="0A0A0A"/>
                <w:sz w:val="18"/>
              </w:rPr>
              <w:t>Fin sept.</w:t>
            </w:r>
          </w:p>
          <w:p>
            <w:pPr>
              <w:spacing w:before="0" w:after="20"/>
              <w:jc w:val="center"/>
            </w:pPr>
            <w:r>
              <w:rPr>
                <w:rFonts w:ascii="Inter" w:hAnsi="Inter"/>
                <w:b/>
                <w:color w:val="FFB451"/>
                <w:sz w:val="14"/>
              </w:rPr>
              <w:t>LIVRAISON</w:t>
            </w:r>
          </w:p>
        </w:tc>
      </w:tr>
      <w:tr>
        <w:tc>
          <w:tcPr>
            <w:tcW w:type="dxa" w:w="1456"/>
            <w:tcBorders>
              <w:top w:val="single" w:sz="6" w:space="0" w:color="D0D0D0"/>
              <w:bottom w:val="none"/>
              <w:left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Inter" w:hAnsi="Inter"/>
                <w:color w:val="FFB451"/>
                <w:sz w:val="18"/>
              </w:rPr>
              <w:t>●</w:t>
            </w:r>
          </w:p>
        </w:tc>
        <w:tc>
          <w:tcPr>
            <w:tcW w:type="dxa" w:w="1456"/>
            <w:tcBorders>
              <w:top w:val="single" w:sz="6" w:space="0" w:color="D0D0D0"/>
              <w:bottom w:val="none"/>
              <w:left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Inter" w:hAnsi="Inter"/>
                <w:color w:val="0A0A0A"/>
                <w:sz w:val="18"/>
              </w:rPr>
              <w:t>●</w:t>
            </w:r>
          </w:p>
        </w:tc>
        <w:tc>
          <w:tcPr>
            <w:tcW w:type="dxa" w:w="1456"/>
            <w:tcBorders>
              <w:top w:val="single" w:sz="6" w:space="0" w:color="D0D0D0"/>
              <w:bottom w:val="none"/>
              <w:left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Inter" w:hAnsi="Inter"/>
                <w:color w:val="0A0A0A"/>
                <w:sz w:val="18"/>
              </w:rPr>
              <w:t>●</w:t>
            </w:r>
          </w:p>
        </w:tc>
        <w:tc>
          <w:tcPr>
            <w:tcW w:type="dxa" w:w="1456"/>
            <w:tcBorders>
              <w:top w:val="single" w:sz="6" w:space="0" w:color="D0D0D0"/>
              <w:bottom w:val="none"/>
              <w:left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Inter" w:hAnsi="Inter"/>
                <w:color w:val="0A0A0A"/>
                <w:sz w:val="18"/>
              </w:rPr>
              <w:t>●</w:t>
            </w:r>
          </w:p>
        </w:tc>
        <w:tc>
          <w:tcPr>
            <w:tcW w:type="dxa" w:w="1456"/>
            <w:tcBorders>
              <w:top w:val="single" w:sz="6" w:space="0" w:color="D0D0D0"/>
              <w:bottom w:val="none"/>
              <w:left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Inter" w:hAnsi="Inter"/>
                <w:color w:val="0A0A0A"/>
                <w:sz w:val="18"/>
              </w:rPr>
              <w:t>●</w:t>
            </w:r>
          </w:p>
        </w:tc>
        <w:tc>
          <w:tcPr>
            <w:tcW w:type="dxa" w:w="1456"/>
            <w:tcBorders>
              <w:top w:val="single" w:sz="6" w:space="0" w:color="D0D0D0"/>
              <w:bottom w:val="none"/>
              <w:left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Inter" w:hAnsi="Inter"/>
                <w:color w:val="FFB451"/>
                <w:sz w:val="18"/>
              </w:rPr>
              <w:t>●</w:t>
            </w:r>
          </w:p>
        </w:tc>
      </w:tr>
      <w:tr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Inter" w:hAnsi="Inter"/>
                <w:color w:val="555555"/>
                <w:sz w:val="16"/>
              </w:rPr>
              <w:t>Cadrage + socle</w:t>
            </w:r>
          </w:p>
        </w:tc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Inter" w:hAnsi="Inter"/>
                <w:color w:val="555555"/>
                <w:sz w:val="16"/>
              </w:rPr>
              <w:t>Plans cadastraux</w:t>
            </w:r>
          </w:p>
        </w:tc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Inter" w:hAnsi="Inter"/>
                <w:color w:val="555555"/>
                <w:sz w:val="16"/>
              </w:rPr>
              <w:t>Élévations + rendus</w:t>
            </w:r>
          </w:p>
        </w:tc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Inter" w:hAnsi="Inter"/>
                <w:color w:val="555555"/>
                <w:sz w:val="16"/>
              </w:rPr>
              <w:t>Interface + PDF</w:t>
            </w:r>
          </w:p>
        </w:tc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Inter" w:hAnsi="Inter"/>
                <w:color w:val="555555"/>
                <w:sz w:val="16"/>
              </w:rPr>
              <w:t>Tests + onboarding</w:t>
            </w:r>
          </w:p>
        </w:tc>
        <w:tc>
          <w:tcPr>
            <w:tcW w:type="dxa" w:w="145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Inter" w:hAnsi="Inter"/>
                <w:color w:val="555555"/>
                <w:sz w:val="16"/>
              </w:rPr>
              <w:t>Rapport + reco. B2C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b/>
        </w:rPr>
        <w:t xml:space="preserve">Mois 1  </w:t>
      </w:r>
      <w:r>
        <w:t>Architecture de la plateforme, intégration des API cadastrales, développement du moteur de génération des plans de situation et cadastraux, premiers prototypes d'élévations.</w:t>
      </w:r>
    </w:p>
    <w:p>
      <w:pPr>
        <w:spacing w:after="60"/>
      </w:pPr>
      <w:r>
        <w:rPr>
          <w:b/>
        </w:rPr>
        <w:t xml:space="preserve">Mois 2  </w:t>
      </w:r>
      <w:r>
        <w:t>Notices architecturales automatisées, élévations façades (existant + projet), rendus, pré-remplissage CERFA, interface de saisie et génération PDF. Test interne sur dossiers réels Sinibaldi Agency.</w:t>
      </w:r>
    </w:p>
    <w:p>
      <w:pPr>
        <w:spacing w:after="60"/>
      </w:pPr>
      <w:r>
        <w:rPr>
          <w:b/>
        </w:rPr>
        <w:t xml:space="preserve">Mois 3  </w:t>
      </w:r>
      <w:r>
        <w:t>Ajustements sur retours terrain, onboarding des premiers clients B2B externes, collecte des métriques, rapport de phase et recommandations Phase 2 B2C.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Investissement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600"/>
            <w:shd w:val="clear" w:color="auto" w:fill="F5F5F2"/>
          </w:tcPr>
          <w:p>
            <w:r>
              <w:rPr>
                <w:b/>
                <w:sz w:val="19"/>
              </w:rPr>
              <w:t>Forfait Phase 1 B2B (3 mois)</w:t>
            </w:r>
          </w:p>
        </w:tc>
        <w:tc>
          <w:tcPr>
            <w:tcW w:type="dxa" w:w="8360"/>
            <w:shd w:val="clear" w:color="auto" w:fill="F5F5F2"/>
          </w:tcPr>
          <w:p>
            <w:r>
              <w:rPr>
                <w:sz w:val="20"/>
              </w:rPr>
              <w:t>9 000,00 € HT</w:t>
            </w:r>
          </w:p>
        </w:tc>
      </w:tr>
      <w:tr>
        <w:tc>
          <w:tcPr>
            <w:tcW w:type="dxa" w:w="4600"/>
          </w:tcPr>
          <w:p>
            <w:r>
              <w:rPr>
                <w:b/>
                <w:sz w:val="19"/>
              </w:rPr>
              <w:t>TVA (20 %)</w:t>
            </w:r>
          </w:p>
        </w:tc>
        <w:tc>
          <w:tcPr>
            <w:tcW w:type="dxa" w:w="8360"/>
          </w:tcPr>
          <w:p>
            <w:r>
              <w:rPr>
                <w:sz w:val="20"/>
              </w:rPr>
              <w:t>1 800,00 €</w:t>
            </w:r>
          </w:p>
        </w:tc>
      </w:tr>
      <w:tr>
        <w:tc>
          <w:tcPr>
            <w:tcW w:type="dxa" w:w="4600"/>
            <w:shd w:val="clear" w:color="auto" w:fill="F5F5F2"/>
          </w:tcPr>
          <w:p>
            <w:r>
              <w:rPr>
                <w:b/>
                <w:sz w:val="19"/>
              </w:rPr>
              <w:t>Total TTC</w:t>
            </w:r>
          </w:p>
        </w:tc>
        <w:tc>
          <w:tcPr>
            <w:tcW w:type="dxa" w:w="8360"/>
            <w:shd w:val="clear" w:color="auto" w:fill="F5F5F2"/>
          </w:tcPr>
          <w:p>
            <w:r>
              <w:rPr>
                <w:sz w:val="20"/>
              </w:rPr>
              <w:t>10 800,00 € TTC</w:t>
            </w:r>
          </w:p>
        </w:tc>
      </w:tr>
      <w:tr>
        <w:tc>
          <w:tcPr>
            <w:tcW w:type="dxa" w:w="4600"/>
          </w:tcPr>
          <w:p>
            <w:r>
              <w:rPr>
                <w:b/>
                <w:sz w:val="19"/>
              </w:rPr>
              <w:t>Modalité retenue</w:t>
            </w:r>
          </w:p>
        </w:tc>
        <w:tc>
          <w:tcPr>
            <w:tcW w:type="dxa" w:w="8360"/>
          </w:tcPr>
          <w:p>
            <w:r>
              <w:rPr>
                <w:sz w:val="20"/>
              </w:rPr>
              <w:t>☑ Forfait fixe Phase 1 B2B, 3 mois</w:t>
            </w:r>
          </w:p>
        </w:tc>
      </w:tr>
      <w:tr>
        <w:tc>
          <w:tcPr>
            <w:tcW w:type="dxa" w:w="4600"/>
            <w:shd w:val="clear" w:color="auto" w:fill="F5F5F2"/>
          </w:tcPr>
          <w:p>
            <w:r>
              <w:rPr>
                <w:b/>
                <w:sz w:val="19"/>
              </w:rPr>
              <w:t>Échéancier</w:t>
            </w:r>
          </w:p>
        </w:tc>
        <w:tc>
          <w:tcPr>
            <w:tcW w:type="dxa" w:w="8360"/>
            <w:shd w:val="clear" w:color="auto" w:fill="F5F5F2"/>
          </w:tcPr>
          <w:p>
            <w:r>
              <w:rPr>
                <w:sz w:val="20"/>
              </w:rPr>
              <w:t>30 % à la signature (3 240,00 € TTC) · 40 % à mi-parcours M1 (4 320,00 € TTC) · 30 % à la livraison M3 (3 240,00 € TTC)</w:t>
            </w:r>
          </w:p>
        </w:tc>
      </w:tr>
      <w:tr>
        <w:tc>
          <w:tcPr>
            <w:tcW w:type="dxa" w:w="4600"/>
          </w:tcPr>
          <w:p>
            <w:r>
              <w:rPr>
                <w:b/>
                <w:sz w:val="19"/>
              </w:rPr>
              <w:t>Phase 2 B2C</w:t>
            </w:r>
          </w:p>
        </w:tc>
        <w:tc>
          <w:tcPr>
            <w:tcW w:type="dxa" w:w="8360"/>
          </w:tcPr>
          <w:p>
            <w:r>
              <w:rPr>
                <w:sz w:val="20"/>
              </w:rPr>
              <w:t>Budget à définir conjointement à l'issue de la Phase 1, selon résultats et orientations validées</w:t>
            </w:r>
          </w:p>
        </w:tc>
      </w:tr>
      <w:tr>
        <w:tc>
          <w:tcPr>
            <w:tcW w:type="dxa" w:w="4600"/>
            <w:shd w:val="clear" w:color="auto" w:fill="F5F5F2"/>
          </w:tcPr>
          <w:p>
            <w:r>
              <w:rPr>
                <w:b/>
                <w:sz w:val="19"/>
              </w:rPr>
              <w:t>Conditions de paiement</w:t>
            </w:r>
          </w:p>
        </w:tc>
        <w:tc>
          <w:tcPr>
            <w:tcW w:type="dxa" w:w="8360"/>
            <w:shd w:val="clear" w:color="auto" w:fill="F5F5F2"/>
          </w:tcPr>
          <w:p>
            <w:r>
              <w:rPr>
                <w:sz w:val="20"/>
              </w:rPr>
              <w:t>Virement SEPA exclusivement, à l'avance (voir CGV article 5)</w:t>
            </w:r>
          </w:p>
        </w:tc>
      </w:tr>
      <w:tr>
        <w:tc>
          <w:tcPr>
            <w:tcW w:type="dxa" w:w="4600"/>
          </w:tcPr>
          <w:p>
            <w:r>
              <w:rPr>
                <w:b/>
                <w:sz w:val="19"/>
              </w:rPr>
              <w:t>Pénalités de retard</w:t>
            </w:r>
          </w:p>
        </w:tc>
        <w:tc>
          <w:tcPr>
            <w:tcW w:type="dxa" w:w="8360"/>
          </w:tcPr>
          <w:p>
            <w:r>
              <w:rPr>
                <w:sz w:val="20"/>
              </w:rPr>
              <w:t>Intérêts BCE +10 pts (≈14,5 %/an) + 40 € (D. 441-5 Cciv) + 250 € par facture</w:t>
            </w:r>
          </w:p>
        </w:tc>
      </w:tr>
    </w:tbl>
    <w:p>
      <w:pPr>
        <w:spacing w:after="160"/>
      </w:pP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Coûts exclus du forfait</w:t>
      </w:r>
    </w:p>
    <w:p>
      <w:pPr>
        <w:spacing w:after="80"/>
      </w:pPr>
      <w:r>
        <w:t>Le prix de la Prestation rémunère exclusivement le travail de Lucid-Lab. Restent à votre charge directe les coûts variables suivants, par nature dépendants de l'usage réel :</w:t>
      </w:r>
    </w:p>
    <w:p>
      <w:pPr>
        <w:spacing w:after="40"/>
        <w:ind w:left="283"/>
      </w:pPr>
      <w:r>
        <w:t>•  Crédits API des modèles IA de génération d'images et de texte (OpenAI, Mistral, Stability, ou équivalents) ;</w:t>
      </w:r>
    </w:p>
    <w:p>
      <w:pPr>
        <w:spacing w:after="40"/>
        <w:ind w:left="283"/>
      </w:pPr>
      <w:r>
        <w:t>•  Coûts d'hébergement de la plateforme selon usage réel (serveur, stockage, bande passante) ;</w:t>
      </w:r>
    </w:p>
    <w:p>
      <w:pPr>
        <w:spacing w:after="40"/>
        <w:ind w:left="283"/>
      </w:pPr>
      <w:r>
        <w:t>•  Accès aux API cadastrales et géographiques au-delà des quotas gratuits ;</w:t>
      </w:r>
    </w:p>
    <w:p>
      <w:pPr>
        <w:spacing w:after="40"/>
        <w:ind w:left="283"/>
      </w:pPr>
      <w:r>
        <w:t>•  Budget marketing ou acquisition B2B éventuel ;</w:t>
      </w:r>
    </w:p>
    <w:p>
      <w:pPr>
        <w:spacing w:after="40"/>
        <w:ind w:left="283"/>
      </w:pPr>
      <w:r>
        <w:t>•  Frais de déplacement éventuels, sur accord préalable écrit.</w:t>
      </w:r>
    </w:p>
    <w:p>
      <w:pPr>
        <w:spacing w:after="80"/>
      </w:pPr>
      <w:r>
        <w:t>Une estimation indicative de ces coûts vous est fournie sur demande, sans engagement de plafond.</w:t>
      </w:r>
    </w:p>
    <w:p>
      <w:pPr>
        <w:spacing w:after="280"/>
      </w:pPr>
      <w:r>
        <w:t>Les présentes conditions financières sont régies par les Conditions Générales de Vente de Lucid-Lab, Version 1.0, accessibles à https://lucid-lab.fr/cgv.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Prochaines étapes</w:t>
      </w:r>
    </w:p>
    <w:p>
      <w:pPr>
        <w:spacing w:after="40"/>
        <w:ind w:left="283"/>
      </w:pPr>
      <w:r>
        <w:t>•  Planifier un appel de cadrage pour valider définitivement le périmètre technique, les priorités et les premiers jalons avant démarrage.</w:t>
      </w:r>
    </w:p>
    <w:p>
      <w:pPr>
        <w:spacing w:after="40"/>
        <w:ind w:left="283"/>
      </w:pPr>
      <w:r>
        <w:t>•  Signer la présente Proposition valant Bon de commande et procéder au premier versement (30 %, soit 3 240,00 € TTC).</w:t>
      </w:r>
    </w:p>
    <w:p>
      <w:pPr>
        <w:spacing w:after="40"/>
        <w:ind w:left="283"/>
      </w:pPr>
      <w:r>
        <w:t>•  Planifier le kick-off de démarrage.</w:t>
      </w:r>
    </w:p>
    <w:p>
      <w:pPr>
        <w:spacing w:after="40"/>
        <w:ind w:left="283"/>
      </w:pPr>
      <w:r>
        <w:t>•  Confirmer le panel de clients B2B à onboarder en Mois 3.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Cadre contractuel et démarrage</w:t>
      </w:r>
    </w:p>
    <w:p>
      <w:pPr>
        <w:spacing w:after="80"/>
      </w:pPr>
      <w:r>
        <w:t>Démarrage des Prestations : après signature du Bon de Commande accompagnant la présente Proposition et réception effective du premier paiement sur le compte bancaire de Lucid-Lab (IBAN FR76 1732 8844 0043 2662 8862 178, BIC SWNBFR22).</w:t>
      </w:r>
    </w:p>
    <w:p>
      <w:pPr>
        <w:spacing w:after="80"/>
      </w:pPr>
      <w:r>
        <w:t>Documents contractuels remis : (i) la présente Proposition, (ii) le Bon de Commande à signer, (iii) le Contrat de Prestation, (iv) les CGV v1.0, (v) le cas échéant l'Accord de sous-traitance des données (DPA).</w:t>
      </w:r>
    </w:p>
    <w:p>
      <w:pPr>
        <w:spacing w:after="280"/>
      </w:pPr>
      <w:r>
        <w:t>Couverture assurantielle : Lucid-Lab est assurée en Responsabilité Civile Professionnelle auprès de Hiscox SA (police RCPLP 3695175450, plafond 100 000 € par période d'assurance, monde entier hors USA/Canada).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Acceptation valant commande ferme</w:t>
      </w:r>
    </w:p>
    <w:p>
      <w:pPr>
        <w:spacing w:after="80"/>
      </w:pPr>
      <w:r>
        <w:t>Le Client déclare avoir pris connaissance et accepter sans réserve :</w:t>
      </w:r>
    </w:p>
    <w:p>
      <w:pPr>
        <w:spacing w:after="40"/>
        <w:ind w:left="283"/>
      </w:pPr>
      <w:r>
        <w:t>•  le périmètre, les livrables et le calendrier décrits ci-dessus ;</w:t>
      </w:r>
    </w:p>
    <w:p>
      <w:pPr>
        <w:spacing w:after="40"/>
        <w:ind w:left="283"/>
      </w:pPr>
      <w:r>
        <w:t>•  la modalité tarifaire retenue et l'échéancier de paiement associé ;</w:t>
      </w:r>
    </w:p>
    <w:p>
      <w:pPr>
        <w:spacing w:after="40"/>
        <w:ind w:left="283"/>
      </w:pPr>
      <w:r>
        <w:t>•  les Conditions Générales de Vente Lucid-Lab v1.0 accessibles sur lucid-lab.fr/cgv ;</w:t>
      </w:r>
    </w:p>
    <w:p>
      <w:pPr>
        <w:spacing w:after="40"/>
        <w:ind w:left="283"/>
      </w:pPr>
      <w:r>
        <w:t>•  l'obligation de versement préalable au démarrage des Prestations (art. 5 CGV).</w:t>
      </w:r>
    </w:p>
    <w:p>
      <w:pPr>
        <w:spacing w:after="160"/>
      </w:pPr>
      <w:r>
        <w:t>La signature de la présente Proposition vaut acceptation de l'offre, formation du Contrat et commande ferme, et déclenche l'émission d'une facture pro forma puis l'exécution des Prestations à compter de la réception effective du premier paiement.</w:t>
      </w:r>
    </w:p>
    <w:p>
      <w:pPr>
        <w:spacing w:after="120"/>
      </w:pPr>
      <w:r>
        <w:rPr>
          <w:b/>
        </w:rPr>
        <w:t>Modalité retenue : ☑ Forfait Phase 1 B2B, 9 000,00 € HT / 3 mois, échéancier 30/40/30.</w:t>
      </w:r>
    </w:p>
    <w:p>
      <w:pPr>
        <w:spacing w:after="280"/>
      </w:pPr>
      <w:r>
        <w:rPr>
          <w:b/>
        </w:rPr>
        <w:t>Mention manuscrite obligatoire : « Lu et approuvé, bon pour accord et commande ferme, Prix : 10 800,00 € TTC, Modalité : Forfait Phase 1 B2B 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6480"/>
          </w:tcPr>
          <w:p>
            <w:r>
              <w:rPr>
                <w:b/>
                <w:sz w:val="19"/>
              </w:rPr>
              <w:t>Pour Sinibaldi Agency / Clément Sinibaldi</w:t>
            </w:r>
          </w:p>
        </w:tc>
        <w:tc>
          <w:tcPr>
            <w:tcW w:type="dxa" w:w="6480"/>
          </w:tcPr>
          <w:p>
            <w:r>
              <w:rPr>
                <w:b/>
                <w:sz w:val="19"/>
              </w:rPr>
              <w:t>Pour Lucid-Lab</w:t>
            </w:r>
          </w:p>
        </w:tc>
      </w:tr>
      <w:tr>
        <w:tc>
          <w:tcPr>
            <w:tcW w:type="dxa" w:w="6480"/>
          </w:tcPr>
          <w:p>
            <w:r>
              <w:rPr>
                <w:b/>
                <w:sz w:val="18"/>
              </w:rPr>
              <w:t>Date :</w:t>
            </w:r>
          </w:p>
        </w:tc>
        <w:tc>
          <w:tcPr>
            <w:tcW w:type="dxa" w:w="6480"/>
          </w:tcPr>
          <w:p>
            <w:r>
              <w:rPr>
                <w:b/>
                <w:sz w:val="18"/>
              </w:rPr>
              <w:t>Date :</w:t>
            </w:r>
          </w:p>
        </w:tc>
      </w:tr>
      <w:tr>
        <w:tc>
          <w:tcPr>
            <w:tcW w:type="dxa" w:w="6480"/>
          </w:tcPr>
          <w:p>
            <w:r>
              <w:rPr>
                <w:b/>
                <w:sz w:val="18"/>
              </w:rPr>
              <w:t>Lieu :</w:t>
            </w:r>
          </w:p>
        </w:tc>
        <w:tc>
          <w:tcPr>
            <w:tcW w:type="dxa" w:w="6480"/>
          </w:tcPr>
          <w:p>
            <w:r>
              <w:rPr>
                <w:b/>
                <w:sz w:val="18"/>
              </w:rPr>
              <w:t>Lieu :</w:t>
            </w:r>
          </w:p>
        </w:tc>
      </w:tr>
      <w:tr>
        <w:tc>
          <w:tcPr>
            <w:tcW w:type="dxa" w:w="6480"/>
          </w:tcPr>
          <w:p>
            <w:r>
              <w:rPr>
                <w:b/>
                <w:sz w:val="18"/>
              </w:rPr>
              <w:t>Signature précédée de la mention</w:t>
              <w:br/>
              <w:t>« Lu et approuvé, bon pour accord » :</w:t>
            </w:r>
          </w:p>
        </w:tc>
        <w:tc>
          <w:tcPr>
            <w:tcW w:type="dxa" w:w="6480"/>
          </w:tcPr>
          <w:p>
            <w:r>
              <w:rPr>
                <w:b/>
                <w:sz w:val="18"/>
              </w:rPr>
              <w:t>Signature précédée de la mention</w:t>
              <w:br/>
              <w:t>« Lu et approuvé, bon pour accord » 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99999"/>
        <w:sz w:val="16"/>
      </w:rPr>
      <w:t>Lucid-Lab · SAS au capital de 999 € · RCS Paris 104 672 050 · TVA FR 02 104 672 050 · info@lucid-lab.fr · lucid-lab.fr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66700" cy="2667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1024x1024-black-on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66666"/>
        <w:sz w:val="17"/>
      </w:rPr>
      <w:t xml:space="preserve">    Lucid-Lab    Proposition d'accompagnement · Sinibaldi Agency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