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240"/>
        <w:jc w:val="center"/>
      </w:pPr>
      <w:r>
        <w:rPr>
          <w:rFonts w:ascii="Arial" w:cs="Arial" w:eastAsia="Arial" w:hAnsi="Arial"/>
          <w:b/>
          <w:bCs/>
          <w:color w:val="1F4E79"/>
          <w:sz w:val="52"/>
          <w:szCs w:val="52"/>
        </w:rPr>
        <w:t xml:space="preserve">ENTERPRISE ARCHITECTURE DOCUMENT</w:t>
      </w:r>
    </w:p>
    <w:p>
      <w:pPr>
        <w:spacing w:after="120"/>
        <w:jc w:val="center"/>
      </w:pPr>
      <w:r>
        <w:rPr>
          <w:rFonts w:ascii="Arial" w:cs="Arial" w:eastAsia="Arial" w:hAnsi="Arial"/>
          <w:color w:val="2E75B6"/>
          <w:sz w:val="36"/>
          <w:szCs w:val="36"/>
        </w:rPr>
        <w:t xml:space="preserve">Automation Platform &amp; Standards Framework</w:t>
      </w:r>
    </w:p>
    <w:p>
      <w:pPr>
        <w:spacing w:after="720"/>
        <w:jc w:val="center"/>
      </w:pPr>
      <w:r>
        <w:rPr>
          <w:rFonts w:ascii="Arial" w:cs="Arial" w:eastAsia="Arial" w:hAnsi="Arial"/>
          <w:i/>
          <w:iCs/>
          <w:color w:val="404040"/>
          <w:sz w:val="28"/>
          <w:szCs w:val="28"/>
        </w:rPr>
        <w:t xml:space="preserve">Ansible Automation Platform (AAP) — MetLife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Document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Draft v0.2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Owner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Automation Centre of Excellence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Last Reviewed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2026-04-03</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0.2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Ansible Automation Platform (AAP)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Environment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aap.metlife.com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Change Summary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Gap analysis integration: 17 gaps, 3 new standards, 10 new sections/subsections</w:t>
            </w:r>
          </w:p>
        </w:tc>
      </w:tr>
    </w:tbl>
    <w:p>
      <w:pPr>
        <w:spacing w:after="60"/>
      </w:pPr>
      <w:r>
        <w:t xml:space="preserve"/>
      </w:r>
    </w:p>
    <w:p>
      <w:pPr>
        <w:spacing w:after="60"/>
      </w:pPr>
      <w:r>
        <w:t xml:space="preserve"/>
      </w:r>
    </w:p>
    <w:p>
      <w:pPr>
        <w:jc w:val="center"/>
      </w:pPr>
      <w:r>
        <w:rPr>
          <w:rFonts w:ascii="Arial" w:cs="Arial" w:eastAsia="Arial" w:hAnsi="Arial"/>
          <w:color w:val="888888"/>
          <w:sz w:val="18"/>
          <w:szCs w:val="18"/>
        </w:rPr>
        <w:t xml:space="preserve">Automation Centre of Excellence | Infrastructure Engineering &amp; Operations</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2160"/>
        <w:gridCol w:w="468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2026-03-17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CoE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Initial draft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2026-04-03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Automation CoE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Gap analysis integration: 17 gaps mapped, EA sections updated, implementation plan added, 3 new standards (Integration Architecture, EE Standardization, Discoverability &amp; Composability), new sections for catalog, maturity model, gap roadmap</w:t>
            </w:r>
          </w:p>
        </w:tc>
      </w:tr>
    </w:tbl>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1. Introduction</w:t>
      </w:r>
    </w:p>
    <w:p>
      <w:pPr>
        <w:pStyle w:val="Heading2"/>
        <w:pBdr>
          <w:bottom w:val="single" w:color="2E75B6" w:sz="4"/>
        </w:pBdr>
        <w:spacing w:after="80" w:before="240"/>
      </w:pPr>
      <w:r>
        <w:rPr>
          <w:rFonts w:ascii="Arial" w:cs="Arial" w:eastAsia="Arial" w:hAnsi="Arial"/>
          <w:b/>
          <w:bCs/>
          <w:color w:val="1F4E79"/>
          <w:sz w:val="26"/>
          <w:szCs w:val="26"/>
        </w:rPr>
        <w:t xml:space="preserve">1.1 Purpose</w:t>
      </w:r>
    </w:p>
    <w:p>
      <w:pPr>
        <w:spacing w:after="120"/>
      </w:pPr>
      <w:r>
        <w:rPr>
          <w:rFonts w:ascii="Arial" w:cs="Arial" w:eastAsia="Arial" w:hAnsi="Arial"/>
          <w:i w:val="false"/>
          <w:iCs w:val="false"/>
          <w:color w:val="404040"/>
          <w:sz w:val="22"/>
          <w:szCs w:val="22"/>
        </w:rPr>
        <w:t xml:space="preserve">This Enterprise Architecture Document defines the architecture, operational standards, and governance model for the Ansible Automation Platform (AAP) deployment at MetLife. It serves as the single authoritative reference for the infrastructure automation platform — covering both the physical and logical architecture of the platform itself, and the Layer 4 automation standards that govern every piece of automation running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404040"/>
                <w:sz w:val="20"/>
                <w:szCs w:val="20"/>
              </w:rPr>
              <w:t xml:space="preserve">v0.2 Note: This version incorporates the findings of Han's curated gap analysis (17 gaps across governance, platform, discoverability, and culture). Sections addressing those gaps are marked with [Gap: X.X] references.</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1.2 Scope</w:t>
      </w:r>
    </w:p>
    <w:p>
      <w:pPr>
        <w:spacing w:after="120"/>
      </w:pPr>
      <w:r>
        <w:rPr>
          <w:rFonts w:ascii="Arial" w:cs="Arial" w:eastAsia="Arial" w:hAnsi="Arial"/>
          <w:i w:val="false"/>
          <w:iCs w:val="false"/>
          <w:color w:val="404040"/>
          <w:sz w:val="22"/>
          <w:szCs w:val="22"/>
        </w:rPr>
        <w:t xml:space="preserve">This document covers:</w:t>
      </w:r>
    </w:p>
    <w:p>
      <w:pPr>
        <w:pStyle w:val="ListParagraph"/>
        <w:numPr>
          <w:ilvl w:val="0"/>
          <w:numId w:val="2"/>
        </w:numPr>
        <w:spacing w:after="60"/>
      </w:pPr>
      <w:r>
        <w:rPr>
          <w:rFonts w:ascii="Arial" w:cs="Arial" w:eastAsia="Arial" w:hAnsi="Arial"/>
          <w:color w:val="404040"/>
          <w:sz w:val="22"/>
          <w:szCs w:val="22"/>
        </w:rPr>
        <w:t xml:space="preserve">The AAP platform architecture — control nodes, execution nodes, inventory, source control, access management, and network/firewall configuration</w:t>
      </w:r>
    </w:p>
    <w:p>
      <w:pPr>
        <w:pStyle w:val="ListParagraph"/>
        <w:numPr>
          <w:ilvl w:val="0"/>
          <w:numId w:val="2"/>
        </w:numPr>
        <w:spacing w:after="60"/>
      </w:pPr>
      <w:r>
        <w:rPr>
          <w:rFonts w:ascii="Arial" w:cs="Arial" w:eastAsia="Arial" w:hAnsi="Arial"/>
          <w:color w:val="404040"/>
          <w:sz w:val="22"/>
          <w:szCs w:val="22"/>
        </w:rPr>
        <w:t xml:space="preserve">The integration architecture — event bus, adapter patterns, and decoupled integration design [Gap: 2.1, +A]</w:t>
      </w:r>
    </w:p>
    <w:p>
      <w:pPr>
        <w:pStyle w:val="ListParagraph"/>
        <w:numPr>
          <w:ilvl w:val="0"/>
          <w:numId w:val="2"/>
        </w:numPr>
        <w:spacing w:after="60"/>
      </w:pPr>
      <w:r>
        <w:rPr>
          <w:rFonts w:ascii="Arial" w:cs="Arial" w:eastAsia="Arial" w:hAnsi="Arial"/>
          <w:color w:val="404040"/>
          <w:sz w:val="22"/>
          <w:szCs w:val="22"/>
        </w:rPr>
        <w:t xml:space="preserve">Execution environment (EE) standardization [Gap: 2.2, +B]</w:t>
      </w:r>
    </w:p>
    <w:p>
      <w:pPr>
        <w:pStyle w:val="ListParagraph"/>
        <w:numPr>
          <w:ilvl w:val="0"/>
          <w:numId w:val="2"/>
        </w:numPr>
        <w:spacing w:after="60"/>
      </w:pPr>
      <w:r>
        <w:rPr>
          <w:rFonts w:ascii="Arial" w:cs="Arial" w:eastAsia="Arial" w:hAnsi="Arial"/>
          <w:color w:val="404040"/>
          <w:sz w:val="22"/>
          <w:szCs w:val="22"/>
        </w:rPr>
        <w:t xml:space="preserve">The Automation Standards Framework — ten standards including three new in v0.2 [Gap: 3.2]</w:t>
      </w:r>
    </w:p>
    <w:p>
      <w:pPr>
        <w:pStyle w:val="ListParagraph"/>
        <w:numPr>
          <w:ilvl w:val="0"/>
          <w:numId w:val="2"/>
        </w:numPr>
        <w:spacing w:after="60"/>
      </w:pPr>
      <w:r>
        <w:rPr>
          <w:rFonts w:ascii="Arial" w:cs="Arial" w:eastAsia="Arial" w:hAnsi="Arial"/>
          <w:color w:val="404040"/>
          <w:sz w:val="22"/>
          <w:szCs w:val="22"/>
        </w:rPr>
        <w:t xml:space="preserve">The Automation Catalog — discoverability, lifecycle tracking, dependency management [Gap: 3.1, 3.3, +C]</w:t>
      </w:r>
    </w:p>
    <w:p>
      <w:pPr>
        <w:pStyle w:val="ListParagraph"/>
        <w:numPr>
          <w:ilvl w:val="0"/>
          <w:numId w:val="2"/>
        </w:numPr>
        <w:spacing w:after="60"/>
      </w:pPr>
      <w:r>
        <w:rPr>
          <w:rFonts w:ascii="Arial" w:cs="Arial" w:eastAsia="Arial" w:hAnsi="Arial"/>
          <w:color w:val="404040"/>
          <w:sz w:val="22"/>
          <w:szCs w:val="22"/>
        </w:rPr>
        <w:t xml:space="preserve">Governance model — classification, lifecycle, approval gates, and ROI measurement [Gap: 1.1, 1.2, 1.3]</w:t>
      </w:r>
    </w:p>
    <w:p>
      <w:pPr>
        <w:pStyle w:val="ListParagraph"/>
        <w:numPr>
          <w:ilvl w:val="0"/>
          <w:numId w:val="2"/>
        </w:numPr>
        <w:spacing w:after="60"/>
      </w:pPr>
      <w:r>
        <w:rPr>
          <w:rFonts w:ascii="Arial" w:cs="Arial" w:eastAsia="Arial" w:hAnsi="Arial"/>
          <w:color w:val="404040"/>
          <w:sz w:val="22"/>
          <w:szCs w:val="22"/>
        </w:rPr>
        <w:t xml:space="preserve">Automation maturity model — domain-level maturity assessment and advancement criteria [Gap: +D]</w:t>
      </w:r>
    </w:p>
    <w:p>
      <w:pPr>
        <w:pStyle w:val="ListParagraph"/>
        <w:numPr>
          <w:ilvl w:val="0"/>
          <w:numId w:val="2"/>
        </w:numPr>
        <w:spacing w:after="60"/>
      </w:pPr>
      <w:r>
        <w:rPr>
          <w:rFonts w:ascii="Arial" w:cs="Arial" w:eastAsia="Arial" w:hAnsi="Arial"/>
          <w:color w:val="404040"/>
          <w:sz w:val="22"/>
          <w:szCs w:val="22"/>
        </w:rPr>
        <w:t xml:space="preserve">Implementation plan — 2-week sprint to v1 draft completion [New in v0.2]</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1.3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Infrastructure Engineering &amp; Operations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Platform owners and automation authors — all sections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Platform &amp; Network Architects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Sections 2, 3, 4, 5.8, 5.9, and 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Security &amp; Compliance Teams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Sections 3.4, 6, and 7</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Automation Governance / CoE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Sections 5, 6, 8, 9, and 11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Team Members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Sections 1, 2, 4, and 11.4 (starter kit)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 &amp; Risk</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Sections 6, 7, and 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Engineering Leadership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Sections 1.2, 9.4, and 11 (roadmap and ROI)</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1.4 Document Overview</w:t>
      </w:r>
    </w:p>
    <w:p>
      <w:pPr>
        <w:spacing w:after="120"/>
      </w:pPr>
      <w:r>
        <w:rPr>
          <w:rFonts w:ascii="Arial" w:cs="Arial" w:eastAsia="Arial" w:hAnsi="Arial"/>
          <w:i w:val="false"/>
          <w:iCs w:val="false"/>
          <w:color w:val="404040"/>
          <w:sz w:val="22"/>
          <w:szCs w:val="22"/>
        </w:rPr>
        <w:t xml:space="preserve">Sections 2–4 describe the current-state platform architecture. Section 5 defines the Automation Standards Framework (ten standards). Sections 6–7 address security, compliance, and non-functional requirements. Section 8 covers operational considerations including the Automation Catalog. Section 9 covers governance including the gap remediation roadmap and maturity model. Section 10 is the production approval checklist (ten gates). Section 11 is the implementation plan. Sections 12–13 provide reference material.</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2. Architectural Overview</w:t>
      </w:r>
    </w:p>
    <w:p>
      <w:pPr>
        <w:pStyle w:val="Heading2"/>
        <w:pBdr>
          <w:bottom w:val="single" w:color="2E75B6" w:sz="4"/>
        </w:pBdr>
        <w:spacing w:after="80" w:before="240"/>
      </w:pPr>
      <w:r>
        <w:rPr>
          <w:rFonts w:ascii="Arial" w:cs="Arial" w:eastAsia="Arial" w:hAnsi="Arial"/>
          <w:b/>
          <w:bCs/>
          <w:color w:val="1F4E79"/>
          <w:sz w:val="26"/>
          <w:szCs w:val="26"/>
        </w:rPr>
        <w:t xml:space="preserve">2.1 High-Level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color w:val="404040"/>
                <w:sz w:val="20"/>
                <w:szCs w:val="20"/>
              </w:rPr>
              <w:t xml:space="preserve">Insert: AAP Architecture - High Level Architecture diagram here — updated for v0.2 to include integration layer, EDA Controller, and Automation Hub components.</w:t>
            </w:r>
          </w:p>
        </w:tc>
      </w:tr>
    </w:tbl>
    <w:p>
      <w:pPr>
        <w:spacing w:after="60"/>
      </w:pPr>
      <w:r>
        <w:t xml:space="preserve"/>
      </w:r>
    </w:p>
    <w:p>
      <w:pPr>
        <w:spacing w:after="120"/>
      </w:pPr>
      <w:r>
        <w:rPr>
          <w:rFonts w:ascii="Arial" w:cs="Arial" w:eastAsia="Arial" w:hAnsi="Arial"/>
          <w:i w:val="false"/>
          <w:iCs w:val="false"/>
          <w:color w:val="404040"/>
          <w:sz w:val="22"/>
          <w:szCs w:val="22"/>
        </w:rPr>
        <w:t xml:space="preserve">Key architectural principles:</w:t>
      </w:r>
    </w:p>
    <w:p>
      <w:pPr>
        <w:pStyle w:val="ListParagraph"/>
        <w:numPr>
          <w:ilvl w:val="0"/>
          <w:numId w:val="2"/>
        </w:numPr>
        <w:spacing w:after="60"/>
      </w:pPr>
      <w:r>
        <w:rPr>
          <w:rFonts w:ascii="Arial" w:cs="Arial" w:eastAsia="Arial" w:hAnsi="Arial"/>
          <w:color w:val="404040"/>
          <w:sz w:val="22"/>
          <w:szCs w:val="22"/>
        </w:rPr>
        <w:t xml:space="preserve">Load-balanced control plane across 3 control nodes — no single point of failure</w:t>
      </w:r>
    </w:p>
    <w:p>
      <w:pPr>
        <w:pStyle w:val="ListParagraph"/>
        <w:numPr>
          <w:ilvl w:val="0"/>
          <w:numId w:val="2"/>
        </w:numPr>
        <w:spacing w:after="60"/>
      </w:pPr>
      <w:r>
        <w:rPr>
          <w:rFonts w:ascii="Arial" w:cs="Arial" w:eastAsia="Arial" w:hAnsi="Arial"/>
          <w:color w:val="404040"/>
          <w:sz w:val="22"/>
          <w:szCs w:val="22"/>
        </w:rPr>
        <w:t xml:space="preserve">Organization-scoped execution node isolation — dedicated execution nodes per AAP organization</w:t>
      </w:r>
    </w:p>
    <w:p>
      <w:pPr>
        <w:pStyle w:val="ListParagraph"/>
        <w:numPr>
          <w:ilvl w:val="0"/>
          <w:numId w:val="2"/>
        </w:numPr>
        <w:spacing w:after="60"/>
      </w:pPr>
      <w:r>
        <w:rPr>
          <w:rFonts w:ascii="Arial" w:cs="Arial" w:eastAsia="Arial" w:hAnsi="Arial"/>
          <w:color w:val="404040"/>
          <w:sz w:val="22"/>
          <w:szCs w:val="22"/>
        </w:rPr>
        <w:t xml:space="preserve">Centralized source control via Azure DevOps — all code versioned and pipeline-gated</w:t>
      </w:r>
    </w:p>
    <w:p>
      <w:pPr>
        <w:pStyle w:val="ListParagraph"/>
        <w:numPr>
          <w:ilvl w:val="0"/>
          <w:numId w:val="2"/>
        </w:numPr>
        <w:spacing w:after="60"/>
      </w:pPr>
      <w:r>
        <w:rPr>
          <w:rFonts w:ascii="Arial" w:cs="Arial" w:eastAsia="Arial" w:hAnsi="Arial"/>
          <w:color w:val="404040"/>
          <w:sz w:val="22"/>
          <w:szCs w:val="22"/>
        </w:rPr>
        <w:t xml:space="preserve">Dual inventory sourcing — Red Hat Satellite and ServiceNow CMDB via native inventory plugins</w:t>
      </w:r>
    </w:p>
    <w:p>
      <w:pPr>
        <w:pStyle w:val="ListParagraph"/>
        <w:numPr>
          <w:ilvl w:val="0"/>
          <w:numId w:val="2"/>
        </w:numPr>
        <w:spacing w:after="60"/>
      </w:pPr>
      <w:r>
        <w:rPr>
          <w:rFonts w:ascii="Arial" w:cs="Arial" w:eastAsia="Arial" w:hAnsi="Arial"/>
          <w:color w:val="404040"/>
          <w:sz w:val="22"/>
          <w:szCs w:val="22"/>
        </w:rPr>
        <w:t xml:space="preserve">Identity-driven access — Active Directory group membership drives organization assignment</w:t>
      </w:r>
    </w:p>
    <w:p>
      <w:pPr>
        <w:pStyle w:val="ListParagraph"/>
        <w:numPr>
          <w:ilvl w:val="0"/>
          <w:numId w:val="2"/>
        </w:numPr>
        <w:spacing w:after="60"/>
      </w:pPr>
      <w:r>
        <w:rPr>
          <w:rFonts w:ascii="Arial" w:cs="Arial" w:eastAsia="Arial" w:hAnsi="Arial"/>
          <w:color w:val="404040"/>
          <w:sz w:val="22"/>
          <w:szCs w:val="22"/>
        </w:rPr>
        <w:t xml:space="preserve">v0.2: Integration abstraction layer — no direct point-to-point connectors between external systems and AAP [Gap: 2.1]</w:t>
      </w:r>
    </w:p>
    <w:p>
      <w:pPr>
        <w:pStyle w:val="ListParagraph"/>
        <w:numPr>
          <w:ilvl w:val="0"/>
          <w:numId w:val="2"/>
        </w:numPr>
        <w:spacing w:after="60"/>
      </w:pPr>
      <w:r>
        <w:rPr>
          <w:rFonts w:ascii="Arial" w:cs="Arial" w:eastAsia="Arial" w:hAnsi="Arial"/>
          <w:color w:val="404040"/>
          <w:sz w:val="22"/>
          <w:szCs w:val="22"/>
        </w:rPr>
        <w:t xml:space="preserve">v0.2: All automation runs in versioned execution environment images — no default controller EE [Gap: 2.2, +B]</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2.2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AAP Dashboard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Web UI at aap.metlife.com — primary operator interface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Control Nodes (×3)</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Load-balanced entry points for job dispatch, API, and dashboard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Execution Nodes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Dedicated per organization. Isolate job execution by environment.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Azure DevOps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 Ansible code repositories. Source of truth for automation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 Hat Satellite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Primary inventory source — managed host and patch state data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ServiceNow CMDB</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Secondary inventory source — configuration item and asset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Active Directory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Identity and access control. Group membership = organization in AAP.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Load Balancer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[Specify] — distributes sessions across 3 control nodes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Public Code Dev Host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Shared code authoring only. MUST NOT be targeted by any playbook.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Integration Layer [New v0.2]</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Event bus / API gateway abstracting AAP from external systems. No direct connectors.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Hub [New v0.2]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Private Hub: approved EE images, shared Ansible collections, automation catalog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EDA Controller [New v0.2]</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Event-Driven Ansible — consumes events, triggers AAP job templates</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2.3 Data Flow &amp;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color w:val="404040"/>
                <w:sz w:val="20"/>
                <w:szCs w:val="20"/>
              </w:rPr>
              <w:t xml:space="preserve">Insert: Data flow diagram — v0.2 should show the integration layer between external systems and AAP, the EDA event path, and the catalog registration flow.</w:t>
            </w:r>
          </w:p>
        </w:tc>
      </w:tr>
    </w:tbl>
    <w:p>
      <w:pPr>
        <w:spacing w:after="60"/>
      </w:pPr>
      <w:r>
        <w:t xml:space="preserve"/>
      </w:r>
    </w:p>
    <w:p>
      <w:pPr>
        <w:spacing w:after="120"/>
      </w:pPr>
      <w:r>
        <w:rPr>
          <w:rFonts w:ascii="Arial" w:cs="Arial" w:eastAsia="Arial" w:hAnsi="Arial"/>
          <w:i w:val="false"/>
          <w:iCs w:val="false"/>
          <w:color w:val="404040"/>
          <w:sz w:val="22"/>
          <w:szCs w:val="22"/>
        </w:rPr>
        <w:t xml:space="preserve">Integration flow summary:</w:t>
      </w:r>
    </w:p>
    <w:p>
      <w:pPr>
        <w:pStyle w:val="ListParagraph"/>
        <w:numPr>
          <w:ilvl w:val="0"/>
          <w:numId w:val="2"/>
        </w:numPr>
        <w:spacing w:after="60"/>
      </w:pPr>
      <w:r>
        <w:rPr>
          <w:rFonts w:ascii="Arial" w:cs="Arial" w:eastAsia="Arial" w:hAnsi="Arial"/>
          <w:color w:val="404040"/>
          <w:sz w:val="22"/>
          <w:szCs w:val="22"/>
        </w:rPr>
        <w:t xml:space="preserve">Authentication: Users authenticate via AD. SSO via [specify: SAML/LDAP/OAuth]. Group membership determines organization.</w:t>
      </w:r>
    </w:p>
    <w:p>
      <w:pPr>
        <w:pStyle w:val="ListParagraph"/>
        <w:numPr>
          <w:ilvl w:val="0"/>
          <w:numId w:val="2"/>
        </w:numPr>
        <w:spacing w:after="60"/>
      </w:pPr>
      <w:r>
        <w:rPr>
          <w:rFonts w:ascii="Arial" w:cs="Arial" w:eastAsia="Arial" w:hAnsi="Arial"/>
          <w:color w:val="404040"/>
          <w:sz w:val="22"/>
          <w:szCs w:val="22"/>
        </w:rPr>
        <w:t xml:space="preserve">Inventory: AAP pulls dynamic inventory from Satellite and ServiceNow CMDB via native inventory plugins — not custom scripts.</w:t>
      </w:r>
    </w:p>
    <w:p>
      <w:pPr>
        <w:pStyle w:val="ListParagraph"/>
        <w:numPr>
          <w:ilvl w:val="0"/>
          <w:numId w:val="2"/>
        </w:numPr>
        <w:spacing w:after="60"/>
      </w:pPr>
      <w:r>
        <w:rPr>
          <w:rFonts w:ascii="Arial" w:cs="Arial" w:eastAsia="Arial" w:hAnsi="Arial"/>
          <w:color w:val="404040"/>
          <w:sz w:val="22"/>
          <w:szCs w:val="22"/>
        </w:rPr>
        <w:t xml:space="preserve">Code: Job Templates pull playbooks from Azure DevOps at execution time. Version-controlled and pipeline-gated.</w:t>
      </w:r>
    </w:p>
    <w:p>
      <w:pPr>
        <w:pStyle w:val="ListParagraph"/>
        <w:numPr>
          <w:ilvl w:val="0"/>
          <w:numId w:val="2"/>
        </w:numPr>
        <w:spacing w:after="60"/>
      </w:pPr>
      <w:r>
        <w:rPr>
          <w:rFonts w:ascii="Arial" w:cs="Arial" w:eastAsia="Arial" w:hAnsi="Arial"/>
          <w:color w:val="404040"/>
          <w:sz w:val="22"/>
          <w:szCs w:val="22"/>
        </w:rPr>
        <w:t xml:space="preserve">Execution: Control nodes dispatch to organization's dedicated execution nodes. Nodes connect to targets via SSH/22 or WinRM/5985-5986.</w:t>
      </w:r>
    </w:p>
    <w:p>
      <w:pPr>
        <w:pStyle w:val="ListParagraph"/>
        <w:numPr>
          <w:ilvl w:val="0"/>
          <w:numId w:val="2"/>
        </w:numPr>
        <w:spacing w:after="60"/>
      </w:pPr>
      <w:r>
        <w:rPr>
          <w:rFonts w:ascii="Arial" w:cs="Arial" w:eastAsia="Arial" w:hAnsi="Arial"/>
          <w:color w:val="404040"/>
          <w:sz w:val="22"/>
          <w:szCs w:val="22"/>
        </w:rPr>
        <w:t xml:space="preserve">Event-driven trigger [New v0.2]: External systems publish events to integration layer. EDA Controller consumes rulebooks and triggers AAP job templates without direct API calls from external systems.</w:t>
      </w:r>
    </w:p>
    <w:p>
      <w:pPr>
        <w:pStyle w:val="ListParagraph"/>
        <w:numPr>
          <w:ilvl w:val="0"/>
          <w:numId w:val="2"/>
        </w:numPr>
        <w:spacing w:after="60"/>
      </w:pPr>
      <w:r>
        <w:rPr>
          <w:rFonts w:ascii="Arial" w:cs="Arial" w:eastAsia="Arial" w:hAnsi="Arial"/>
          <w:color w:val="404040"/>
          <w:sz w:val="22"/>
          <w:szCs w:val="22"/>
        </w:rPr>
        <w:t xml:space="preserve">Catalog registration [New v0.2]: CI pipeline updates catalog entry on every successful production promotion.</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3. Detailed Architecture</w:t>
      </w:r>
    </w:p>
    <w:p>
      <w:pPr>
        <w:pStyle w:val="Heading2"/>
        <w:pBdr>
          <w:bottom w:val="single" w:color="2E75B6" w:sz="4"/>
        </w:pBdr>
        <w:spacing w:after="80" w:before="240"/>
      </w:pPr>
      <w:r>
        <w:rPr>
          <w:rFonts w:ascii="Arial" w:cs="Arial" w:eastAsia="Arial" w:hAnsi="Arial"/>
          <w:b/>
          <w:bCs/>
          <w:color w:val="1F4E79"/>
          <w:sz w:val="26"/>
          <w:szCs w:val="26"/>
        </w:rPr>
        <w:t xml:space="preserve">3.1 Application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Ansible Automation Platform (AAP)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Version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[Specify — e.g., AAP 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Dashboard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aap.metlife.com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Organization model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Each AD group maps to a named AAP organization with dedicated execution resources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Job Template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Scoped per organization. Cross-org access requires explicit permission grants.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Credential vault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CyberArk and Azure Key Vault — per Secured by Design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Notification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[Specify: email / ServiceNow / Teams on job failure]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Webhook / event triggers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Via EDA Controller and integration layer — not direct webhook to AAP [v0.2]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Execution environments [New v0.2]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automation declares a specific versioned EE from Automation Hub</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3.2 Infrastructure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color w:val="404040"/>
                <w:sz w:val="20"/>
                <w:szCs w:val="20"/>
              </w:rPr>
              <w:t xml:space="preserve">Insert: AAP Infrastructure Servers table — populate all hostnames, IPs, form factors, and specifications.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Server Role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Hostname / IP | Specs |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Control Node 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[Hostname] | [CPU/RAM/Disk] | Load balanced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Control Node 2</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[Hostname] | [CPU/RAM/Disk] | Load balanced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Control Node 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[Hostname] | [CPU/RAM/Disk] | Load balanced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Execution Node — Org A</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[Hostname] | [CPU/RAM/Disk] | Dedicated per org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Execution Node — Org 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[Hostname] | [CPU/RAM/Disk] | Dedicated per org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Public Code Dev Host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[Hostname] | [CPU/RAM/Disk] | Code authoring ONLY — not a playbook 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Database (AAP)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[Hostname] | [CPU/RAM/Disk] | PostgreSQL backend for AAP state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Automation Hub [New v0.2]</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[Hostname] | [CPU/RAM/Disk] | EE registry, shared collections, catalog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EDA Controller [New v0.2]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[Hostname] | [CPU/RAM/Disk] | Event-Driven Ansible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Integration Gateway [New v0.2]</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[Hostname] | [CPU/RAM/Disk] | API gateway — decouples AAP from external systems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color w:val="404040"/>
                <w:sz w:val="20"/>
                <w:szCs w:val="20"/>
              </w:rPr>
              <w:t xml:space="preserve">IMPORTANT: The Public Code Development Host is for writing Ansible code only. It must not be targeted by any playbook or Job Template under any circumstances.</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3.3 Network Architecture (including Firewall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color w:val="404040"/>
                <w:sz w:val="20"/>
                <w:szCs w:val="20"/>
              </w:rPr>
              <w:t xml:space="preserve">Insert: AAP Architecture - Firewall Traffic diagram here — updated for v0.2 to include integration layer and EDA Controller paths.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Traffic Flow</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 / Port | Direction | 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User → Load Balancer → Control Nodes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HTTPS / 443 | Inbound | Dashboard and API access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Control Nodes → Execution Nodes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[Specify port] | Internal | Job dispatch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Execution Nodes → Linux Targets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SSH / 22 | Outbound | Playbook execution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Execution Nodes → Windows Targets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WinRM / 5985–5986 | Outbound | Playbook execution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AAP → Red Hat Satellite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[Specify port] | Outbound | Inventory sync via plugin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AAP → ServiceNow CMDB</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HTTPS / 443 | Outbound | Inventory sync via plugin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AAP → Azure DevOps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HTTPS / 443 | Outbound | Code retrieval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AAP → CyberArk / Key Vault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HTTPS / 443 | Outbound | Credential retrieval at runtime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AAP → AD / LDAP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[Specify port] | Outbound | Authentication and group sync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External systems → Integration Gateway [New v0.2]</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HTTPS / 443 | Inbound | Events and API calls via abstraction 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Integration Gateway → AAP [New v0.2]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HTTPS / 443 | Internal | Validated, normalized requests 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EDA Controller → AAP [New v0.2]</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HTTPS / 443 | Internal | Event-triggered job launches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Hub → Execution Nodes [New v0.2]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HTTPS / 443 | Outbound | EE image pull at job start</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3.4 Security Architecture</w:t>
      </w:r>
    </w:p>
    <w:p>
      <w:pPr>
        <w:spacing w:after="120"/>
      </w:pPr>
      <w:r>
        <w:rPr>
          <w:rFonts w:ascii="Arial" w:cs="Arial" w:eastAsia="Arial" w:hAnsi="Arial"/>
          <w:i w:val="false"/>
          <w:iCs w:val="false"/>
          <w:color w:val="404040"/>
          <w:sz w:val="22"/>
          <w:szCs w:val="22"/>
        </w:rPr>
        <w:t xml:space="preserve">Security architecture is governed by the Secured by Design standard (see Section 5.2).</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Area</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Active Directory. SSO via [SAML/LDAP/OAuth]. MFA required for production access.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Authorization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RBAC via AD group → AAP organization mapping. Least privilege per automation identity.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Credential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CyberArk and Azure Key Vault. All secrets retrieved dynamically at runtime.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Secret masking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AAP masks secrets injected via credential store. External store secrets masked by author.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Audit logging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[Specify: SIEM integration, log destination, retention period]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Secret scanning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Pipeline scans committed code for secrets before merge. Detected secrets block the PR.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Separation of duties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High-risk automation requires a second approver.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Environment isolation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Production and non-production automation identities are separate.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Encryption in transit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TLS [specify version] enforced on all control node communication.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Integration layer security [New v0.2]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 inbound events authenticated and payload schema validated before reaching AAP.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EE image security [New 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EE images security-scanned before publication. Images are immutable once published.</w:t>
            </w:r>
          </w:p>
        </w:tc>
      </w:tr>
    </w:tbl>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4. Technology Stack</w:t>
      </w:r>
    </w:p>
    <w:p>
      <w:pPr>
        <w:pStyle w:val="Heading2"/>
        <w:pBdr>
          <w:bottom w:val="single" w:color="2E75B6" w:sz="4"/>
        </w:pBdr>
        <w:spacing w:after="80" w:before="240"/>
      </w:pPr>
      <w:r>
        <w:rPr>
          <w:rFonts w:ascii="Arial" w:cs="Arial" w:eastAsia="Arial" w:hAnsi="Arial"/>
          <w:b/>
          <w:bCs/>
          <w:color w:val="1F4E79"/>
          <w:sz w:val="26"/>
          <w:szCs w:val="26"/>
        </w:rPr>
        <w:t xml:space="preserve">4.1 Software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 | Version | Vendor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Ansible Automation Platform | [version] | Red Hat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Source control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Azure DevOps | [version/tier] | Microsoft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Inventory — Linux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 Hat Satellite | [version] | Red Hat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Inventory — CMDB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ServiceNow | [instance/version] | ServiceNow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Identity 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Active Directory | [version] | Microsoft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Credential management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CyberArk and/or Azure Key Vault | [version] | CyberArk / Microsoft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Load balancer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[Product] | [version] | [Vendor]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Database (AAP backend)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PostgreSQL | [version] | Open Source / Red Hat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ITSM / Change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ServiceNow | [instance] | ServiceNow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Observability / SIEM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[Product — e.g., Splunk, Dynatrace] | [version] | [Vendor]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Hub [New 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 Hat Automation Hub (private) | [version] | Red Hat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EDA Controller [New v0.2]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Red Hat Event-Driven Ansible | [version] | Red Hat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Integration gateway [New 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[Product — e.g., MuleSoft, Azure API Mgmt] | [version] | [Vendor]</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4.2 Hardware /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 Factor | Quantity | Spec (CPU/RAM/Disk)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Control nodes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[VM/Physical] | 3 | [Specify]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Execution nodes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[VM/Physical] | [Count per org] | [Specify]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AAP database 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[VM/Physical] | 1 (+ standby) | [Specify]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Public code dev host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[VM/Physical] | 1 | [Specify]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Load balancer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[VM/Appliance] | [Count] | [Specify]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Automation Hub host [New v0.2]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[VM/Physical] | 1 | [Specify]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EDA Controller host [New 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[VM/Physical] | 1 | [Specify]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Integration gateway host [New v0.2]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[VM/Physical] | [Count] | [Specify]</w:t>
            </w:r>
          </w:p>
        </w:tc>
      </w:tr>
    </w:tbl>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5. Automation Standards Framework</w:t>
      </w:r>
    </w:p>
    <w:p>
      <w:pPr>
        <w:spacing w:after="120"/>
      </w:pPr>
      <w:r>
        <w:rPr>
          <w:rFonts w:ascii="Arial" w:cs="Arial" w:eastAsia="Arial" w:hAnsi="Arial"/>
          <w:i w:val="false"/>
          <w:iCs w:val="false"/>
          <w:color w:val="404040"/>
          <w:sz w:val="22"/>
          <w:szCs w:val="22"/>
        </w:rPr>
        <w:t xml:space="preserve">The Automation Standards Framework defines how every automation running on this platform must be designed, built, tested, and operated. All standards are owned by the Automation Centre of Excellence and enforced through approval gates before production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404040"/>
                <w:sz w:val="20"/>
                <w:szCs w:val="20"/>
              </w:rPr>
              <w:t xml:space="preserve">v0.2 update: Three new standards added — Integration Architecture (5.8), Execution Environment Standardization (5.9), and Discoverability and Composability (5.10) — driven by gap analysis findings.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Summary Purpose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Addressed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Naming, Metadata, and Classification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Consistent names, complete operator headers, four-dimension classification, governed lifecycle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1.3, 3.1, 3.3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Safe Execution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Scope-controlled, input-validated, failure-classified, concurrency-safe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1.3, 2.4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Secured by Design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Least privilege, approved secret stores, no secrets in output, second approver for high-risk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1.3, 2.4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Idempotency and Re-runnable Behavior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Same outcome on re-run, bounded retries, explicit timeouts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1.3, 2.4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Automatic Backout and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Detect own failures, restore known good state automatically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Tested Before Production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Representative non-production testing, all paths evidenced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1.2, 1.3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Observability, Logging, and Reportability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Structured, complete, consistent execution output with ROI 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1.1, 1.3, 2.3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Integration Architecture [New v0.2]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Decoupled, event-driven integrations — no point-to-point connectors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2.1, 2.2, +A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Execution Environment Standardization [New v0.2]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Versioned immutable EE images — no automation on default controller 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2.2, +B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Discoverability and Composability [New v0.2]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Central catalog, machine-readable interfaces, reusable shared collections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3.1, 3.2, 3.3, +C</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5.1 Naming, Metadata, and Classification</w:t>
      </w:r>
    </w:p>
    <w:p>
      <w:pPr>
        <w:spacing w:after="120"/>
      </w:pPr>
      <w:r>
        <w:rPr>
          <w:rFonts w:ascii="Arial" w:cs="Arial" w:eastAsia="Arial" w:hAnsi="Arial"/>
          <w:i w:val="false"/>
          <w:iCs w:val="false"/>
          <w:color w:val="404040"/>
          <w:sz w:val="22"/>
          <w:szCs w:val="22"/>
        </w:rPr>
        <w:t xml:space="preserve">Owner: Automation CoE | Status: Draft | Last Reviewed: 2026-03-17</w:t>
      </w:r>
    </w:p>
    <w:p>
      <w:pPr>
        <w:spacing w:after="120"/>
      </w:pPr>
      <w:r>
        <w:rPr>
          <w:rFonts w:ascii="Arial" w:cs="Arial" w:eastAsia="Arial" w:hAnsi="Arial"/>
          <w:i w:val="false"/>
          <w:iCs w:val="false"/>
          <w:color w:val="404040"/>
          <w:sz w:val="22"/>
          <w:szCs w:val="22"/>
        </w:rPr>
        <w:t xml:space="preserve">Asset naming: [domain]-[action]-[target]. Approved domain prefixes: linux, windows, network, firewall, db, middleware, observability, bigdata, virt, aix, storage, mainframe, platform.</w:t>
      </w:r>
    </w:p>
    <w:p>
      <w:pPr>
        <w:spacing w:after="120"/>
      </w:pPr>
      <w:r>
        <w:rPr>
          <w:rFonts w:ascii="Arial" w:cs="Arial" w:eastAsia="Arial" w:hAnsi="Arial"/>
          <w:i w:val="false"/>
          <w:iCs w:val="false"/>
          <w:color w:val="404040"/>
          <w:sz w:val="22"/>
          <w:szCs w:val="22"/>
        </w:rPr>
        <w:t xml:space="preserve">Every production automation entrypoint must include a complete operator header with all mandatory fields: Name, Purpose, Automation type, SLA binding, Scope, Inputs, Preconditions, Outputs, Owner, Compliance status, Risk classification, Lifecycle state.</w:t>
      </w:r>
    </w:p>
    <w:p>
      <w:pPr>
        <w:spacing w:after="120"/>
      </w:pPr>
      <w:r>
        <w:rPr>
          <w:rFonts w:ascii="Arial" w:cs="Arial" w:eastAsia="Arial" w:hAnsi="Arial"/>
          <w:i w:val="false"/>
          <w:iCs w:val="false"/>
          <w:color w:val="404040"/>
          <w:sz w:val="22"/>
          <w:szCs w:val="22"/>
        </w:rPr>
        <w:t xml:space="preserve">Eight automation types: Configuration, Compliance, Provisioning, Remediation, SLA Management, Service Operation, Validation, One-Time Execution.</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5.2 Secured by Design</w:t>
      </w:r>
    </w:p>
    <w:p>
      <w:pPr>
        <w:spacing w:after="120"/>
      </w:pPr>
      <w:r>
        <w:rPr>
          <w:rFonts w:ascii="Arial" w:cs="Arial" w:eastAsia="Arial" w:hAnsi="Arial"/>
          <w:i w:val="false"/>
          <w:iCs w:val="false"/>
          <w:color w:val="404040"/>
          <w:sz w:val="22"/>
          <w:szCs w:val="22"/>
        </w:rPr>
        <w:t xml:space="preserve">Owner: Automation CoE | Status: Draft | Last Reviewed: 2026-03-17</w:t>
      </w:r>
    </w:p>
    <w:p>
      <w:pPr>
        <w:spacing w:after="120"/>
      </w:pPr>
      <w:r>
        <w:rPr>
          <w:rFonts w:ascii="Arial" w:cs="Arial" w:eastAsia="Arial" w:hAnsi="Arial"/>
          <w:i w:val="false"/>
          <w:iCs w:val="false"/>
          <w:color w:val="404040"/>
          <w:sz w:val="22"/>
          <w:szCs w:val="22"/>
        </w:rPr>
        <w:t xml:space="preserve">Four obligations: Least Privilege, Secret and Credential Management (CyberArk and Azure Key Vault only), Separation of Duties for High-Risk Automation, Sensitive Data in Output.</w:t>
      </w:r>
    </w:p>
    <w:p>
      <w:pPr>
        <w:spacing w:after="120"/>
      </w:pPr>
      <w:r>
        <w:rPr>
          <w:rFonts w:ascii="Arial" w:cs="Arial" w:eastAsia="Arial" w:hAnsi="Arial"/>
          <w:i w:val="false"/>
          <w:iCs w:val="false"/>
          <w:color w:val="404040"/>
          <w:sz w:val="22"/>
          <w:szCs w:val="22"/>
        </w:rPr>
        <w:t xml:space="preserve">High-risk criteria requiring a second approver: production-wide scope, destructive operations, security policy changes, identity/access changes, network perimeter changes.</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5.3 Safe Execution</w:t>
      </w:r>
    </w:p>
    <w:p>
      <w:pPr>
        <w:spacing w:after="120"/>
      </w:pPr>
      <w:r>
        <w:rPr>
          <w:rFonts w:ascii="Arial" w:cs="Arial" w:eastAsia="Arial" w:hAnsi="Arial"/>
          <w:i w:val="false"/>
          <w:iCs w:val="false"/>
          <w:color w:val="404040"/>
          <w:sz w:val="22"/>
          <w:szCs w:val="22"/>
        </w:rPr>
        <w:t xml:space="preserve">Owner: Automation CoE | Status: Draft | Last Reviewed: 2026-03-17</w:t>
      </w:r>
    </w:p>
    <w:p>
      <w:pPr>
        <w:spacing w:after="120"/>
      </w:pPr>
      <w:r>
        <w:rPr>
          <w:rFonts w:ascii="Arial" w:cs="Arial" w:eastAsia="Arial" w:hAnsi="Arial"/>
          <w:i w:val="false"/>
          <w:iCs w:val="false"/>
          <w:color w:val="404040"/>
          <w:sz w:val="22"/>
          <w:szCs w:val="22"/>
        </w:rPr>
        <w:t xml:space="preserve">Three obligations: Scope Control (explicit selector, narrow default, fail closed), Input Validation (all parameters, explicit confirmation for destructive ops), Failure Classification (five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Failure Category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Input or precondition failure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Missing, invalid, or unsafe inputs; preconditions not met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Connectivity or access failure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Cannot reach the target host, service, or dependency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Authorization or permission failure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Identity lacks required permissions on the target system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Target state or dependency failure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Target is in unexpected state; required dependency absent or incompatible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logic failure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Error in the automation code — bug, unhandled exception, or logic error</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5.4 Idempotency and Re-runnable Behavior</w:t>
      </w:r>
    </w:p>
    <w:p>
      <w:pPr>
        <w:spacing w:after="120"/>
      </w:pPr>
      <w:r>
        <w:rPr>
          <w:rFonts w:ascii="Arial" w:cs="Arial" w:eastAsia="Arial" w:hAnsi="Arial"/>
          <w:i w:val="false"/>
          <w:iCs w:val="false"/>
          <w:color w:val="404040"/>
          <w:sz w:val="22"/>
          <w:szCs w:val="22"/>
        </w:rPr>
        <w:t xml:space="preserve">Owner: Automation CoE | Status: Draft | Last Reviewed: 2026-03-17</w:t>
      </w:r>
    </w:p>
    <w:p>
      <w:pPr>
        <w:spacing w:after="120"/>
      </w:pPr>
      <w:r>
        <w:rPr>
          <w:rFonts w:ascii="Arial" w:cs="Arial" w:eastAsia="Arial" w:hAnsi="Arial"/>
          <w:i w:val="false"/>
          <w:iCs w:val="false"/>
          <w:color w:val="404040"/>
          <w:sz w:val="22"/>
          <w:szCs w:val="22"/>
        </w:rPr>
        <w:t xml:space="preserve">Three obligations: Idempotent Design (check before act, use declarative mechanisms, test twice against same target), Bounded Retries (maximum count, backoff interval, idempotent operations only), Explicit Timeouts (all waits, network calls, polling loops).</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5.5 Automatic Backout and Recovery</w:t>
      </w:r>
    </w:p>
    <w:p>
      <w:pPr>
        <w:spacing w:after="120"/>
      </w:pPr>
      <w:r>
        <w:rPr>
          <w:rFonts w:ascii="Arial" w:cs="Arial" w:eastAsia="Arial" w:hAnsi="Arial"/>
          <w:i w:val="false"/>
          <w:iCs w:val="false"/>
          <w:color w:val="404040"/>
          <w:sz w:val="22"/>
          <w:szCs w:val="22"/>
        </w:rPr>
        <w:t xml:space="preserve">Owner: Automation CoE | Status: Draft | Last Reviewed: 2026-03-17</w:t>
      </w:r>
    </w:p>
    <w:p>
      <w:pPr>
        <w:spacing w:after="120"/>
      </w:pPr>
      <w:r>
        <w:rPr>
          <w:rFonts w:ascii="Arial" w:cs="Arial" w:eastAsia="Arial" w:hAnsi="Arial"/>
          <w:i w:val="false"/>
          <w:iCs w:val="false"/>
          <w:color w:val="404040"/>
          <w:sz w:val="22"/>
          <w:szCs w:val="22"/>
        </w:rPr>
        <w:t xml:space="preserve">All seven stages mandatory for every state-changing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Capture pre-change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Snapshot all elements needed to restore. Validate backup before proceeding.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 Execute change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Apply the intended state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 Post-execution validation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Validate actual system state — service responsiveness, config, API state.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 Trigger rollback on failure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Automatically on validation failure. No human decision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 Restore known good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Apply captured pre-change state.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 Verify undo</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Confirm recovery completed — a completed rollback is not a confirmed recovery.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 Alert and create incident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Auto-create incident ticket. Attach run ID and failure reason.</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5.6 Tested Before Production</w:t>
      </w:r>
    </w:p>
    <w:p>
      <w:pPr>
        <w:spacing w:after="120"/>
      </w:pPr>
      <w:r>
        <w:rPr>
          <w:rFonts w:ascii="Arial" w:cs="Arial" w:eastAsia="Arial" w:hAnsi="Arial"/>
          <w:i w:val="false"/>
          <w:iCs w:val="false"/>
          <w:color w:val="404040"/>
          <w:sz w:val="22"/>
          <w:szCs w:val="22"/>
        </w:rPr>
        <w:t xml:space="preserve">Owner: Automation CoE | Status: Draft | Last Reviewed: 2026-03-17</w:t>
      </w:r>
    </w:p>
    <w:p>
      <w:pPr>
        <w:spacing w:after="120"/>
      </w:pPr>
      <w:r>
        <w:rPr>
          <w:rFonts w:ascii="Arial" w:cs="Arial" w:eastAsia="Arial" w:hAnsi="Arial"/>
          <w:i w:val="false"/>
          <w:iCs w:val="false"/>
          <w:color w:val="404040"/>
          <w:sz w:val="22"/>
          <w:szCs w:val="22"/>
        </w:rPr>
        <w:t xml:space="preserve">Required test evidence: end-to-end execution log, failure/backout test log, idempotency test log (second run, same target), environmental parity documentation (6 dimensions), linting pass, security scan pass, standards compliance pass, manual baseline reviewed by procedure owner.</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5.7 Observability, Logging, and Reportability</w:t>
      </w:r>
    </w:p>
    <w:p>
      <w:pPr>
        <w:spacing w:after="120"/>
      </w:pPr>
      <w:r>
        <w:rPr>
          <w:rFonts w:ascii="Arial" w:cs="Arial" w:eastAsia="Arial" w:hAnsi="Arial"/>
          <w:i w:val="false"/>
          <w:iCs w:val="false"/>
          <w:color w:val="404040"/>
          <w:sz w:val="22"/>
          <w:szCs w:val="22"/>
        </w:rPr>
        <w:t xml:space="preserve">Owner: Automation CoE | Status: Draft | Last Reviewed: 2026-03-17</w:t>
      </w:r>
    </w:p>
    <w:p>
      <w:pPr>
        <w:spacing w:after="120"/>
      </w:pPr>
      <w:r>
        <w:rPr>
          <w:rFonts w:ascii="Arial" w:cs="Arial" w:eastAsia="Arial" w:hAnsi="Arial"/>
          <w:i w:val="false"/>
          <w:iCs w:val="false"/>
          <w:color w:val="404040"/>
          <w:sz w:val="22"/>
          <w:szCs w:val="22"/>
        </w:rPr>
        <w:t xml:space="preserve">Every execution must produce structured output sufficient to reconstruct what happened from the log alone.</w:t>
      </w:r>
    </w:p>
    <w:p>
      <w:pPr>
        <w:pStyle w:val="Heading3"/>
        <w:spacing w:after="60" w:before="180"/>
      </w:pPr>
      <w:r>
        <w:rPr>
          <w:rFonts w:ascii="Arial" w:cs="Arial" w:eastAsia="Arial" w:hAnsi="Arial"/>
          <w:b/>
          <w:bCs/>
          <w:color w:val="2E75B6"/>
          <w:sz w:val="22"/>
          <w:szCs w:val="22"/>
        </w:rPr>
        <w:t xml:space="preserve">Required Run-Level Summary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Execution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Job ID or run ID assigned by AAP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Automation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Asset name as it appears in the catalog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revision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Commit SHA of the version that ran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Initiator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Identity that launched the execution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Initiator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Manual, scheduled, or event-driven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Target scope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Systems, hosts, or resources targeted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dev, test, prod, or equivalent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Start / End / Duration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Timestamps and total execution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Outcome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Success, failure, partial, or backout triggered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hours_saved [New v0.2]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Float — estimated hours of manual work eliminated by this execution [Gap: 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actions_completed [New v0.2]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Integer — discrete automation actions completed [Gap: 1.1]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hosts_changed [New v0.2]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Integer — number of hosts that had state changed [Gap: 1.1]</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5.8 Integration Architecture [New Standard — v0.2]</w:t>
      </w:r>
    </w:p>
    <w:p>
      <w:pPr>
        <w:spacing w:after="120"/>
      </w:pPr>
      <w:r>
        <w:rPr>
          <w:rFonts w:ascii="Arial" w:cs="Arial" w:eastAsia="Arial" w:hAnsi="Arial"/>
          <w:i w:val="false"/>
          <w:iCs w:val="false"/>
          <w:color w:val="404040"/>
          <w:sz w:val="22"/>
          <w:szCs w:val="22"/>
        </w:rPr>
        <w:t xml:space="preserve">Owner: Automation CoE | Status: Draft | Last Reviewed: 2026-04-03</w:t>
      </w:r>
    </w:p>
    <w:p>
      <w:pPr>
        <w:spacing w:after="120"/>
      </w:pPr>
      <w:r>
        <w:rPr>
          <w:rFonts w:ascii="Arial" w:cs="Arial" w:eastAsia="Arial" w:hAnsi="Arial"/>
          <w:i/>
          <w:iCs/>
          <w:color w:val="404040"/>
          <w:sz w:val="22"/>
          <w:szCs w:val="22"/>
        </w:rPr>
        <w:t xml:space="preserve">Applies To: All automation that integrates AAP with external systems</w:t>
      </w:r>
    </w:p>
    <w:p>
      <w:pPr>
        <w:spacing w:after="120"/>
      </w:pPr>
      <w:r>
        <w:rPr>
          <w:rFonts w:ascii="Arial" w:cs="Arial" w:eastAsia="Arial" w:hAnsi="Arial"/>
          <w:i w:val="false"/>
          <w:iCs w:val="false"/>
          <w:color w:val="404040"/>
          <w:sz w:val="22"/>
          <w:szCs w:val="22"/>
        </w:rPr>
        <w:t xml:space="preserve">Gaps addressed: 2.1 (tight coupling), 2.2 (upgrade friction), +A (no integration middleware)</w:t>
      </w:r>
    </w:p>
    <w:p>
      <w:pPr>
        <w:spacing w:after="60"/>
      </w:pPr>
      <w:r>
        <w:t xml:space="preserve"/>
      </w:r>
    </w:p>
    <w:p>
      <w:pPr>
        <w:pStyle w:val="Heading3"/>
        <w:spacing w:after="60" w:before="180"/>
      </w:pPr>
      <w:r>
        <w:rPr>
          <w:rFonts w:ascii="Arial" w:cs="Arial" w:eastAsia="Arial" w:hAnsi="Arial"/>
          <w:b/>
          <w:bCs/>
          <w:color w:val="2E75B6"/>
          <w:sz w:val="22"/>
          <w:szCs w:val="22"/>
        </w:rPr>
        <w:t xml:space="preserve">Purpose</w:t>
      </w:r>
    </w:p>
    <w:p>
      <w:pPr>
        <w:spacing w:after="120"/>
      </w:pPr>
      <w:r>
        <w:rPr>
          <w:rFonts w:ascii="Arial" w:cs="Arial" w:eastAsia="Arial" w:hAnsi="Arial"/>
          <w:i w:val="false"/>
          <w:iCs w:val="false"/>
          <w:color w:val="404040"/>
          <w:sz w:val="22"/>
          <w:szCs w:val="22"/>
        </w:rPr>
        <w:t xml:space="preserve">Point-to-point integrations between AAP and external systems create brittle architectures. This standard ensures AAP is decoupled from its consumers and that integrations are event-driven, authenticated, and reversible.</w:t>
      </w:r>
    </w:p>
    <w:p>
      <w:pPr>
        <w:spacing w:after="60"/>
      </w:pPr>
      <w:r>
        <w:t xml:space="preserve"/>
      </w:r>
    </w:p>
    <w:p>
      <w:pPr>
        <w:pStyle w:val="Heading3"/>
        <w:spacing w:after="60" w:before="180"/>
      </w:pPr>
      <w:r>
        <w:rPr>
          <w:rFonts w:ascii="Arial" w:cs="Arial" w:eastAsia="Arial" w:hAnsi="Arial"/>
          <w:b/>
          <w:bCs/>
          <w:color w:val="2E75B6"/>
          <w:sz w:val="22"/>
          <w:szCs w:val="22"/>
        </w:rPr>
        <w:t xml:space="preserve">Approved Integration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Event-driven via EDA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External system publishes event that should trigger automation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ServiceNow change approval → EDA rulebook → AAP job template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API gateway mediation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External system requests automation execution synchronously</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Portal button → API gateway → validated payload → AAP job template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Inventory plugin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External system provides host/asset data to AAP</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Satellite or CMDB → standard AAP inventory plugin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Scheduled pull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AAP pulls data from external system on a schedule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Compliance scan data pulled from Qualys on a schedule</w:t>
            </w:r>
          </w:p>
        </w:tc>
      </w:tr>
    </w:tbl>
    <w:p>
      <w:pPr>
        <w:spacing w:after="60"/>
      </w:pPr>
      <w:r>
        <w:t xml:space="preserve"/>
      </w:r>
    </w:p>
    <w:p>
      <w:pPr>
        <w:pStyle w:val="Heading3"/>
        <w:spacing w:after="60" w:before="180"/>
      </w:pPr>
      <w:r>
        <w:rPr>
          <w:rFonts w:ascii="Arial" w:cs="Arial" w:eastAsia="Arial" w:hAnsi="Arial"/>
          <w:b/>
          <w:bCs/>
          <w:color w:val="2E75B6"/>
          <w:sz w:val="22"/>
          <w:szCs w:val="22"/>
        </w:rPr>
        <w:t xml:space="preserve">Non-Compliant Patterns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i/>
                <w:iCs/>
                <w:color w:val="404040"/>
                <w:sz w:val="20"/>
                <w:szCs w:val="20"/>
              </w:rPr>
              <w:t xml:space="preserve">NON-COMPLIANT: Hardcoded external system URLs or credentials in playbooks, custom inventory scripts for systems with available AAP inventory plugins, direct AAP API calls from external systems bypassing the integration gateway.</w:t>
            </w:r>
          </w:p>
        </w:tc>
      </w:tr>
    </w:tbl>
    <w:p>
      <w:pPr>
        <w:spacing w:after="60"/>
      </w:pPr>
      <w:r>
        <w:t xml:space="preserve"/>
      </w:r>
    </w:p>
    <w:p>
      <w:pPr>
        <w:pStyle w:val="Heading3"/>
        <w:spacing w:after="60" w:before="180"/>
      </w:pPr>
      <w:r>
        <w:rPr>
          <w:rFonts w:ascii="Arial" w:cs="Arial" w:eastAsia="Arial" w:hAnsi="Arial"/>
          <w:b/>
          <w:bCs/>
          <w:color w:val="2E75B6"/>
          <w:sz w:val="22"/>
          <w:szCs w:val="22"/>
        </w:rPr>
        <w:t xml:space="preserve">EDA Rulebook Requirements</w:t>
      </w:r>
    </w:p>
    <w:p>
      <w:pPr>
        <w:spacing w:after="120"/>
      </w:pPr>
      <w:r>
        <w:rPr>
          <w:rFonts w:ascii="Arial" w:cs="Arial" w:eastAsia="Arial" w:hAnsi="Arial"/>
          <w:i w:val="false"/>
          <w:iCs w:val="false"/>
          <w:color w:val="404040"/>
          <w:sz w:val="22"/>
          <w:szCs w:val="22"/>
        </w:rPr>
        <w:t xml:space="preserve">EDA rulebooks triggering AAP job templates must: validate the event payload schema before triggering, confirm the event source is on the approved allowlist, map event data to explicit job template variables, and log the event source and triggered job template in structured output.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i/>
                <w:iCs/>
                <w:color w:val="404040"/>
                <w:sz w:val="20"/>
                <w:szCs w:val="20"/>
              </w:rPr>
              <w:t xml:space="preserve">Compliant EDA rulebook structure — see the reference implementations repository for full examples. Every rulebook must include: source authentication, payload schema validation, explicit variable mapping, and structured output logging.</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5.9 Execution Environment Standardization [New Standard — v0.2]</w:t>
      </w:r>
    </w:p>
    <w:p>
      <w:pPr>
        <w:spacing w:after="120"/>
      </w:pPr>
      <w:r>
        <w:rPr>
          <w:rFonts w:ascii="Arial" w:cs="Arial" w:eastAsia="Arial" w:hAnsi="Arial"/>
          <w:i w:val="false"/>
          <w:iCs w:val="false"/>
          <w:color w:val="404040"/>
          <w:sz w:val="22"/>
          <w:szCs w:val="22"/>
        </w:rPr>
        <w:t xml:space="preserve">Owner: Automation CoE | Status: Draft | Last Reviewed: 2026-04-03</w:t>
      </w:r>
    </w:p>
    <w:p>
      <w:pPr>
        <w:spacing w:after="120"/>
      </w:pPr>
      <w:r>
        <w:rPr>
          <w:rFonts w:ascii="Arial" w:cs="Arial" w:eastAsia="Arial" w:hAnsi="Arial"/>
          <w:i/>
          <w:iCs/>
          <w:color w:val="404040"/>
          <w:sz w:val="22"/>
          <w:szCs w:val="22"/>
        </w:rPr>
        <w:t xml:space="preserve">Applies To: All automation promoted to production</w:t>
      </w:r>
    </w:p>
    <w:p>
      <w:pPr>
        <w:spacing w:after="120"/>
      </w:pPr>
      <w:r>
        <w:rPr>
          <w:rFonts w:ascii="Arial" w:cs="Arial" w:eastAsia="Arial" w:hAnsi="Arial"/>
          <w:i w:val="false"/>
          <w:iCs w:val="false"/>
          <w:color w:val="404040"/>
          <w:sz w:val="22"/>
          <w:szCs w:val="22"/>
        </w:rPr>
        <w:t xml:space="preserve">Gaps addressed: 2.2 (upgrade friction), +B (no EE standardization)</w:t>
      </w:r>
    </w:p>
    <w:p>
      <w:pPr>
        <w:spacing w:after="60"/>
      </w:pPr>
      <w:r>
        <w:t xml:space="preserve"/>
      </w:r>
    </w:p>
    <w:p>
      <w:pPr>
        <w:pStyle w:val="Heading3"/>
        <w:spacing w:after="60" w:before="180"/>
      </w:pPr>
      <w:r>
        <w:rPr>
          <w:rFonts w:ascii="Arial" w:cs="Arial" w:eastAsia="Arial" w:hAnsi="Arial"/>
          <w:b/>
          <w:bCs/>
          <w:color w:val="2E75B6"/>
          <w:sz w:val="22"/>
          <w:szCs w:val="22"/>
        </w:rPr>
        <w:t xml:space="preserve">Purpose</w:t>
      </w:r>
    </w:p>
    <w:p>
      <w:pPr>
        <w:spacing w:after="120"/>
      </w:pPr>
      <w:r>
        <w:rPr>
          <w:rFonts w:ascii="Arial" w:cs="Arial" w:eastAsia="Arial" w:hAnsi="Arial"/>
          <w:i w:val="false"/>
          <w:iCs w:val="false"/>
          <w:color w:val="404040"/>
          <w:sz w:val="22"/>
          <w:szCs w:val="22"/>
        </w:rPr>
        <w:t xml:space="preserve">Automation running on the AAP controller's default EE creates hidden dependencies between platform version upgrades and automation behavior. This standard ensures every automation's runtime dependencies are explicit, versioned, and platform-independent.</w:t>
      </w:r>
    </w:p>
    <w:p>
      <w:pPr>
        <w:spacing w:after="60"/>
      </w:pPr>
      <w:r>
        <w:t xml:space="preserve"/>
      </w:r>
    </w:p>
    <w:p>
      <w:pPr>
        <w:pStyle w:val="Heading3"/>
        <w:spacing w:after="60" w:before="180"/>
      </w:pPr>
      <w:r>
        <w:rPr>
          <w:rFonts w:ascii="Arial" w:cs="Arial" w:eastAsia="Arial" w:hAnsi="Arial"/>
          <w:b/>
          <w:bCs/>
          <w:color w:val="2E75B6"/>
          <w:sz w:val="22"/>
          <w:szCs w:val="22"/>
        </w:rPr>
        <w:t xml:space="preserve">Standard Statement</w:t>
      </w:r>
    </w:p>
    <w:p>
      <w:pPr>
        <w:spacing w:after="120"/>
      </w:pPr>
      <w:r>
        <w:rPr>
          <w:rFonts w:ascii="Arial" w:cs="Arial" w:eastAsia="Arial" w:hAnsi="Arial"/>
          <w:i w:val="false"/>
          <w:iCs w:val="false"/>
          <w:color w:val="404040"/>
          <w:sz w:val="22"/>
          <w:szCs w:val="22"/>
        </w:rPr>
        <w:t xml:space="preserve">Every production automation must declare a specific versioned EE image from the Automation Hub registry. No automation may use the default controller EE. EE images are immutable once published.</w:t>
      </w:r>
    </w:p>
    <w:p>
      <w:pPr>
        <w:spacing w:after="60"/>
      </w:pPr>
      <w:r>
        <w:t xml:space="preserve"/>
      </w:r>
    </w:p>
    <w:p>
      <w:pPr>
        <w:pStyle w:val="Heading3"/>
        <w:spacing w:after="60" w:before="180"/>
      </w:pPr>
      <w:r>
        <w:rPr>
          <w:rFonts w:ascii="Arial" w:cs="Arial" w:eastAsia="Arial" w:hAnsi="Arial"/>
          <w:b/>
          <w:bCs/>
          <w:color w:val="2E75B6"/>
          <w:sz w:val="22"/>
          <w:szCs w:val="22"/>
        </w:rPr>
        <w:t xml:space="preserve">EE Registry and Lifecycle</w:t>
      </w:r>
    </w:p>
    <w:p>
      <w:pPr>
        <w:pStyle w:val="ListParagraph"/>
        <w:numPr>
          <w:ilvl w:val="0"/>
          <w:numId w:val="2"/>
        </w:numPr>
        <w:spacing w:after="60"/>
      </w:pPr>
      <w:r>
        <w:rPr>
          <w:rFonts w:ascii="Arial" w:cs="Arial" w:eastAsia="Arial" w:hAnsi="Arial"/>
          <w:color w:val="404040"/>
          <w:sz w:val="22"/>
          <w:szCs w:val="22"/>
        </w:rPr>
        <w:t xml:space="preserve">All EE images built by the CoE and published to hub.metlife.internal/ee/</w:t>
      </w:r>
    </w:p>
    <w:p>
      <w:pPr>
        <w:pStyle w:val="ListParagraph"/>
        <w:numPr>
          <w:ilvl w:val="0"/>
          <w:numId w:val="2"/>
        </w:numPr>
        <w:spacing w:after="60"/>
      </w:pPr>
      <w:r>
        <w:rPr>
          <w:rFonts w:ascii="Arial" w:cs="Arial" w:eastAsia="Arial" w:hAnsi="Arial"/>
          <w:color w:val="404040"/>
          <w:sz w:val="22"/>
          <w:szCs w:val="22"/>
        </w:rPr>
        <w:t xml:space="preserve">Images tagged by base OS and version: base-rhel9:2.1.0, network-ios:1.3.0, windows-winrm:1.1.0</w:t>
      </w:r>
    </w:p>
    <w:p>
      <w:pPr>
        <w:pStyle w:val="ListParagraph"/>
        <w:numPr>
          <w:ilvl w:val="0"/>
          <w:numId w:val="2"/>
        </w:numPr>
        <w:spacing w:after="60"/>
      </w:pPr>
      <w:r>
        <w:rPr>
          <w:rFonts w:ascii="Arial" w:cs="Arial" w:eastAsia="Arial" w:hAnsi="Arial"/>
          <w:color w:val="404040"/>
          <w:sz w:val="22"/>
          <w:szCs w:val="22"/>
        </w:rPr>
        <w:t xml:space="preserve">Images security-scanned before publication. CVEs above CVSS 7.0 block publication.</w:t>
      </w:r>
    </w:p>
    <w:p>
      <w:pPr>
        <w:pStyle w:val="ListParagraph"/>
        <w:numPr>
          <w:ilvl w:val="0"/>
          <w:numId w:val="2"/>
        </w:numPr>
        <w:spacing w:after="60"/>
      </w:pPr>
      <w:r>
        <w:rPr>
          <w:rFonts w:ascii="Arial" w:cs="Arial" w:eastAsia="Arial" w:hAnsi="Arial"/>
          <w:color w:val="404040"/>
          <w:sz w:val="22"/>
          <w:szCs w:val="22"/>
        </w:rPr>
        <w:t xml:space="preserve">Images are never modified once published. New version tag required for any change.</w:t>
      </w:r>
    </w:p>
    <w:p>
      <w:pPr>
        <w:pStyle w:val="ListParagraph"/>
        <w:numPr>
          <w:ilvl w:val="0"/>
          <w:numId w:val="2"/>
        </w:numPr>
        <w:spacing w:after="60"/>
      </w:pPr>
      <w:r>
        <w:rPr>
          <w:rFonts w:ascii="Arial" w:cs="Arial" w:eastAsia="Arial" w:hAnsi="Arial"/>
          <w:color w:val="404040"/>
          <w:sz w:val="22"/>
          <w:szCs w:val="22"/>
        </w:rPr>
        <w:t xml:space="preserve">When an EE image is deprecated, all automation using it must be updated within 90 days.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i/>
                <w:iCs/>
                <w:color w:val="404040"/>
                <w:sz w:val="20"/>
                <w:szCs w:val="20"/>
              </w:rPr>
              <w:t xml:space="preserve">Every automation repository must include ee-requirements.yml. Job templates must declare a specific versioned EE. The pipeline rejects job templates declaring 'Default' or an empty EE. See the reference implementations repository for ee-requirements.yml templates per domain.</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5.10 Discoverability and Composability [New Standard — v0.2]</w:t>
      </w:r>
    </w:p>
    <w:p>
      <w:pPr>
        <w:spacing w:after="120"/>
      </w:pPr>
      <w:r>
        <w:rPr>
          <w:rFonts w:ascii="Arial" w:cs="Arial" w:eastAsia="Arial" w:hAnsi="Arial"/>
          <w:i w:val="false"/>
          <w:iCs w:val="false"/>
          <w:color w:val="404040"/>
          <w:sz w:val="22"/>
          <w:szCs w:val="22"/>
        </w:rPr>
        <w:t xml:space="preserve">Owner: Automation CoE | Status: Draft | Last Reviewed: 2026-04-03</w:t>
      </w:r>
    </w:p>
    <w:p>
      <w:pPr>
        <w:spacing w:after="120"/>
      </w:pPr>
      <w:r>
        <w:rPr>
          <w:rFonts w:ascii="Arial" w:cs="Arial" w:eastAsia="Arial" w:hAnsi="Arial"/>
          <w:i/>
          <w:iCs/>
          <w:color w:val="404040"/>
          <w:sz w:val="22"/>
          <w:szCs w:val="22"/>
        </w:rPr>
        <w:t xml:space="preserve">Applies To: All automation assets registered in the central automation catalog</w:t>
      </w:r>
    </w:p>
    <w:p>
      <w:pPr>
        <w:spacing w:after="120"/>
      </w:pPr>
      <w:r>
        <w:rPr>
          <w:rFonts w:ascii="Arial" w:cs="Arial" w:eastAsia="Arial" w:hAnsi="Arial"/>
          <w:i w:val="false"/>
          <w:iCs w:val="false"/>
          <w:color w:val="404040"/>
          <w:sz w:val="22"/>
          <w:szCs w:val="22"/>
        </w:rPr>
        <w:t xml:space="preserve">Gaps addressed: 3.1 (siloed solutions), 3.2 (lack of reusability), 3.3 (lifecycle tracking), +C (cross-team dependencies)</w:t>
      </w:r>
    </w:p>
    <w:p>
      <w:pPr>
        <w:spacing w:after="60"/>
      </w:pPr>
      <w:r>
        <w:t xml:space="preserve"/>
      </w:r>
    </w:p>
    <w:p>
      <w:pPr>
        <w:pStyle w:val="Heading3"/>
        <w:spacing w:after="60" w:before="180"/>
      </w:pPr>
      <w:r>
        <w:rPr>
          <w:rFonts w:ascii="Arial" w:cs="Arial" w:eastAsia="Arial" w:hAnsi="Arial"/>
          <w:b/>
          <w:bCs/>
          <w:color w:val="2E75B6"/>
          <w:sz w:val="22"/>
          <w:szCs w:val="22"/>
        </w:rPr>
        <w:t xml:space="preserve">Purpose</w:t>
      </w:r>
    </w:p>
    <w:p>
      <w:pPr>
        <w:spacing w:after="120"/>
      </w:pPr>
      <w:r>
        <w:rPr>
          <w:rFonts w:ascii="Arial" w:cs="Arial" w:eastAsia="Arial" w:hAnsi="Arial"/>
          <w:i w:val="false"/>
          <w:iCs w:val="false"/>
          <w:color w:val="404040"/>
          <w:sz w:val="22"/>
          <w:szCs w:val="22"/>
        </w:rPr>
        <w:t xml:space="preserve">Automation that cannot be found cannot be reused. At scale across 15 infrastructure domains, hidden automation assets produce the same work being done multiple times with inconsistent quality. This standard ensures every asset is discoverable, designed to be composed, and maintained with enough metadata that downstream consumers are known before any change.</w:t>
      </w:r>
    </w:p>
    <w:p>
      <w:pPr>
        <w:spacing w:after="60"/>
      </w:pPr>
      <w:r>
        <w:t xml:space="preserve"/>
      </w:r>
    </w:p>
    <w:p>
      <w:pPr>
        <w:pStyle w:val="Heading3"/>
        <w:spacing w:after="60" w:before="180"/>
      </w:pPr>
      <w:r>
        <w:rPr>
          <w:rFonts w:ascii="Arial" w:cs="Arial" w:eastAsia="Arial" w:hAnsi="Arial"/>
          <w:b/>
          <w:bCs/>
          <w:color w:val="2E75B6"/>
          <w:sz w:val="22"/>
          <w:szCs w:val="22"/>
        </w:rPr>
        <w:t xml:space="preserve">1. Catalog Registration</w:t>
      </w:r>
    </w:p>
    <w:p>
      <w:pPr>
        <w:spacing w:after="120"/>
      </w:pPr>
      <w:r>
        <w:rPr>
          <w:rFonts w:ascii="Arial" w:cs="Arial" w:eastAsia="Arial" w:hAnsi="Arial"/>
          <w:i w:val="false"/>
          <w:iCs w:val="false"/>
          <w:color w:val="404040"/>
          <w:sz w:val="22"/>
          <w:szCs w:val="22"/>
        </w:rPr>
        <w:t xml:space="preserve">Every automation asset must be registered in the central automation catalog before production deployment. The catalog is the single source of truth for discovery, governance, lifecycle management, and ROI reporting.</w:t>
      </w:r>
    </w:p>
    <w:p>
      <w:pPr>
        <w:spacing w:after="120"/>
      </w:pPr>
      <w:r>
        <w:rPr>
          <w:rFonts w:ascii="Arial" w:cs="Arial" w:eastAsia="Arial" w:hAnsi="Arial"/>
          <w:i w:val="false"/>
          <w:iCs w:val="false"/>
          <w:color w:val="404040"/>
          <w:sz w:val="22"/>
          <w:szCs w:val="22"/>
        </w:rPr>
        <w:t xml:space="preserve">Mandatory catalog entry fields (in addition to operator header fields): asset_name, domain, automation_type, risk_classification, sla_binding, compliance_status, lifecycle_state, owner_team, repository, catalog_version, inputs (with types and descriptions), outputs, depends_on, consumed_by, estimated_hours_saved_per_run, replaces_manual_procedure.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i/>
                <w:iCs/>
                <w:color w:val="404040"/>
                <w:sz w:val="20"/>
                <w:szCs w:val="20"/>
              </w:rPr>
              <w:t xml:space="preserve">catalog-entry.yml is required in every automation repository root. The CI pipeline validates this file and creates/updates the catalog entry on every successful production promotion. Promotion fails if catalog-entry.yml is absent or invalid.</w:t>
            </w:r>
          </w:p>
        </w:tc>
      </w:tr>
    </w:tbl>
    <w:p>
      <w:pPr>
        <w:spacing w:after="60"/>
      </w:pPr>
      <w:r>
        <w:t xml:space="preserve"/>
      </w:r>
    </w:p>
    <w:p>
      <w:pPr>
        <w:pStyle w:val="Heading3"/>
        <w:spacing w:after="60" w:before="180"/>
      </w:pPr>
      <w:r>
        <w:rPr>
          <w:rFonts w:ascii="Arial" w:cs="Arial" w:eastAsia="Arial" w:hAnsi="Arial"/>
          <w:b/>
          <w:bCs/>
          <w:color w:val="2E75B6"/>
          <w:sz w:val="22"/>
          <w:szCs w:val="22"/>
        </w:rPr>
        <w:t xml:space="preserve">2. Composability Requirements</w:t>
      </w:r>
    </w:p>
    <w:p>
      <w:pPr>
        <w:pStyle w:val="ListParagraph"/>
        <w:numPr>
          <w:ilvl w:val="0"/>
          <w:numId w:val="2"/>
        </w:numPr>
        <w:spacing w:after="60"/>
      </w:pPr>
      <w:r>
        <w:rPr>
          <w:rFonts w:ascii="Arial" w:cs="Arial" w:eastAsia="Arial" w:hAnsi="Arial"/>
          <w:color w:val="404040"/>
          <w:sz w:val="22"/>
          <w:szCs w:val="22"/>
        </w:rPr>
        <w:t xml:space="preserve">Every automation must accept scope via a target_hosts variable (or domain equivalent) — never hard-coded targets</w:t>
      </w:r>
    </w:p>
    <w:p>
      <w:pPr>
        <w:pStyle w:val="ListParagraph"/>
        <w:numPr>
          <w:ilvl w:val="0"/>
          <w:numId w:val="2"/>
        </w:numPr>
        <w:spacing w:after="60"/>
      </w:pPr>
      <w:r>
        <w:rPr>
          <w:rFonts w:ascii="Arial" w:cs="Arial" w:eastAsia="Arial" w:hAnsi="Arial"/>
          <w:color w:val="404040"/>
          <w:sz w:val="22"/>
          <w:szCs w:val="22"/>
        </w:rPr>
        <w:t xml:space="preserve">Every automation must accept a change_ticket variable for production-targeting execution</w:t>
      </w:r>
    </w:p>
    <w:p>
      <w:pPr>
        <w:pStyle w:val="ListParagraph"/>
        <w:numPr>
          <w:ilvl w:val="0"/>
          <w:numId w:val="2"/>
        </w:numPr>
        <w:spacing w:after="60"/>
      </w:pPr>
      <w:r>
        <w:rPr>
          <w:rFonts w:ascii="Arial" w:cs="Arial" w:eastAsia="Arial" w:hAnsi="Arial"/>
          <w:color w:val="404040"/>
          <w:sz w:val="22"/>
          <w:szCs w:val="22"/>
        </w:rPr>
        <w:t xml:space="preserve">Every automation must produce structured output matching the declared outputs interface</w:t>
      </w:r>
    </w:p>
    <w:p>
      <w:pPr>
        <w:pStyle w:val="ListParagraph"/>
        <w:numPr>
          <w:ilvl w:val="0"/>
          <w:numId w:val="2"/>
        </w:numPr>
        <w:spacing w:after="60"/>
      </w:pPr>
      <w:r>
        <w:rPr>
          <w:rFonts w:ascii="Arial" w:cs="Arial" w:eastAsia="Arial" w:hAnsi="Arial"/>
          <w:color w:val="404040"/>
          <w:sz w:val="22"/>
          <w:szCs w:val="22"/>
        </w:rPr>
        <w:t xml:space="preserve">Every automation must be callable as a role or as a standalone playbook — dual-mode design</w:t>
      </w:r>
    </w:p>
    <w:p>
      <w:pPr>
        <w:spacing w:after="60"/>
      </w:pPr>
      <w:r>
        <w:t xml:space="preserve"/>
      </w:r>
    </w:p>
    <w:p>
      <w:pPr>
        <w:pStyle w:val="Heading3"/>
        <w:spacing w:after="60" w:before="180"/>
      </w:pPr>
      <w:r>
        <w:rPr>
          <w:rFonts w:ascii="Arial" w:cs="Arial" w:eastAsia="Arial" w:hAnsi="Arial"/>
          <w:b/>
          <w:bCs/>
          <w:color w:val="2E75B6"/>
          <w:sz w:val="22"/>
          <w:szCs w:val="22"/>
        </w:rPr>
        <w:t xml:space="preserve">3. Shared Collections Standard</w:t>
      </w:r>
    </w:p>
    <w:p>
      <w:pPr>
        <w:spacing w:after="120"/>
      </w:pPr>
      <w:r>
        <w:rPr>
          <w:rFonts w:ascii="Arial" w:cs="Arial" w:eastAsia="Arial" w:hAnsi="Arial"/>
          <w:i w:val="false"/>
          <w:iCs w:val="false"/>
          <w:color w:val="404040"/>
          <w:sz w:val="22"/>
          <w:szCs w:val="22"/>
        </w:rPr>
        <w:t xml:space="preserve">Common functions used across two or more domains must be packaged as Ansible collections and published to the private Automation Hub. The platform/ namespace is maintained by the CoE and covers: itsm (ServiceNow integration adapter), observability (structured logging roles), secrets (CyberArk / Key Vault retrieval roles), and backout (standard backout pattern roles).</w:t>
      </w:r>
    </w:p>
    <w:p>
      <w:pPr>
        <w:spacing w:after="60"/>
      </w:pPr>
      <w:r>
        <w:t xml:space="preserve"/>
      </w:r>
    </w:p>
    <w:p>
      <w:pPr>
        <w:pStyle w:val="Heading3"/>
        <w:spacing w:after="60" w:before="180"/>
      </w:pPr>
      <w:r>
        <w:rPr>
          <w:rFonts w:ascii="Arial" w:cs="Arial" w:eastAsia="Arial" w:hAnsi="Arial"/>
          <w:b/>
          <w:bCs/>
          <w:color w:val="2E75B6"/>
          <w:sz w:val="22"/>
          <w:szCs w:val="22"/>
        </w:rPr>
        <w:t xml:space="preserve">4. Dependency Tracking</w:t>
      </w:r>
    </w:p>
    <w:p>
      <w:pPr>
        <w:pStyle w:val="ListParagraph"/>
        <w:numPr>
          <w:ilvl w:val="0"/>
          <w:numId w:val="2"/>
        </w:numPr>
        <w:spacing w:after="60"/>
      </w:pPr>
      <w:r>
        <w:rPr>
          <w:rFonts w:ascii="Arial" w:cs="Arial" w:eastAsia="Arial" w:hAnsi="Arial"/>
          <w:color w:val="404040"/>
          <w:sz w:val="22"/>
          <w:szCs w:val="22"/>
        </w:rPr>
        <w:t xml:space="preserve">The consumed_by field in catalog-entry.yml is updated by the CI pipeline when a downstream asset registers a dependency</w:t>
      </w:r>
    </w:p>
    <w:p>
      <w:pPr>
        <w:pStyle w:val="ListParagraph"/>
        <w:numPr>
          <w:ilvl w:val="0"/>
          <w:numId w:val="2"/>
        </w:numPr>
        <w:spacing w:after="60"/>
      </w:pPr>
      <w:r>
        <w:rPr>
          <w:rFonts w:ascii="Arial" w:cs="Arial" w:eastAsia="Arial" w:hAnsi="Arial"/>
          <w:color w:val="404040"/>
          <w:sz w:val="22"/>
          <w:szCs w:val="22"/>
        </w:rPr>
        <w:t xml:space="preserve">Before any breaking change is promoted, the pipeline checks consumed_by and fails if any consumer is not on the approved migration list</w:t>
      </w:r>
    </w:p>
    <w:p>
      <w:pPr>
        <w:pStyle w:val="ListParagraph"/>
        <w:numPr>
          <w:ilvl w:val="0"/>
          <w:numId w:val="2"/>
        </w:numPr>
        <w:spacing w:after="60"/>
      </w:pPr>
      <w:r>
        <w:rPr>
          <w:rFonts w:ascii="Arial" w:cs="Arial" w:eastAsia="Arial" w:hAnsi="Arial"/>
          <w:color w:val="404040"/>
          <w:sz w:val="22"/>
          <w:szCs w:val="22"/>
        </w:rPr>
        <w:t xml:space="preserve">Deprecation of an asset with active consumers requires a migration plan and a 90-day notice window</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6. Security &amp; Compliance</w:t>
      </w:r>
    </w:p>
    <w:p>
      <w:pPr>
        <w:pStyle w:val="Heading2"/>
        <w:pBdr>
          <w:bottom w:val="single" w:color="2E75B6" w:sz="4"/>
        </w:pBdr>
        <w:spacing w:after="80" w:before="240"/>
      </w:pPr>
      <w:r>
        <w:rPr>
          <w:rFonts w:ascii="Arial" w:cs="Arial" w:eastAsia="Arial" w:hAnsi="Arial"/>
          <w:b/>
          <w:bCs/>
          <w:color w:val="1F4E79"/>
          <w:sz w:val="26"/>
          <w:szCs w:val="26"/>
        </w:rPr>
        <w:t xml:space="preserve">6.1 Authentication &amp; Authorization</w:t>
      </w:r>
    </w:p>
    <w:p>
      <w:pPr>
        <w:pStyle w:val="ListParagraph"/>
        <w:numPr>
          <w:ilvl w:val="0"/>
          <w:numId w:val="2"/>
        </w:numPr>
        <w:spacing w:after="60"/>
      </w:pPr>
      <w:r>
        <w:rPr>
          <w:rFonts w:ascii="Arial" w:cs="Arial" w:eastAsia="Arial" w:hAnsi="Arial"/>
          <w:color w:val="404040"/>
          <w:sz w:val="22"/>
          <w:szCs w:val="22"/>
        </w:rPr>
        <w:t xml:space="preserve">All access to aap.metlife.com gated by Active Directory group membership</w:t>
      </w:r>
    </w:p>
    <w:p>
      <w:pPr>
        <w:pStyle w:val="ListParagraph"/>
        <w:numPr>
          <w:ilvl w:val="0"/>
          <w:numId w:val="2"/>
        </w:numPr>
        <w:spacing w:after="60"/>
      </w:pPr>
      <w:r>
        <w:rPr>
          <w:rFonts w:ascii="Arial" w:cs="Arial" w:eastAsia="Arial" w:hAnsi="Arial"/>
          <w:color w:val="404040"/>
          <w:sz w:val="22"/>
          <w:szCs w:val="22"/>
        </w:rPr>
        <w:t xml:space="preserve">Organization assignment determined by group membership at login</w:t>
      </w:r>
    </w:p>
    <w:p>
      <w:pPr>
        <w:pStyle w:val="ListParagraph"/>
        <w:numPr>
          <w:ilvl w:val="0"/>
          <w:numId w:val="2"/>
        </w:numPr>
        <w:spacing w:after="60"/>
      </w:pPr>
      <w:r>
        <w:rPr>
          <w:rFonts w:ascii="Arial" w:cs="Arial" w:eastAsia="Arial" w:hAnsi="Arial"/>
          <w:color w:val="404040"/>
          <w:sz w:val="22"/>
          <w:szCs w:val="22"/>
        </w:rPr>
        <w:t xml:space="preserve">PAM controls for admin roles: [specify CyberArk integration]</w:t>
      </w:r>
    </w:p>
    <w:p>
      <w:pPr>
        <w:pStyle w:val="ListParagraph"/>
        <w:numPr>
          <w:ilvl w:val="0"/>
          <w:numId w:val="2"/>
        </w:numPr>
        <w:spacing w:after="60"/>
      </w:pPr>
      <w:r>
        <w:rPr>
          <w:rFonts w:ascii="Arial" w:cs="Arial" w:eastAsia="Arial" w:hAnsi="Arial"/>
          <w:color w:val="404040"/>
          <w:sz w:val="22"/>
          <w:szCs w:val="22"/>
        </w:rPr>
        <w:t xml:space="preserve">MFA: [specify — required for all production access]</w:t>
      </w:r>
    </w:p>
    <w:p>
      <w:pPr>
        <w:pStyle w:val="ListParagraph"/>
        <w:numPr>
          <w:ilvl w:val="0"/>
          <w:numId w:val="2"/>
        </w:numPr>
        <w:spacing w:after="60"/>
      </w:pPr>
      <w:r>
        <w:rPr>
          <w:rFonts w:ascii="Arial" w:cs="Arial" w:eastAsia="Arial" w:hAnsi="Arial"/>
          <w:color w:val="404040"/>
          <w:sz w:val="22"/>
          <w:szCs w:val="22"/>
        </w:rPr>
        <w:t xml:space="preserve">Access review cadence: [specify — quarterly / semi-annual]</w:t>
      </w:r>
    </w:p>
    <w:p>
      <w:pPr>
        <w:pStyle w:val="ListParagraph"/>
        <w:numPr>
          <w:ilvl w:val="0"/>
          <w:numId w:val="2"/>
        </w:numPr>
        <w:spacing w:after="60"/>
      </w:pPr>
      <w:r>
        <w:rPr>
          <w:rFonts w:ascii="Arial" w:cs="Arial" w:eastAsia="Arial" w:hAnsi="Arial"/>
          <w:color w:val="404040"/>
          <w:sz w:val="22"/>
          <w:szCs w:val="22"/>
        </w:rPr>
        <w:t xml:space="preserve">Service accounts: scoped per domain, separate prod/non-prod, managed by platform team</w:t>
      </w:r>
    </w:p>
    <w:p>
      <w:pPr>
        <w:pStyle w:val="ListParagraph"/>
        <w:numPr>
          <w:ilvl w:val="0"/>
          <w:numId w:val="2"/>
        </w:numPr>
        <w:spacing w:after="60"/>
      </w:pPr>
      <w:r>
        <w:rPr>
          <w:rFonts w:ascii="Arial" w:cs="Arial" w:eastAsia="Arial" w:hAnsi="Arial"/>
          <w:color w:val="404040"/>
          <w:sz w:val="22"/>
          <w:szCs w:val="22"/>
        </w:rPr>
        <w:t xml:space="preserve">Integration gateway access [New v0.2]: all inbound API calls must use service account credentials from CyberArk. No shared or embedded credentials.</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6.2 Data Protection &amp; Privacy</w:t>
      </w:r>
    </w:p>
    <w:p>
      <w:pPr>
        <w:pStyle w:val="ListParagraph"/>
        <w:numPr>
          <w:ilvl w:val="0"/>
          <w:numId w:val="2"/>
        </w:numPr>
        <w:spacing w:after="60"/>
      </w:pPr>
      <w:r>
        <w:rPr>
          <w:rFonts w:ascii="Arial" w:cs="Arial" w:eastAsia="Arial" w:hAnsi="Arial"/>
          <w:color w:val="404040"/>
          <w:sz w:val="22"/>
          <w:szCs w:val="22"/>
        </w:rPr>
        <w:t xml:space="preserve">Automation code, credentials, and inventory data classified as Internal</w:t>
      </w:r>
    </w:p>
    <w:p>
      <w:pPr>
        <w:pStyle w:val="ListParagraph"/>
        <w:numPr>
          <w:ilvl w:val="0"/>
          <w:numId w:val="2"/>
        </w:numPr>
        <w:spacing w:after="60"/>
      </w:pPr>
      <w:r>
        <w:rPr>
          <w:rFonts w:ascii="Arial" w:cs="Arial" w:eastAsia="Arial" w:hAnsi="Arial"/>
          <w:color w:val="404040"/>
          <w:sz w:val="22"/>
          <w:szCs w:val="22"/>
        </w:rPr>
        <w:t xml:space="preserve">Credentials at rest: CyberArk / Azure Key Vault. Not in version control or YAML files.</w:t>
      </w:r>
    </w:p>
    <w:p>
      <w:pPr>
        <w:pStyle w:val="ListParagraph"/>
        <w:numPr>
          <w:ilvl w:val="0"/>
          <w:numId w:val="2"/>
        </w:numPr>
        <w:spacing w:after="60"/>
      </w:pPr>
      <w:r>
        <w:rPr>
          <w:rFonts w:ascii="Arial" w:cs="Arial" w:eastAsia="Arial" w:hAnsi="Arial"/>
          <w:color w:val="404040"/>
          <w:sz w:val="22"/>
          <w:szCs w:val="22"/>
        </w:rPr>
        <w:t xml:space="preserve">Credentials in transit: TLS [specify version] on all platform communication</w:t>
      </w:r>
    </w:p>
    <w:p>
      <w:pPr>
        <w:pStyle w:val="ListParagraph"/>
        <w:numPr>
          <w:ilvl w:val="0"/>
          <w:numId w:val="2"/>
        </w:numPr>
        <w:spacing w:after="60"/>
      </w:pPr>
      <w:r>
        <w:rPr>
          <w:rFonts w:ascii="Arial" w:cs="Arial" w:eastAsia="Arial" w:hAnsi="Arial"/>
          <w:color w:val="404040"/>
          <w:sz w:val="22"/>
          <w:szCs w:val="22"/>
        </w:rPr>
        <w:t xml:space="preserve">Execution logs must not contain PII, financial, or health data content</w:t>
      </w:r>
    </w:p>
    <w:p>
      <w:pPr>
        <w:pStyle w:val="ListParagraph"/>
        <w:numPr>
          <w:ilvl w:val="0"/>
          <w:numId w:val="2"/>
        </w:numPr>
        <w:spacing w:after="60"/>
      </w:pPr>
      <w:r>
        <w:rPr>
          <w:rFonts w:ascii="Arial" w:cs="Arial" w:eastAsia="Arial" w:hAnsi="Arial"/>
          <w:color w:val="404040"/>
          <w:sz w:val="22"/>
          <w:szCs w:val="22"/>
        </w:rPr>
        <w:t xml:space="preserve">EE image data handling [New v0.2]: images must not contain embedded credentials, customer data, or PII. Images scanned for hardcoded secrets before Hub publication.</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6.3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Framework / Policy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Application to Automation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[SOX / PCI-DSS / NIST / Internal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Change control, access management, audit trail requirements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Secret management policy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 credentials in CyberArk or Azure Key Vault. Secret scanning in CI pipeline.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Separation of duties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High-risk automation requires second approver. Self-service requires approval node.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 trail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AAP records job ID, initiator, timestamp, exit status for every execution. SIEM integration.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Vulnerability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EE images scanned before publication. Platform patched per schedule.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Integration security [New v0.2]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 integration gateway requests authenticated. Event payload schema validated.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Catalog compliance [New v0.2]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Every production asset must have a compliant catalog entry. Compliance rate reported monthly.</w:t>
            </w:r>
          </w:p>
        </w:tc>
      </w:tr>
    </w:tbl>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7. Non-Functional Requirements</w:t>
      </w:r>
    </w:p>
    <w:p>
      <w:pPr>
        <w:pStyle w:val="Heading2"/>
        <w:pBdr>
          <w:bottom w:val="single" w:color="2E75B6" w:sz="4"/>
        </w:pBdr>
        <w:spacing w:after="80" w:before="240"/>
      </w:pPr>
      <w:r>
        <w:rPr>
          <w:rFonts w:ascii="Arial" w:cs="Arial" w:eastAsia="Arial" w:hAnsi="Arial"/>
          <w:b/>
          <w:bCs/>
          <w:color w:val="1F4E79"/>
          <w:sz w:val="26"/>
          <w:szCs w:val="26"/>
        </w:rPr>
        <w:t xml:space="preserve">7.1 Scalability</w:t>
      </w:r>
    </w:p>
    <w:p>
      <w:pPr>
        <w:pStyle w:val="ListParagraph"/>
        <w:numPr>
          <w:ilvl w:val="0"/>
          <w:numId w:val="2"/>
        </w:numPr>
        <w:spacing w:after="60"/>
      </w:pPr>
      <w:r>
        <w:rPr>
          <w:rFonts w:ascii="Arial" w:cs="Arial" w:eastAsia="Arial" w:hAnsi="Arial"/>
          <w:color w:val="404040"/>
          <w:sz w:val="22"/>
          <w:szCs w:val="22"/>
        </w:rPr>
        <w:t xml:space="preserve">Execution nodes provisioned per organization — independent horizontal scaling</w:t>
      </w:r>
    </w:p>
    <w:p>
      <w:pPr>
        <w:pStyle w:val="ListParagraph"/>
        <w:numPr>
          <w:ilvl w:val="0"/>
          <w:numId w:val="2"/>
        </w:numPr>
        <w:spacing w:after="60"/>
      </w:pPr>
      <w:r>
        <w:rPr>
          <w:rFonts w:ascii="Arial" w:cs="Arial" w:eastAsia="Arial" w:hAnsi="Arial"/>
          <w:color w:val="404040"/>
          <w:sz w:val="22"/>
          <w:szCs w:val="22"/>
        </w:rPr>
        <w:t xml:space="preserve">Scaling trigger: [specify — queue depth &gt; X, wait time &gt; Y seconds]</w:t>
      </w:r>
    </w:p>
    <w:p>
      <w:pPr>
        <w:pStyle w:val="ListParagraph"/>
        <w:numPr>
          <w:ilvl w:val="0"/>
          <w:numId w:val="2"/>
        </w:numPr>
        <w:spacing w:after="60"/>
      </w:pPr>
      <w:r>
        <w:rPr>
          <w:rFonts w:ascii="Arial" w:cs="Arial" w:eastAsia="Arial" w:hAnsi="Arial"/>
          <w:color w:val="404040"/>
          <w:sz w:val="22"/>
          <w:szCs w:val="22"/>
        </w:rPr>
        <w:t xml:space="preserve">Maximum concurrent jobs per org: [specify]. Platform-wide: [specify]</w:t>
      </w:r>
    </w:p>
    <w:p>
      <w:pPr>
        <w:pStyle w:val="ListParagraph"/>
        <w:numPr>
          <w:ilvl w:val="0"/>
          <w:numId w:val="2"/>
        </w:numPr>
        <w:spacing w:after="60"/>
      </w:pPr>
      <w:r>
        <w:rPr>
          <w:rFonts w:ascii="Arial" w:cs="Arial" w:eastAsia="Arial" w:hAnsi="Arial"/>
          <w:color w:val="404040"/>
          <w:sz w:val="22"/>
          <w:szCs w:val="22"/>
        </w:rPr>
        <w:t xml:space="preserve">Catalog scalability [New v0.2]: must support [specify] catalog entries across [specify] domains without degrading query performance</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7.2 Availability</w:t>
      </w:r>
    </w:p>
    <w:p>
      <w:pPr>
        <w:pStyle w:val="ListParagraph"/>
        <w:numPr>
          <w:ilvl w:val="0"/>
          <w:numId w:val="2"/>
        </w:numPr>
        <w:spacing w:after="60"/>
      </w:pPr>
      <w:r>
        <w:rPr>
          <w:rFonts w:ascii="Arial" w:cs="Arial" w:eastAsia="Arial" w:hAnsi="Arial"/>
          <w:color w:val="404040"/>
          <w:sz w:val="22"/>
          <w:szCs w:val="22"/>
        </w:rPr>
        <w:t xml:space="preserve">Control plane: 3 load-balanced control nodes</w:t>
      </w:r>
    </w:p>
    <w:p>
      <w:pPr>
        <w:pStyle w:val="ListParagraph"/>
        <w:numPr>
          <w:ilvl w:val="0"/>
          <w:numId w:val="2"/>
        </w:numPr>
        <w:spacing w:after="60"/>
      </w:pPr>
      <w:r>
        <w:rPr>
          <w:rFonts w:ascii="Arial" w:cs="Arial" w:eastAsia="Arial" w:hAnsi="Arial"/>
          <w:color w:val="404040"/>
          <w:sz w:val="22"/>
          <w:szCs w:val="22"/>
        </w:rPr>
        <w:t xml:space="preserve">Target availability SLA: [specify — e.g., 99.9%]</w:t>
      </w:r>
    </w:p>
    <w:p>
      <w:pPr>
        <w:pStyle w:val="ListParagraph"/>
        <w:numPr>
          <w:ilvl w:val="0"/>
          <w:numId w:val="2"/>
        </w:numPr>
        <w:spacing w:after="60"/>
      </w:pPr>
      <w:r>
        <w:rPr>
          <w:rFonts w:ascii="Arial" w:cs="Arial" w:eastAsia="Arial" w:hAnsi="Arial"/>
          <w:color w:val="404040"/>
          <w:sz w:val="22"/>
          <w:szCs w:val="22"/>
        </w:rPr>
        <w:t xml:space="preserve">Maintenance window allowance: [specify]</w:t>
      </w:r>
    </w:p>
    <w:p>
      <w:pPr>
        <w:pStyle w:val="ListParagraph"/>
        <w:numPr>
          <w:ilvl w:val="0"/>
          <w:numId w:val="2"/>
        </w:numPr>
        <w:spacing w:after="60"/>
      </w:pPr>
      <w:r>
        <w:rPr>
          <w:rFonts w:ascii="Arial" w:cs="Arial" w:eastAsia="Arial" w:hAnsi="Arial"/>
          <w:color w:val="404040"/>
          <w:sz w:val="22"/>
          <w:szCs w:val="22"/>
        </w:rPr>
        <w:t xml:space="preserve">Automation Hub availability [New v0.2]: [specify — HA configuration for EE image registry]</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7.3 Performance</w:t>
      </w:r>
    </w:p>
    <w:p>
      <w:pPr>
        <w:pStyle w:val="ListParagraph"/>
        <w:numPr>
          <w:ilvl w:val="0"/>
          <w:numId w:val="2"/>
        </w:numPr>
        <w:spacing w:after="60"/>
      </w:pPr>
      <w:r>
        <w:rPr>
          <w:rFonts w:ascii="Arial" w:cs="Arial" w:eastAsia="Arial" w:hAnsi="Arial"/>
          <w:color w:val="404040"/>
          <w:sz w:val="22"/>
          <w:szCs w:val="22"/>
        </w:rPr>
        <w:t xml:space="preserve">Maximum job scheduling latency from submission to execution start: [specify]</w:t>
      </w:r>
    </w:p>
    <w:p>
      <w:pPr>
        <w:pStyle w:val="ListParagraph"/>
        <w:numPr>
          <w:ilvl w:val="0"/>
          <w:numId w:val="2"/>
        </w:numPr>
        <w:spacing w:after="60"/>
      </w:pPr>
      <w:r>
        <w:rPr>
          <w:rFonts w:ascii="Arial" w:cs="Arial" w:eastAsia="Arial" w:hAnsi="Arial"/>
          <w:color w:val="404040"/>
          <w:sz w:val="22"/>
          <w:szCs w:val="22"/>
        </w:rPr>
        <w:t xml:space="preserve">Dashboard response time SLA: [specify]</w:t>
      </w:r>
    </w:p>
    <w:p>
      <w:pPr>
        <w:pStyle w:val="ListParagraph"/>
        <w:numPr>
          <w:ilvl w:val="0"/>
          <w:numId w:val="2"/>
        </w:numPr>
        <w:spacing w:after="60"/>
      </w:pPr>
      <w:r>
        <w:rPr>
          <w:rFonts w:ascii="Arial" w:cs="Arial" w:eastAsia="Arial" w:hAnsi="Arial"/>
          <w:color w:val="404040"/>
          <w:sz w:val="22"/>
          <w:szCs w:val="22"/>
        </w:rPr>
        <w:t xml:space="preserve">Inventory sync frequency: [specify]</w:t>
      </w:r>
    </w:p>
    <w:p>
      <w:pPr>
        <w:pStyle w:val="ListParagraph"/>
        <w:numPr>
          <w:ilvl w:val="0"/>
          <w:numId w:val="2"/>
        </w:numPr>
        <w:spacing w:after="60"/>
      </w:pPr>
      <w:r>
        <w:rPr>
          <w:rFonts w:ascii="Arial" w:cs="Arial" w:eastAsia="Arial" w:hAnsi="Arial"/>
          <w:color w:val="404040"/>
          <w:sz w:val="22"/>
          <w:szCs w:val="22"/>
        </w:rPr>
        <w:t xml:space="preserve">EDA event-to-job latency [New v0.2]: maximum time from event receipt to AAP job start: [specify — e.g., &lt; 60 seconds]</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7.4 Reliability</w:t>
      </w:r>
    </w:p>
    <w:p>
      <w:pPr>
        <w:pStyle w:val="ListParagraph"/>
        <w:numPr>
          <w:ilvl w:val="0"/>
          <w:numId w:val="2"/>
        </w:numPr>
        <w:spacing w:after="60"/>
      </w:pPr>
      <w:r>
        <w:rPr>
          <w:rFonts w:ascii="Arial" w:cs="Arial" w:eastAsia="Arial" w:hAnsi="Arial"/>
          <w:color w:val="404040"/>
          <w:sz w:val="22"/>
          <w:szCs w:val="22"/>
        </w:rPr>
        <w:t xml:space="preserve">All production automation must be idempotent and safe to re-run (Section 5.4)</w:t>
      </w:r>
    </w:p>
    <w:p>
      <w:pPr>
        <w:pStyle w:val="ListParagraph"/>
        <w:numPr>
          <w:ilvl w:val="0"/>
          <w:numId w:val="2"/>
        </w:numPr>
        <w:spacing w:after="60"/>
      </w:pPr>
      <w:r>
        <w:rPr>
          <w:rFonts w:ascii="Arial" w:cs="Arial" w:eastAsia="Arial" w:hAnsi="Arial"/>
          <w:color w:val="404040"/>
          <w:sz w:val="22"/>
          <w:szCs w:val="22"/>
        </w:rPr>
        <w:t xml:space="preserve">All production automation must implement automatic backout (Section 5.5)</w:t>
      </w:r>
    </w:p>
    <w:p>
      <w:pPr>
        <w:pStyle w:val="ListParagraph"/>
        <w:numPr>
          <w:ilvl w:val="0"/>
          <w:numId w:val="2"/>
        </w:numPr>
        <w:spacing w:after="60"/>
      </w:pPr>
      <w:r>
        <w:rPr>
          <w:rFonts w:ascii="Arial" w:cs="Arial" w:eastAsia="Arial" w:hAnsi="Arial"/>
          <w:color w:val="404040"/>
          <w:sz w:val="22"/>
          <w:szCs w:val="22"/>
        </w:rPr>
        <w:t xml:space="preserve">Job retry behavior: bounded retries with backoff — not open-ended</w:t>
      </w:r>
    </w:p>
    <w:p>
      <w:pPr>
        <w:pStyle w:val="ListParagraph"/>
        <w:numPr>
          <w:ilvl w:val="0"/>
          <w:numId w:val="2"/>
        </w:numPr>
        <w:spacing w:after="60"/>
      </w:pPr>
      <w:r>
        <w:rPr>
          <w:rFonts w:ascii="Arial" w:cs="Arial" w:eastAsia="Arial" w:hAnsi="Arial"/>
          <w:color w:val="404040"/>
          <w:sz w:val="22"/>
          <w:szCs w:val="22"/>
        </w:rPr>
        <w:t xml:space="preserve">RTO for AAP platform recovery: [specify]. RPO for configuration and job history: [specify]</w:t>
      </w:r>
    </w:p>
    <w:p>
      <w:pPr>
        <w:pStyle w:val="ListParagraph"/>
        <w:numPr>
          <w:ilvl w:val="0"/>
          <w:numId w:val="2"/>
        </w:numPr>
        <w:spacing w:after="60"/>
      </w:pPr>
      <w:r>
        <w:rPr>
          <w:rFonts w:ascii="Arial" w:cs="Arial" w:eastAsia="Arial" w:hAnsi="Arial"/>
          <w:color w:val="404040"/>
          <w:sz w:val="22"/>
          <w:szCs w:val="22"/>
        </w:rPr>
        <w:t xml:space="preserve">EE image reliability [New v0.2]: EE images are immutable. Pull failures produce classified connectivity failure — not silent degradation.</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8. Operational Considerations</w:t>
      </w:r>
    </w:p>
    <w:p>
      <w:pPr>
        <w:pStyle w:val="Heading2"/>
        <w:pBdr>
          <w:bottom w:val="single" w:color="2E75B6" w:sz="4"/>
        </w:pBdr>
        <w:spacing w:after="80" w:before="240"/>
      </w:pPr>
      <w:r>
        <w:rPr>
          <w:rFonts w:ascii="Arial" w:cs="Arial" w:eastAsia="Arial" w:hAnsi="Arial"/>
          <w:b/>
          <w:bCs/>
          <w:color w:val="1F4E79"/>
          <w:sz w:val="26"/>
          <w:szCs w:val="26"/>
        </w:rPr>
        <w:t xml:space="preserve">8.1 Monitoring &amp; Logging</w:t>
      </w:r>
    </w:p>
    <w:p>
      <w:pPr>
        <w:pStyle w:val="ListParagraph"/>
        <w:numPr>
          <w:ilvl w:val="0"/>
          <w:numId w:val="2"/>
        </w:numPr>
        <w:spacing w:after="60"/>
      </w:pPr>
      <w:r>
        <w:rPr>
          <w:rFonts w:ascii="Arial" w:cs="Arial" w:eastAsia="Arial" w:hAnsi="Arial"/>
          <w:color w:val="404040"/>
          <w:sz w:val="22"/>
          <w:szCs w:val="22"/>
        </w:rPr>
        <w:t xml:space="preserve">Monitoring tooling: [specify — Splunk, Dynatrace, Prometheus/Grafana]</w:t>
      </w:r>
    </w:p>
    <w:p>
      <w:pPr>
        <w:pStyle w:val="ListParagraph"/>
        <w:numPr>
          <w:ilvl w:val="0"/>
          <w:numId w:val="2"/>
        </w:numPr>
        <w:spacing w:after="60"/>
      </w:pPr>
      <w:r>
        <w:rPr>
          <w:rFonts w:ascii="Arial" w:cs="Arial" w:eastAsia="Arial" w:hAnsi="Arial"/>
          <w:color w:val="404040"/>
          <w:sz w:val="22"/>
          <w:szCs w:val="22"/>
        </w:rPr>
        <w:t xml:space="preserve">Key platform health metrics: control node availability, job failure rate, execution node queue depth, inventory sync lag, job scheduling latency</w:t>
      </w:r>
    </w:p>
    <w:p>
      <w:pPr>
        <w:pStyle w:val="ListParagraph"/>
        <w:numPr>
          <w:ilvl w:val="0"/>
          <w:numId w:val="2"/>
        </w:numPr>
        <w:spacing w:after="60"/>
      </w:pPr>
      <w:r>
        <w:rPr>
          <w:rFonts w:ascii="Arial" w:cs="Arial" w:eastAsia="Arial" w:hAnsi="Arial"/>
          <w:color w:val="404040"/>
          <w:sz w:val="22"/>
          <w:szCs w:val="22"/>
        </w:rPr>
        <w:t xml:space="preserve">Alerting thresholds and on-call routing: [specify]</w:t>
      </w:r>
    </w:p>
    <w:p>
      <w:pPr>
        <w:pStyle w:val="ListParagraph"/>
        <w:numPr>
          <w:ilvl w:val="0"/>
          <w:numId w:val="2"/>
        </w:numPr>
        <w:spacing w:after="60"/>
      </w:pPr>
      <w:r>
        <w:rPr>
          <w:rFonts w:ascii="Arial" w:cs="Arial" w:eastAsia="Arial" w:hAnsi="Arial"/>
          <w:color w:val="404040"/>
          <w:sz w:val="22"/>
          <w:szCs w:val="22"/>
        </w:rPr>
        <w:t xml:space="preserve">Execution log retention: per platform retention policy [specify duration]</w:t>
      </w:r>
    </w:p>
    <w:p>
      <w:pPr>
        <w:pStyle w:val="ListParagraph"/>
        <w:numPr>
          <w:ilvl w:val="0"/>
          <w:numId w:val="2"/>
        </w:numPr>
        <w:spacing w:after="60"/>
      </w:pPr>
      <w:r>
        <w:rPr>
          <w:rFonts w:ascii="Arial" w:cs="Arial" w:eastAsia="Arial" w:hAnsi="Arial"/>
          <w:color w:val="404040"/>
          <w:sz w:val="22"/>
          <w:szCs w:val="22"/>
        </w:rPr>
        <w:t xml:space="preserve">Business value aggregation [New v0.2]: enterprise observability pipeline collects hours_saved, actions_completed, hosts_changed from every execution. Monthly automation ROI report generated automatically. [Gap: 1.1]</w:t>
      </w:r>
    </w:p>
    <w:p>
      <w:pPr>
        <w:pStyle w:val="ListParagraph"/>
        <w:numPr>
          <w:ilvl w:val="0"/>
          <w:numId w:val="2"/>
        </w:numPr>
        <w:spacing w:after="60"/>
      </w:pPr>
      <w:r>
        <w:rPr>
          <w:rFonts w:ascii="Arial" w:cs="Arial" w:eastAsia="Arial" w:hAnsi="Arial"/>
          <w:color w:val="404040"/>
          <w:sz w:val="22"/>
          <w:szCs w:val="22"/>
        </w:rPr>
        <w:t xml:space="preserve">EDA event log [New v0.2]: all events received by integration gateway and EDA controller logged with source, type, payload hash, and triggered job template</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8.2 Backup &amp; Disaster Recovery</w:t>
      </w:r>
    </w:p>
    <w:p>
      <w:pPr>
        <w:pStyle w:val="ListParagraph"/>
        <w:numPr>
          <w:ilvl w:val="0"/>
          <w:numId w:val="2"/>
        </w:numPr>
        <w:spacing w:after="60"/>
      </w:pPr>
      <w:r>
        <w:rPr>
          <w:rFonts w:ascii="Arial" w:cs="Arial" w:eastAsia="Arial" w:hAnsi="Arial"/>
          <w:color w:val="404040"/>
          <w:sz w:val="22"/>
          <w:szCs w:val="22"/>
        </w:rPr>
        <w:t xml:space="preserve">AAP configuration backup: [specify frequency, location, encryption]</w:t>
      </w:r>
    </w:p>
    <w:p>
      <w:pPr>
        <w:pStyle w:val="ListParagraph"/>
        <w:numPr>
          <w:ilvl w:val="0"/>
          <w:numId w:val="2"/>
        </w:numPr>
        <w:spacing w:after="60"/>
      </w:pPr>
      <w:r>
        <w:rPr>
          <w:rFonts w:ascii="Arial" w:cs="Arial" w:eastAsia="Arial" w:hAnsi="Arial"/>
          <w:color w:val="404040"/>
          <w:sz w:val="22"/>
          <w:szCs w:val="22"/>
        </w:rPr>
        <w:t xml:space="preserve">AAP database backup: [specify frequency, retention, restore procedure]</w:t>
      </w:r>
    </w:p>
    <w:p>
      <w:pPr>
        <w:pStyle w:val="ListParagraph"/>
        <w:numPr>
          <w:ilvl w:val="0"/>
          <w:numId w:val="2"/>
        </w:numPr>
        <w:spacing w:after="60"/>
      </w:pPr>
      <w:r>
        <w:rPr>
          <w:rFonts w:ascii="Arial" w:cs="Arial" w:eastAsia="Arial" w:hAnsi="Arial"/>
          <w:color w:val="404040"/>
          <w:sz w:val="22"/>
          <w:szCs w:val="22"/>
        </w:rPr>
        <w:t xml:space="preserve">RTO target: [specify]. RPO target: [specify]</w:t>
      </w:r>
    </w:p>
    <w:p>
      <w:pPr>
        <w:pStyle w:val="ListParagraph"/>
        <w:numPr>
          <w:ilvl w:val="0"/>
          <w:numId w:val="2"/>
        </w:numPr>
        <w:spacing w:after="60"/>
      </w:pPr>
      <w:r>
        <w:rPr>
          <w:rFonts w:ascii="Arial" w:cs="Arial" w:eastAsia="Arial" w:hAnsi="Arial"/>
          <w:color w:val="404040"/>
          <w:sz w:val="22"/>
          <w:szCs w:val="22"/>
        </w:rPr>
        <w:t xml:space="preserve">DR failover procedure: [specify]</w:t>
      </w:r>
    </w:p>
    <w:p>
      <w:pPr>
        <w:pStyle w:val="ListParagraph"/>
        <w:numPr>
          <w:ilvl w:val="0"/>
          <w:numId w:val="2"/>
        </w:numPr>
        <w:spacing w:after="60"/>
      </w:pPr>
      <w:r>
        <w:rPr>
          <w:rFonts w:ascii="Arial" w:cs="Arial" w:eastAsia="Arial" w:hAnsi="Arial"/>
          <w:color w:val="404040"/>
          <w:sz w:val="22"/>
          <w:szCs w:val="22"/>
        </w:rPr>
        <w:t xml:space="preserve">Automation Hub backup [New v0.2]: EE images and shared collection artifacts backed up to [specify]. Images also cached on execution nodes for pull failure resilience.</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8.3 Support &amp; Maintenance</w:t>
      </w:r>
    </w:p>
    <w:p>
      <w:pPr>
        <w:pStyle w:val="ListParagraph"/>
        <w:numPr>
          <w:ilvl w:val="0"/>
          <w:numId w:val="2"/>
        </w:numPr>
        <w:spacing w:after="60"/>
      </w:pPr>
      <w:r>
        <w:rPr>
          <w:rFonts w:ascii="Arial" w:cs="Arial" w:eastAsia="Arial" w:hAnsi="Arial"/>
          <w:color w:val="404040"/>
          <w:sz w:val="22"/>
          <w:szCs w:val="22"/>
        </w:rPr>
        <w:t xml:space="preserve">Platform owner: Automation Centre of Excellence</w:t>
      </w:r>
    </w:p>
    <w:p>
      <w:pPr>
        <w:pStyle w:val="ListParagraph"/>
        <w:numPr>
          <w:ilvl w:val="0"/>
          <w:numId w:val="2"/>
        </w:numPr>
        <w:spacing w:after="60"/>
      </w:pPr>
      <w:r>
        <w:rPr>
          <w:rFonts w:ascii="Arial" w:cs="Arial" w:eastAsia="Arial" w:hAnsi="Arial"/>
          <w:color w:val="404040"/>
          <w:sz w:val="22"/>
          <w:szCs w:val="22"/>
        </w:rPr>
        <w:t xml:space="preserve">Support tier: L1 [specify] | L2 [specify] | L3 — Automation CoE + Red Hat support</w:t>
      </w:r>
    </w:p>
    <w:p>
      <w:pPr>
        <w:pStyle w:val="ListParagraph"/>
        <w:numPr>
          <w:ilvl w:val="0"/>
          <w:numId w:val="2"/>
        </w:numPr>
        <w:spacing w:after="60"/>
      </w:pPr>
      <w:r>
        <w:rPr>
          <w:rFonts w:ascii="Arial" w:cs="Arial" w:eastAsia="Arial" w:hAnsi="Arial"/>
          <w:color w:val="404040"/>
          <w:sz w:val="22"/>
          <w:szCs w:val="22"/>
        </w:rPr>
        <w:t xml:space="preserve">Red Hat support contract level: [specify]</w:t>
      </w:r>
    </w:p>
    <w:p>
      <w:pPr>
        <w:pStyle w:val="ListParagraph"/>
        <w:numPr>
          <w:ilvl w:val="0"/>
          <w:numId w:val="2"/>
        </w:numPr>
        <w:spacing w:after="60"/>
      </w:pPr>
      <w:r>
        <w:rPr>
          <w:rFonts w:ascii="Arial" w:cs="Arial" w:eastAsia="Arial" w:hAnsi="Arial"/>
          <w:color w:val="404040"/>
          <w:sz w:val="22"/>
          <w:szCs w:val="22"/>
        </w:rPr>
        <w:t xml:space="preserve">Patching cadence: AAP platform [specify] | EE images [specify] | OS [specify]</w:t>
      </w:r>
    </w:p>
    <w:p>
      <w:pPr>
        <w:pStyle w:val="ListParagraph"/>
        <w:numPr>
          <w:ilvl w:val="0"/>
          <w:numId w:val="2"/>
        </w:numPr>
        <w:spacing w:after="60"/>
      </w:pPr>
      <w:r>
        <w:rPr>
          <w:rFonts w:ascii="Arial" w:cs="Arial" w:eastAsia="Arial" w:hAnsi="Arial"/>
          <w:color w:val="404040"/>
          <w:sz w:val="22"/>
          <w:szCs w:val="22"/>
        </w:rPr>
        <w:t xml:space="preserve">Planned maintenance windows: [specify]</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8.4 Automation Catalog Operations [New Section — v0.2]</w:t>
      </w:r>
    </w:p>
    <w:p>
      <w:pPr>
        <w:spacing w:after="120"/>
      </w:pPr>
      <w:r>
        <w:rPr>
          <w:rFonts w:ascii="Arial" w:cs="Arial" w:eastAsia="Arial" w:hAnsi="Arial"/>
          <w:i w:val="false"/>
          <w:iCs w:val="false"/>
          <w:color w:val="404040"/>
          <w:sz w:val="22"/>
          <w:szCs w:val="22"/>
        </w:rPr>
        <w:t xml:space="preserve">The automation catalog is the operational register of all production automation assets. It is the single source of truth for discovery, governance, lifecycle management, and ROI reporting. [Gap: 3.1, 3.2, 3.3]</w:t>
      </w:r>
    </w:p>
    <w:p>
      <w:pPr>
        <w:spacing w:after="60"/>
      </w:pPr>
      <w:r>
        <w:t xml:space="preserve"/>
      </w:r>
    </w:p>
    <w:p>
      <w:pPr>
        <w:pStyle w:val="Heading3"/>
        <w:spacing w:after="60" w:before="180"/>
      </w:pPr>
      <w:r>
        <w:rPr>
          <w:rFonts w:ascii="Arial" w:cs="Arial" w:eastAsia="Arial" w:hAnsi="Arial"/>
          <w:b/>
          <w:bCs/>
          <w:color w:val="2E75B6"/>
          <w:sz w:val="22"/>
          <w:szCs w:val="22"/>
        </w:rPr>
        <w:t xml:space="preserve">Catalog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Catalog host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[Specify: Confluence, ServiceNow CMDB table, custom catalog service, or Automation Hub built-in catalog]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Update mechanism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CI pipeline updates catalog entry on every successful production promotion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Read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teams — search and browse without restriction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Write access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CI pipeline only — human updates require a PR and pipeline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[Specify: REST API for querying catalog — used by pipeline, governance reports, and standards portal]</w:t>
            </w:r>
          </w:p>
        </w:tc>
      </w:tr>
    </w:tbl>
    <w:p>
      <w:pPr>
        <w:spacing w:after="60"/>
      </w:pPr>
      <w:r>
        <w:t xml:space="preserve"/>
      </w:r>
    </w:p>
    <w:p>
      <w:pPr>
        <w:pStyle w:val="Heading3"/>
        <w:spacing w:after="60" w:before="180"/>
      </w:pPr>
      <w:r>
        <w:rPr>
          <w:rFonts w:ascii="Arial" w:cs="Arial" w:eastAsia="Arial" w:hAnsi="Arial"/>
          <w:b/>
          <w:bCs/>
          <w:color w:val="2E75B6"/>
          <w:sz w:val="22"/>
          <w:szCs w:val="22"/>
        </w:rPr>
        <w:t xml:space="preserve">Automation Footprint Metrics [Gap: 1.1]</w:t>
      </w:r>
    </w:p>
    <w:p>
      <w:pPr>
        <w:spacing w:after="120"/>
      </w:pPr>
      <w:r>
        <w:rPr>
          <w:rFonts w:ascii="Arial" w:cs="Arial" w:eastAsia="Arial" w:hAnsi="Arial"/>
          <w:i w:val="false"/>
          <w:iCs w:val="false"/>
          <w:color w:val="404040"/>
          <w:sz w:val="22"/>
          <w:szCs w:val="22"/>
        </w:rPr>
        <w:t xml:space="preserve">The following metrics are derived from the catalog and execution output aggregation, reported monthly to engineering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Derivation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 active automation assets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Count of catalog entries with lifecycle_state: active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Coverage by domain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Active assets per approved domain prefix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Compliance 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of active assets with compliance_status: compliant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Execution volume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Total executions per month from AAP job history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Estimated hours saved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Sum of hours_saved structured output field across all executions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MTTR contribution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Correlation of automation execution against incident MTTR from ServiceNow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Top toil eliminated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Ranked list of manual procedures replaced, by estimated hours saved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Legacy debt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Count of assets with compliance_status: legacy and their remediation timeline</w:t>
            </w:r>
          </w:p>
        </w:tc>
      </w:tr>
    </w:tbl>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9. Change Management &amp; Governance</w:t>
      </w:r>
    </w:p>
    <w:p>
      <w:pPr>
        <w:pStyle w:val="Heading2"/>
        <w:pBdr>
          <w:bottom w:val="single" w:color="2E75B6" w:sz="4"/>
        </w:pBdr>
        <w:spacing w:after="80" w:before="240"/>
      </w:pPr>
      <w:r>
        <w:rPr>
          <w:rFonts w:ascii="Arial" w:cs="Arial" w:eastAsia="Arial" w:hAnsi="Arial"/>
          <w:b/>
          <w:bCs/>
          <w:color w:val="1F4E79"/>
          <w:sz w:val="26"/>
          <w:szCs w:val="26"/>
        </w:rPr>
        <w:t xml:space="preserve">9.1 Change Control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 | Required Approvals | Lead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 automation code promotion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Normal | CoE approval + second approver if high-risk | [specify]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AAP platform configuration change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Normal | Platform team lead + CoE sign-off | [specify]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RBAC / organization change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Normal | Security + CoE | [specify]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Emergency fix (production incident)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Emergency | [specify emergency approval chain] | Immediate + post-change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organization onboarding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Normal | CoE + platform team | [specify]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EE image publication [New v0.2]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Normal | CoE security review + platform team | [specify]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Integration gateway config change [New 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Normal | CoE + platform + security | [specify]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Shared collection update — MAJOR [New v0.2]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Normal | CoE + all affected domain owners | [specify] + 90-day migration</w:t>
            </w:r>
          </w:p>
        </w:tc>
      </w:tr>
    </w:tbl>
    <w:p>
      <w:pPr>
        <w:spacing w:after="60"/>
      </w:pPr>
      <w:r>
        <w:t xml:space="preserve"/>
      </w:r>
    </w:p>
    <w:p>
      <w:pPr>
        <w:spacing w:after="120"/>
      </w:pPr>
      <w:r>
        <w:rPr>
          <w:rFonts w:ascii="Arial" w:cs="Arial" w:eastAsia="Arial" w:hAnsi="Arial"/>
          <w:i w:val="false"/>
          <w:iCs w:val="false"/>
          <w:color w:val="404040"/>
          <w:sz w:val="22"/>
          <w:szCs w:val="22"/>
        </w:rPr>
        <w:t xml:space="preserve">All automation code changes must pass these gates before production promotion:</w:t>
      </w:r>
    </w:p>
    <w:p>
      <w:pPr>
        <w:pStyle w:val="ListParagraph"/>
        <w:numPr>
          <w:ilvl w:val="0"/>
          <w:numId w:val="2"/>
        </w:numPr>
        <w:spacing w:after="60"/>
      </w:pPr>
      <w:r>
        <w:rPr>
          <w:rFonts w:ascii="Arial" w:cs="Arial" w:eastAsia="Arial" w:hAnsi="Arial"/>
          <w:color w:val="404040"/>
          <w:sz w:val="22"/>
          <w:szCs w:val="22"/>
        </w:rPr>
        <w:t xml:space="preserve">Linting: no errors</w:t>
      </w:r>
    </w:p>
    <w:p>
      <w:pPr>
        <w:pStyle w:val="ListParagraph"/>
        <w:numPr>
          <w:ilvl w:val="0"/>
          <w:numId w:val="2"/>
        </w:numPr>
        <w:spacing w:after="60"/>
      </w:pPr>
      <w:r>
        <w:rPr>
          <w:rFonts w:ascii="Arial" w:cs="Arial" w:eastAsia="Arial" w:hAnsi="Arial"/>
          <w:color w:val="404040"/>
          <w:sz w:val="22"/>
          <w:szCs w:val="22"/>
        </w:rPr>
        <w:t xml:space="preserve">Security scan: no unreviewed critical or high findings</w:t>
      </w:r>
    </w:p>
    <w:p>
      <w:pPr>
        <w:pStyle w:val="ListParagraph"/>
        <w:numPr>
          <w:ilvl w:val="0"/>
          <w:numId w:val="2"/>
        </w:numPr>
        <w:spacing w:after="60"/>
      </w:pPr>
      <w:r>
        <w:rPr>
          <w:rFonts w:ascii="Arial" w:cs="Arial" w:eastAsia="Arial" w:hAnsi="Arial"/>
          <w:color w:val="404040"/>
          <w:sz w:val="22"/>
          <w:szCs w:val="22"/>
        </w:rPr>
        <w:t xml:space="preserve">Standards compliance check: all ten standards satisfied (seven original + three new in v0.2)</w:t>
      </w:r>
    </w:p>
    <w:p>
      <w:pPr>
        <w:pStyle w:val="ListParagraph"/>
        <w:numPr>
          <w:ilvl w:val="0"/>
          <w:numId w:val="2"/>
        </w:numPr>
        <w:spacing w:after="60"/>
      </w:pPr>
      <w:r>
        <w:rPr>
          <w:rFonts w:ascii="Arial" w:cs="Arial" w:eastAsia="Arial" w:hAnsi="Arial"/>
          <w:color w:val="404040"/>
          <w:sz w:val="22"/>
          <w:szCs w:val="22"/>
        </w:rPr>
        <w:t xml:space="preserve">Testing evidence: all required logs and parity documentation present</w:t>
      </w:r>
    </w:p>
    <w:p>
      <w:pPr>
        <w:pStyle w:val="ListParagraph"/>
        <w:numPr>
          <w:ilvl w:val="0"/>
          <w:numId w:val="2"/>
        </w:numPr>
        <w:spacing w:after="60"/>
      </w:pPr>
      <w:r>
        <w:rPr>
          <w:rFonts w:ascii="Arial" w:cs="Arial" w:eastAsia="Arial" w:hAnsi="Arial"/>
          <w:color w:val="404040"/>
          <w:sz w:val="22"/>
          <w:szCs w:val="22"/>
        </w:rPr>
        <w:t xml:space="preserve">Manual baseline reviewed by procedure owner</w:t>
      </w:r>
    </w:p>
    <w:p>
      <w:pPr>
        <w:pStyle w:val="ListParagraph"/>
        <w:numPr>
          <w:ilvl w:val="0"/>
          <w:numId w:val="2"/>
        </w:numPr>
        <w:spacing w:after="60"/>
      </w:pPr>
      <w:r>
        <w:rPr>
          <w:rFonts w:ascii="Arial" w:cs="Arial" w:eastAsia="Arial" w:hAnsi="Arial"/>
          <w:color w:val="404040"/>
          <w:sz w:val="22"/>
          <w:szCs w:val="22"/>
        </w:rPr>
        <w:t xml:space="preserve">Operational runbook updated</w:t>
      </w:r>
    </w:p>
    <w:p>
      <w:pPr>
        <w:pStyle w:val="ListParagraph"/>
        <w:numPr>
          <w:ilvl w:val="0"/>
          <w:numId w:val="2"/>
        </w:numPr>
        <w:spacing w:after="60"/>
      </w:pPr>
      <w:r>
        <w:rPr>
          <w:rFonts w:ascii="Arial" w:cs="Arial" w:eastAsia="Arial" w:hAnsi="Arial"/>
          <w:color w:val="404040"/>
          <w:sz w:val="22"/>
          <w:szCs w:val="22"/>
        </w:rPr>
        <w:t xml:space="preserve">Catalog entry valid and updated [New v0.2]</w:t>
      </w:r>
    </w:p>
    <w:p>
      <w:pPr>
        <w:pStyle w:val="ListParagraph"/>
        <w:numPr>
          <w:ilvl w:val="0"/>
          <w:numId w:val="2"/>
        </w:numPr>
        <w:spacing w:after="60"/>
      </w:pPr>
      <w:r>
        <w:rPr>
          <w:rFonts w:ascii="Arial" w:cs="Arial" w:eastAsia="Arial" w:hAnsi="Arial"/>
          <w:color w:val="404040"/>
          <w:sz w:val="22"/>
          <w:szCs w:val="22"/>
        </w:rPr>
        <w:t xml:space="preserve">EE image declared and resolves to published, non-deprecated image [New v0.2]</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9.2 Automation Standards Framework — Governance Outcomes</w:t>
      </w:r>
    </w:p>
    <w:p>
      <w:pPr>
        <w:spacing w:after="120"/>
      </w:pPr>
      <w:r>
        <w:rPr>
          <w:rFonts w:ascii="Arial" w:cs="Arial" w:eastAsia="Arial" w:hAnsi="Arial"/>
          <w:i w:val="false"/>
          <w:iCs w:val="false"/>
          <w:color w:val="404040"/>
          <w:sz w:val="22"/>
          <w:szCs w:val="22"/>
        </w:rPr>
        <w:t xml:space="preserve">The following outcomes define what the Automation Standards Framework is designed to achieve:</w:t>
      </w:r>
    </w:p>
    <w:p>
      <w:pPr>
        <w:pStyle w:val="ListParagraph"/>
        <w:numPr>
          <w:ilvl w:val="0"/>
          <w:numId w:val="2"/>
        </w:numPr>
        <w:spacing w:after="60"/>
      </w:pPr>
      <w:r>
        <w:rPr>
          <w:rFonts w:ascii="Arial" w:cs="Arial" w:eastAsia="Arial" w:hAnsi="Arial"/>
          <w:color w:val="404040"/>
          <w:sz w:val="22"/>
          <w:szCs w:val="22"/>
        </w:rPr>
        <w:t xml:space="preserve">A clear and shared enterprise model for automation across infrastructure engineering and operations</w:t>
      </w:r>
    </w:p>
    <w:p>
      <w:pPr>
        <w:pStyle w:val="ListParagraph"/>
        <w:numPr>
          <w:ilvl w:val="0"/>
          <w:numId w:val="2"/>
        </w:numPr>
        <w:spacing w:after="60"/>
      </w:pPr>
      <w:r>
        <w:rPr>
          <w:rFonts w:ascii="Arial" w:cs="Arial" w:eastAsia="Arial" w:hAnsi="Arial"/>
          <w:color w:val="404040"/>
          <w:sz w:val="22"/>
          <w:szCs w:val="22"/>
        </w:rPr>
        <w:t xml:space="preserve">Consistent, reusable, and governable implementation across infrastructure domains and technology platforms</w:t>
      </w:r>
    </w:p>
    <w:p>
      <w:pPr>
        <w:pStyle w:val="ListParagraph"/>
        <w:numPr>
          <w:ilvl w:val="0"/>
          <w:numId w:val="2"/>
        </w:numPr>
        <w:spacing w:after="60"/>
      </w:pPr>
      <w:r>
        <w:rPr>
          <w:rFonts w:ascii="Arial" w:cs="Arial" w:eastAsia="Arial" w:hAnsi="Arial"/>
          <w:color w:val="404040"/>
          <w:sz w:val="22"/>
          <w:szCs w:val="22"/>
        </w:rPr>
        <w:t xml:space="preserve">Reduced manual effort, variation, and operational dependency in infrastructure provisioning, configuration, maintenance, and recovery</w:t>
      </w:r>
    </w:p>
    <w:p>
      <w:pPr>
        <w:pStyle w:val="ListParagraph"/>
        <w:numPr>
          <w:ilvl w:val="0"/>
          <w:numId w:val="2"/>
        </w:numPr>
        <w:spacing w:after="60"/>
      </w:pPr>
      <w:r>
        <w:rPr>
          <w:rFonts w:ascii="Arial" w:cs="Arial" w:eastAsia="Arial" w:hAnsi="Arial"/>
          <w:color w:val="404040"/>
          <w:sz w:val="22"/>
          <w:szCs w:val="22"/>
        </w:rPr>
        <w:t xml:space="preserve">Faster, more reliable, and more predictable delivery of infrastructure services and operational changes</w:t>
      </w:r>
    </w:p>
    <w:p>
      <w:pPr>
        <w:pStyle w:val="ListParagraph"/>
        <w:numPr>
          <w:ilvl w:val="0"/>
          <w:numId w:val="2"/>
        </w:numPr>
        <w:spacing w:after="60"/>
      </w:pPr>
      <w:r>
        <w:rPr>
          <w:rFonts w:ascii="Arial" w:cs="Arial" w:eastAsia="Arial" w:hAnsi="Arial"/>
          <w:color w:val="404040"/>
          <w:sz w:val="22"/>
          <w:szCs w:val="22"/>
        </w:rPr>
        <w:t xml:space="preserve">Improved stability, resilience, and service quality through standardized and tested automation</w:t>
      </w:r>
    </w:p>
    <w:p>
      <w:pPr>
        <w:pStyle w:val="ListParagraph"/>
        <w:numPr>
          <w:ilvl w:val="0"/>
          <w:numId w:val="2"/>
        </w:numPr>
        <w:spacing w:after="60"/>
      </w:pPr>
      <w:r>
        <w:rPr>
          <w:rFonts w:ascii="Arial" w:cs="Arial" w:eastAsia="Arial" w:hAnsi="Arial"/>
          <w:color w:val="404040"/>
          <w:sz w:val="22"/>
          <w:szCs w:val="22"/>
        </w:rPr>
        <w:t xml:space="preserve">Better control of risk, security, compliance, and auditability in automated infrastructure operations</w:t>
      </w:r>
    </w:p>
    <w:p>
      <w:pPr>
        <w:pStyle w:val="ListParagraph"/>
        <w:numPr>
          <w:ilvl w:val="0"/>
          <w:numId w:val="2"/>
        </w:numPr>
        <w:spacing w:after="60"/>
      </w:pPr>
      <w:r>
        <w:rPr>
          <w:rFonts w:ascii="Arial" w:cs="Arial" w:eastAsia="Arial" w:hAnsi="Arial"/>
          <w:color w:val="404040"/>
          <w:sz w:val="22"/>
          <w:szCs w:val="22"/>
        </w:rPr>
        <w:t xml:space="preserve">Stronger lifecycle management of infrastructure assets through repeatable automation for build, patching, scaling, backup, recovery, and decommissioning</w:t>
      </w:r>
    </w:p>
    <w:p>
      <w:pPr>
        <w:pStyle w:val="ListParagraph"/>
        <w:numPr>
          <w:ilvl w:val="0"/>
          <w:numId w:val="2"/>
        </w:numPr>
        <w:spacing w:after="60"/>
      </w:pPr>
      <w:r>
        <w:rPr>
          <w:rFonts w:ascii="Arial" w:cs="Arial" w:eastAsia="Arial" w:hAnsi="Arial"/>
          <w:color w:val="404040"/>
          <w:sz w:val="22"/>
          <w:szCs w:val="22"/>
        </w:rPr>
        <w:t xml:space="preserve">Scalable adoption across teams covering platforms, networks, end-user technologies, collaboration services, compute, virtualization, containers, Kubernetes, and cloud services</w:t>
      </w:r>
    </w:p>
    <w:p>
      <w:pPr>
        <w:pStyle w:val="ListParagraph"/>
        <w:numPr>
          <w:ilvl w:val="0"/>
          <w:numId w:val="2"/>
        </w:numPr>
        <w:spacing w:after="60"/>
      </w:pPr>
      <w:r>
        <w:rPr>
          <w:rFonts w:ascii="Arial" w:cs="Arial" w:eastAsia="Arial" w:hAnsi="Arial"/>
          <w:color w:val="404040"/>
          <w:sz w:val="22"/>
          <w:szCs w:val="22"/>
        </w:rPr>
        <w:t xml:space="preserve">Clear alignment of automation capability with operational efficiency, service reliability, and business continuity outcomes</w:t>
      </w:r>
    </w:p>
    <w:p>
      <w:pPr>
        <w:pStyle w:val="ListParagraph"/>
        <w:numPr>
          <w:ilvl w:val="0"/>
          <w:numId w:val="2"/>
        </w:numPr>
        <w:spacing w:after="60"/>
      </w:pPr>
      <w:r>
        <w:rPr>
          <w:rFonts w:ascii="Arial" w:cs="Arial" w:eastAsia="Arial" w:hAnsi="Arial"/>
          <w:color w:val="404040"/>
          <w:sz w:val="22"/>
          <w:szCs w:val="22"/>
        </w:rPr>
        <w:t xml:space="preserve">Better integration of automation with observability, service management, and operational governance processes</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9.3 Review &amp; Approval</w:t>
      </w:r>
    </w:p>
    <w:p>
      <w:pPr>
        <w:pStyle w:val="ListParagraph"/>
        <w:numPr>
          <w:ilvl w:val="0"/>
          <w:numId w:val="2"/>
        </w:numPr>
        <w:spacing w:after="60"/>
      </w:pPr>
      <w:r>
        <w:rPr>
          <w:rFonts w:ascii="Arial" w:cs="Arial" w:eastAsia="Arial" w:hAnsi="Arial"/>
          <w:color w:val="404040"/>
          <w:sz w:val="22"/>
          <w:szCs w:val="22"/>
        </w:rPr>
        <w:t xml:space="preserve">Document owner: Automation Centre of Excellence</w:t>
      </w:r>
    </w:p>
    <w:p>
      <w:pPr>
        <w:pStyle w:val="ListParagraph"/>
        <w:numPr>
          <w:ilvl w:val="0"/>
          <w:numId w:val="2"/>
        </w:numPr>
        <w:spacing w:after="60"/>
      </w:pPr>
      <w:r>
        <w:rPr>
          <w:rFonts w:ascii="Arial" w:cs="Arial" w:eastAsia="Arial" w:hAnsi="Arial"/>
          <w:color w:val="404040"/>
          <w:sz w:val="22"/>
          <w:szCs w:val="22"/>
        </w:rPr>
        <w:t xml:space="preserve">Review cadence: quarterly, or following any significant platform change</w:t>
      </w:r>
    </w:p>
    <w:p>
      <w:pPr>
        <w:pStyle w:val="ListParagraph"/>
        <w:numPr>
          <w:ilvl w:val="0"/>
          <w:numId w:val="2"/>
        </w:numPr>
        <w:spacing w:after="60"/>
      </w:pPr>
      <w:r>
        <w:rPr>
          <w:rFonts w:ascii="Arial" w:cs="Arial" w:eastAsia="Arial" w:hAnsi="Arial"/>
          <w:color w:val="404040"/>
          <w:sz w:val="22"/>
          <w:szCs w:val="22"/>
        </w:rPr>
        <w:t xml:space="preserve">Approver roles: Architecture Review Board, Platform Owner, CISO (security sections), CoE Lead</w:t>
      </w:r>
    </w:p>
    <w:p>
      <w:pPr>
        <w:pStyle w:val="ListParagraph"/>
        <w:numPr>
          <w:ilvl w:val="0"/>
          <w:numId w:val="2"/>
        </w:numPr>
        <w:spacing w:after="60"/>
      </w:pPr>
      <w:r>
        <w:rPr>
          <w:rFonts w:ascii="Arial" w:cs="Arial" w:eastAsia="Arial" w:hAnsi="Arial"/>
          <w:color w:val="404040"/>
          <w:sz w:val="22"/>
          <w:szCs w:val="22"/>
        </w:rPr>
        <w:t xml:space="preserve">Version control: [specify location — Azure DevOps / SharePoint]</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9.4 Gap Remediation Roadmap [New Section — v0.2]</w:t>
      </w:r>
    </w:p>
    <w:p>
      <w:pPr>
        <w:spacing w:after="120"/>
      </w:pPr>
      <w:r>
        <w:rPr>
          <w:rFonts w:ascii="Arial" w:cs="Arial" w:eastAsia="Arial" w:hAnsi="Arial"/>
          <w:i w:val="false"/>
          <w:iCs w:val="false"/>
          <w:color w:val="404040"/>
          <w:sz w:val="22"/>
          <w:szCs w:val="22"/>
        </w:rPr>
        <w:t xml:space="preserve">This roadmap addresses all 17 identified gaps. Target: v1 draft complete by 2026-04-17. Hard deadline: 2026-04-30.</w:t>
      </w:r>
    </w:p>
    <w:p>
      <w:pPr>
        <w:spacing w:after="60"/>
      </w:pPr>
      <w:r>
        <w:t xml:space="preserve"/>
      </w:r>
    </w:p>
    <w:p>
      <w:pPr>
        <w:pStyle w:val="Heading3"/>
        <w:spacing w:after="60" w:before="180"/>
      </w:pPr>
      <w:r>
        <w:rPr>
          <w:rFonts w:ascii="Arial" w:cs="Arial" w:eastAsia="Arial" w:hAnsi="Arial"/>
          <w:b/>
          <w:bCs/>
          <w:color w:val="2E75B6"/>
          <w:sz w:val="22"/>
          <w:szCs w:val="22"/>
        </w:rPr>
        <w:t xml:space="preserve">Priority 1 — Critical (Complete by 2026-04-10)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 / Action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1.1 Invisible ROI tracking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Add hours_saved, actions_completed, hosts_changed as required structured output fields. Define monthly ROI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 Lead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1.2 Illusion of automation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Automation coverage assessment: map all procedures to automated/partial/manual. Produce toil register.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CoE + Domain leads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1.3 Unknown quality standards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Pipeline-enforce all gates. Publish compliance status in catalog. Report compliance rate per domain.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2.1 Tight coupling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Define integration layer architecture. Document approved integration patterns. Deprecate point-to-point connectors.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Platform Architect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3.1 Siloed solutions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 up catalog platform. Make catalog registration mandatory in production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 + Platform team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3.2 Lack of reusability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Define catalog-entry.yml schema. Add composability gate to pipeline. Establish platform/ collection namespace.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No integration middleware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Architecture decision: select event bus / API gateway. Document EDA rulebook 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Platform Architect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 No EE standardization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Publish first EE images to Automation Hub. Mandate EE declaration. Block Default EE in pipeline.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Platform team</w:t>
            </w:r>
          </w:p>
        </w:tc>
      </w:tr>
    </w:tbl>
    <w:p>
      <w:pPr>
        <w:spacing w:after="60"/>
      </w:pPr>
      <w:r>
        <w:t xml:space="preserve"/>
      </w:r>
    </w:p>
    <w:p>
      <w:pPr>
        <w:pStyle w:val="Heading3"/>
        <w:spacing w:after="60" w:before="180"/>
      </w:pPr>
      <w:r>
        <w:rPr>
          <w:rFonts w:ascii="Arial" w:cs="Arial" w:eastAsia="Arial" w:hAnsi="Arial"/>
          <w:b/>
          <w:bCs/>
          <w:color w:val="2E75B6"/>
          <w:sz w:val="22"/>
          <w:szCs w:val="22"/>
        </w:rPr>
        <w:t xml:space="preserve">Priority 2 — Important (Complete by 2026-04-17)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 / Action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2.2 Upgrade &amp; lifecycle friction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Publish versioned EE images per domain. Document platform abstraction principle. Write AAP upgrade test pipeline 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Platform team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2.3 Inconsistent logging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Document log transport architecture for all EE types. Define Splunk/Dynatrace workspace with query patterns.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CoE + Observability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2.4 Ambiguous design patterns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Populate reference implementations with one example per domain per type. Build scaffolding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3.3 Poor lifecycle tracking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Implement consumed_by tracking in catalog pipeline. Define quarterly catalog review process.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4.1 Skill gaps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Conduct skills baseline assessment. Define learning paths per domain.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 + Eng managers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 Cross-team dependencies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Implement dependency graph in catalog. Define shared collection versioning policy.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CoE</w:t>
            </w:r>
          </w:p>
        </w:tc>
      </w:tr>
    </w:tbl>
    <w:p>
      <w:pPr>
        <w:spacing w:after="60"/>
      </w:pPr>
      <w:r>
        <w:t xml:space="preserve"/>
      </w:r>
    </w:p>
    <w:p>
      <w:pPr>
        <w:pStyle w:val="Heading3"/>
        <w:spacing w:after="60" w:before="180"/>
      </w:pPr>
      <w:r>
        <w:rPr>
          <w:rFonts w:ascii="Arial" w:cs="Arial" w:eastAsia="Arial" w:hAnsi="Arial"/>
          <w:b/>
          <w:bCs/>
          <w:color w:val="2E75B6"/>
          <w:sz w:val="22"/>
          <w:szCs w:val="22"/>
        </w:rPr>
        <w:t xml:space="preserve">Priority 3 — Foundational (Complete by 2026-04-24)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 / Action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4.2 Platform friction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Publish AAP getting-started guide. Create getting-started repository template. Define alternative runner policy.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4.3 Cognitive overload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Build consolidated standards portal. Add TL;DR layer to each standard. Publish platform-vs-author responsibility matrix.</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 No maturity model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Define five-level maturity model. Run initial domain assessments. Publish domain maturity scores.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 + Domain leads</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9.5 Automation Maturity Model [New Section — v0.2]</w:t>
      </w:r>
    </w:p>
    <w:p>
      <w:pPr>
        <w:spacing w:after="120"/>
      </w:pPr>
      <w:r>
        <w:rPr>
          <w:rFonts w:ascii="Arial" w:cs="Arial" w:eastAsia="Arial" w:hAnsi="Arial"/>
          <w:i w:val="false"/>
          <w:iCs w:val="false"/>
          <w:color w:val="404040"/>
          <w:sz w:val="22"/>
          <w:szCs w:val="22"/>
        </w:rPr>
        <w:t xml:space="preserve">The maturity model provides a consistent framework for assessing where each infrastructure domain is in its automation journey. [Gap: +D]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3240"/>
        <w:gridCol w:w="360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Manual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Procedures executed manually. Scripts may exist but are not standardized or governed.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catalog entries, high toil, no standards compliance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Scripted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Automation exists but is ad hoc, undocumented, non-idempotent, and not governed. The illusion of automation stage.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Low catalog coverage, low compliance rate, no test evidence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Standards-compliant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meets all ten Layer 4/5 standards. Test evidence exists. Assets are in the catalog.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 compliance rate, test evidence on file, catalog populated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Composable</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Assets are discoverable and reusable. Shared collections exist. Interface contracts declared.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 catalog coverage, shared collections used, low duplication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Autonomous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Event-driven automation responds to operational signals without human initiation. ROI is measurable.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EDA in use, ROI dashboard live, MTTR improvement evidenced</w:t>
            </w:r>
          </w:p>
        </w:tc>
      </w:tr>
    </w:tbl>
    <w:p>
      <w:pPr>
        <w:spacing w:after="60"/>
      </w:pPr>
      <w:r>
        <w:t xml:space="preserve"/>
      </w:r>
    </w:p>
    <w:p>
      <w:pPr>
        <w:pStyle w:val="ListParagraph"/>
        <w:numPr>
          <w:ilvl w:val="0"/>
          <w:numId w:val="2"/>
        </w:numPr>
        <w:spacing w:after="60"/>
      </w:pPr>
      <w:r>
        <w:rPr>
          <w:rFonts w:ascii="Arial" w:cs="Arial" w:eastAsia="Arial" w:hAnsi="Arial"/>
          <w:color w:val="404040"/>
          <w:sz w:val="22"/>
          <w:szCs w:val="22"/>
        </w:rPr>
        <w:t xml:space="preserve">Initial assessment at v1 document publication. Re-assessed quarterly.</w:t>
      </w:r>
    </w:p>
    <w:p>
      <w:pPr>
        <w:pStyle w:val="ListParagraph"/>
        <w:numPr>
          <w:ilvl w:val="0"/>
          <w:numId w:val="2"/>
        </w:numPr>
        <w:spacing w:after="60"/>
      </w:pPr>
      <w:r>
        <w:rPr>
          <w:rFonts w:ascii="Arial" w:cs="Arial" w:eastAsia="Arial" w:hAnsi="Arial"/>
          <w:color w:val="404040"/>
          <w:sz w:val="22"/>
          <w:szCs w:val="22"/>
        </w:rPr>
        <w:t xml:space="preserve">Results published to engineering leadership.</w:t>
      </w:r>
    </w:p>
    <w:p>
      <w:pPr>
        <w:pStyle w:val="ListParagraph"/>
        <w:numPr>
          <w:ilvl w:val="0"/>
          <w:numId w:val="2"/>
        </w:numPr>
        <w:spacing w:after="60"/>
      </w:pPr>
      <w:r>
        <w:rPr>
          <w:rFonts w:ascii="Arial" w:cs="Arial" w:eastAsia="Arial" w:hAnsi="Arial"/>
          <w:color w:val="404040"/>
          <w:sz w:val="22"/>
          <w:szCs w:val="22"/>
        </w:rPr>
        <w:t xml:space="preserve">CoE resources allocated based on domain maturity level.</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10. Production Approval Checklist</w:t>
      </w:r>
    </w:p>
    <w:p>
      <w:pPr>
        <w:spacing w:after="120"/>
      </w:pPr>
      <w:r>
        <w:rPr>
          <w:rFonts w:ascii="Arial" w:cs="Arial" w:eastAsia="Arial" w:hAnsi="Arial"/>
          <w:i w:val="false"/>
          <w:iCs w:val="false"/>
          <w:color w:val="404040"/>
          <w:sz w:val="22"/>
          <w:szCs w:val="22"/>
        </w:rPr>
        <w:t xml:space="preserve">The following checklist must be completed for every automation asset before production promotion. Evidence must be specific and verifiable — a statement in a PR description is not evidence.</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10.1 Naming, Metadata, and Classification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Asset name follows [domain]-[action]-[target] with correct casing and delimiters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Naming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mandatory operator header fields are present — no placeholders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Metadata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type is correctly assigned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Classification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Risk classification is correctly assigned — not under-classified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Classification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high-risk, a second approver is identified and recorded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Classification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SLA binding assignment is correct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Classification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Compliance status is accurate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Classification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Catalog entry exists with all four classification dimensions populated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Classification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Owner assigned to a named active team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Lifecycle</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10.2 Safe Execution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Explicit scope selector present — missing scope fails closed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Scope Control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Scope logged before first state-changing 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Scope Control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execution-affecting inputs validated before any change begins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Input Validation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Destructive operations require explicit confirmation signal + change ticket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Input Validation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Failure category surfaced in output for every failure path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Failure Classification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failure message states what failed, where, and what was expected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Failure Classification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Concurrent safety determination documented in operator header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Concurrent Safety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concurrent execution is unsafe, a concurrency limit is in place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Concurrent Safety</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10.3 Secured by Design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identity scoped to only required permissions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Least Privilege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Separate identities used for production and non-production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Least Privilege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credentials stored in CyberArk or Azure Key Vault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Secret Management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credentials retrieved dynamically at runtime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Secret Management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 secret values in any execution output including verbose mode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Secret Management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high-risk, a second reviewer has approved the change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Separation of Duties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 execution output contains PII or regulated data 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Sensitive Data</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10.4 Idempotency and Re-runnable Behavior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run twice — second run completes without errors or changes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Idempotency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create/add operations check pre-existing 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Idempotency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delete/remove operations check existence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Idempotency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retry block defines maximum attempt count and backoff interval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Bounded Retries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Retries limited to idempotent operations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Bounded Retries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network call, service wait, and polling loop has an explicit timeout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Explicit Timeouts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polling loop logs its current state at each interval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Explicit Timeouts</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10.5 Automatic Backout and Recovery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seven stages of the backout pattern are present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Seven-Stage Pattern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Post-execution check validates actual system 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Seven-Stage Pattern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Rollback triggers automatically — no human intervention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Seven-Stage Pattern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Rollback verifies recovery completed (Stage 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Seven-Stage Pattern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Rollback creates incident ticket automatically with correlation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Seven-Stage Pattern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Backout path tested by intentionally triggering failure in non-production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Backout Testing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irreversible actions identified and have a recovery strategy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Irreversible Actions</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10.6 Tested Before Production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Manual baseline documented and reviewed by procedure owner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Pre-Test Prep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Individual steps validated in isolation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Step-Level Validation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Full end-to-end execution completed successfully in non-production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Non-Production Execution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Test run against same type of target system as production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Non-Production Execution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Idempotency test evidenced — second run, same target, no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Non-Production Execution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Failure and backout test evidenced — system returned to pre-change 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Non-Production Execution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six parity dimensions documented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Environmental Parity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Linting passed with no unexplained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Quality Gates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Security scan passed — no unreviewed critical findings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Quality Gates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Standards compliance check passed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Quality Gates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Operational runbook updated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Operational Docs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Test evidence linked to current revision in change record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Evidence Retention</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10.7 Observability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Run-level summary fields all present in execution log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Structured Output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Task-level output present for all state-changing tasks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Structured Output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Completion record includes outcome, change summary, failure classification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Structured Output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Business value fields present: hours_saved, actions_completed, hosts_changed [New 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ROI Tracking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Field names match the aggregation schema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Structured Output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Log messages describe actions in plain language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Operator-Readable Logs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Error messages specific about what failed, where, and why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Operator-Readable Logs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five reportability questions answerable from the log alone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Reportability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secret values masked in all output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Sensitive Output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 PII in any execution output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Sensitive Output</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10.8 Integration Architecture Gate [New —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 hardcoded external system URLs or credentials in playbooks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Integration Arch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external system calls use approved adapter roles from platform/ collections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Integration Arch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triggered by external event, trigger passes through EDA and integration gateway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Integration Arch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Inventory sourced via AAP native inventory plugin — no custom inventory scripts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Integration Arch</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10.9 Execution Environment Gate [New —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ee-requirements.yml present in repository root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EE 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Job template declares specific versioned EE from Automation Hub — not 'Default'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EE 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Declared EE image is published and not deprecated in Automation Hub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EE 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EE image has passed security scan — no CVEs above CVSS 7.0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EE Standard</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10.10 Discoverability and Composability Gate [New —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catalog-entry.yml present in repository root with all mandatory fields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Discoverability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Input/output interface declared in catalog-entry.yml with types and descriptions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Composability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target_hosts (or domain equivalent) accepted as a variable — no hardcoded targets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Composability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change_ticket accepted as a variable for production-targeting automation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Composability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function already exists in a shared collection, that collection is used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Reusability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automation depends on other catalog assets, depends_on field is populated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Dependency Tracking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Catalog entry created/updated in catalog system by pipeline on promotion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Catalog Registration</w:t>
            </w:r>
          </w:p>
        </w:tc>
      </w:tr>
    </w:tbl>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11. Implementation Plan — v1 Draft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color w:val="404040"/>
                <w:sz w:val="20"/>
                <w:szCs w:val="20"/>
              </w:rPr>
              <w:t xml:space="preserve">Target: v1 draft complete by 2026-04-17 (two weeks from 2026-04-03). Hard deadline: 2026-04-30. This plan addresses all 17 gaps in priority order.</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11.1 Sprint Plan (2 Weeks)</w:t>
      </w:r>
    </w:p>
    <w:p>
      <w:pPr>
        <w:pStyle w:val="Heading3"/>
        <w:spacing w:after="60" w:before="180"/>
      </w:pPr>
      <w:r>
        <w:rPr>
          <w:rFonts w:ascii="Arial" w:cs="Arial" w:eastAsia="Arial" w:hAnsi="Arial"/>
          <w:b/>
          <w:bCs/>
          <w:color w:val="2E75B6"/>
          <w:sz w:val="22"/>
          <w:szCs w:val="22"/>
        </w:rPr>
        <w:t xml:space="preserve">Week 1: 2026-04-03 to 2026-04-10 — Critical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160"/>
        <w:gridCol w:w="216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Day 1–2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coverage assessment — map all procedures to automated/partial/manual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 + Domain leads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Toil register, coverage gap report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Day 1–2</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Stand up catalog platform — select tooling, define schema, create seed entries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Platform team</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Catalog platform live, 5+ seed entries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Day 2–3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Define catalog-entry.yml schema — finalize interface declaration format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Schema published to standards repo</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Day 2–3</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Architecture decision: integration layer — select event bus / API gateway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Platform Architect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ADR document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Day 3–4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Publish first EE images to Automation Hub — base-rhel9, base-windows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Platform team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EE images available in Hub</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Day 3–4</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Add business value fields to observability standard template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Updated observability template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Day 4–5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Define platform/ collection stubs: itsm, observability, secrets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Collection namespace in Hub</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Day 5</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Internal review of EA document v0.2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 stakeholders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Review comments logged</w:t>
            </w:r>
          </w:p>
        </w:tc>
      </w:tr>
    </w:tbl>
    <w:p>
      <w:pPr>
        <w:spacing w:after="60"/>
      </w:pPr>
      <w:r>
        <w:t xml:space="preserve"/>
      </w:r>
    </w:p>
    <w:p>
      <w:pPr>
        <w:pStyle w:val="Heading3"/>
        <w:spacing w:after="60" w:before="180"/>
      </w:pPr>
      <w:r>
        <w:rPr>
          <w:rFonts w:ascii="Arial" w:cs="Arial" w:eastAsia="Arial" w:hAnsi="Arial"/>
          <w:b/>
          <w:bCs/>
          <w:color w:val="2E75B6"/>
          <w:sz w:val="22"/>
          <w:szCs w:val="22"/>
        </w:rPr>
        <w:t xml:space="preserve">Week 2: 2026-04-10 to 2026-04-17 — Important + Foundational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160"/>
        <w:gridCol w:w="216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Day 6–7</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transport architecture — document log flow from each EE type to SIEM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 + Observability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architecture diagram</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Day 6–7</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Skills baseline assessment — survey per domain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Engineering managers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Skills gap per domain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Day 7–8</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Build scaffolding tool (aap-new CLI)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aap-new CLI or AAP project template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Day 7–8</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Publish getting-started guide and repository template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Guide in standards portal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Day 8–9</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Build consolidated standards portal — single URL for all standards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Standards portal live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Day 9–10</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Domain maturity initial assessment — run maturity model per domain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CoE + Domain leads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Maturity scores per domain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Day 10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Finalize EA document v1.0 — incorporate all review comments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EA v1.0 ready for formal approval</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11.2 EA Document Changes Summary</w:t>
      </w:r>
    </w:p>
    <w:p>
      <w:pPr>
        <w:spacing w:after="120"/>
      </w:pPr>
      <w:r>
        <w:rPr>
          <w:rFonts w:ascii="Arial" w:cs="Arial" w:eastAsia="Arial" w:hAnsi="Arial"/>
          <w:i w:val="false"/>
          <w:iCs w:val="false"/>
          <w:color w:val="404040"/>
          <w:sz w:val="22"/>
          <w:szCs w:val="22"/>
        </w:rPr>
        <w:t xml:space="preserve">All EA changes are incorporated in this v0.2 document. The following table summarizes all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Addressed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 Scope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Added integration layer, EE standardization, catalog, maturity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2.2 Components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Added Automation Hub, EDA Controller, Integration Layer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2.1, 2.2, +A,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2.3 Data Flow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Added event-driven trigger path, catalog registration 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2.1, +A, 3.1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3.2 Infrastructure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Added Hub, EDA, integration gateway server rows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3.3 Network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Added integration layer and EDA firewall rules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2.1, +A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3.4 Security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Added integration layer and EE security controls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2.1,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4.1 Software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Added Hub, EDA, integration gateway components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5.7 Observability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Added business value structured fields (hours_saved, etc.)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5.8 Integration Arch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standard — decoupled integration patterns, EDA rulebooks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2.1, 2.2, +A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5.9 EE Standardization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New standard — versioned immutable EE images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2.2,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5.10 Discoverability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standard — catalog, interfaces, shared collections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3.1, 3.2, 3.3, +C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6.1–6.3 Security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Added integration and catalog compliance controls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2.1, 3.1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7.1–7.4 NFRs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Added catalog, Hub, and EDA NFRs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8.1 Monitoring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Added ROI aggregation, EDA event log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1.1,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8.4 Catalog Ops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section — catalog platform, governance, metrics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3.1, 3.2, 3.3, 1.1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9.1 Change Control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Added EE, integration gateway, shared collection change types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2.1, +A, +B, +C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9.4 Gap Roadmap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section — all 17 gaps with owners and timelines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9.5 Maturity Model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New section — five-level domain maturity model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10.8 Integration Gate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checklist gate (4 items)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2.1, +A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10.9 EE Gate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New checklist gate (4 items)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2.2,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10.10 Composability Gate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checklist gate (7 items)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3.1, 3.2, +C</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11.3 Skills and Enablement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 1 — Awareness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 2 — Practitioner</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 3 — Expert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Ansible fundamentals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 read a playbook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 write and debug a playbook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 design complex roles and workflows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AAP platform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Knows what AAP does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Can create and manage job templates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Can configure organizations, EEs, workflows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standards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Aware the standards exist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 write standards-compliant automation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 review others' work for compliance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Domain-specific automation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Knows manual procedure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Can automate single procedures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Can design multi-procedure automation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Security (Secured by Design)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Knows credentials must be secured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 implement CyberArk/Key Vault retrieval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 design least-privilege identities</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11.4 Developer Experience: Starter Kit and Standards Portal</w:t>
      </w:r>
    </w:p>
    <w:p>
      <w:pPr>
        <w:pStyle w:val="Heading3"/>
        <w:spacing w:after="60" w:before="180"/>
      </w:pPr>
      <w:r>
        <w:rPr>
          <w:rFonts w:ascii="Arial" w:cs="Arial" w:eastAsia="Arial" w:hAnsi="Arial"/>
          <w:b/>
          <w:bCs/>
          <w:color w:val="2E75B6"/>
          <w:sz w:val="22"/>
          <w:szCs w:val="22"/>
        </w:rPr>
        <w:t xml:space="preserve">Scaffolding Tool (aap-new)</w:t>
      </w:r>
    </w:p>
    <w:p>
      <w:pPr>
        <w:spacing w:after="120"/>
      </w:pPr>
      <w:r>
        <w:rPr>
          <w:rFonts w:ascii="Arial" w:cs="Arial" w:eastAsia="Arial" w:hAnsi="Arial"/>
          <w:i w:val="false"/>
          <w:iCs w:val="false"/>
          <w:color w:val="404040"/>
          <w:sz w:val="22"/>
          <w:szCs w:val="22"/>
        </w:rPr>
        <w:t xml:space="preserve">A CLI tool that generates a compliant automation project skeleton with operator header, safe execution pre-checks, catalog-entry.yml, ee-requirements.yml, and test scaffolds pre-wired. Engineers write logic — all compliance plumbing is solved by the scaffold.</w:t>
      </w:r>
    </w:p>
    <w:p>
      <w:pPr>
        <w:spacing w:after="60"/>
      </w:pPr>
      <w:r>
        <w:t xml:space="preserve"/>
      </w:r>
    </w:p>
    <w:p>
      <w:pPr>
        <w:spacing w:after="120"/>
      </w:pPr>
      <w:r>
        <w:rPr>
          <w:rFonts w:ascii="Arial" w:cs="Arial" w:eastAsia="Arial" w:hAnsi="Arial"/>
          <w:i w:val="false"/>
          <w:iCs w:val="false"/>
          <w:color w:val="404040"/>
          <w:sz w:val="22"/>
          <w:szCs w:val="22"/>
        </w:rPr>
        <w:t xml:space="preserve">Generated project structure:</w:t>
      </w:r>
    </w:p>
    <w:p>
      <w:pPr>
        <w:shd w:fill="F5F5F5" w:val="clear"/>
        <w:spacing w:after="40"/>
        <w:ind w:left="360"/>
      </w:pPr>
      <w:r>
        <w:rPr>
          <w:rFonts w:ascii="Courier New" w:cs="Courier New" w:eastAsia="Courier New" w:hAnsi="Courier New"/>
          <w:color w:val="1A1A2E"/>
          <w:sz w:val="18"/>
          <w:szCs w:val="18"/>
        </w:rPr>
        <w:t xml:space="preserve">linux-patch-host/</w:t>
      </w:r>
    </w:p>
    <w:p>
      <w:pPr>
        <w:shd w:fill="F5F5F5" w:val="clear"/>
        <w:spacing w:after="40"/>
        <w:ind w:left="360"/>
      </w:pPr>
      <w:r>
        <w:rPr>
          <w:rFonts w:ascii="Courier New" w:cs="Courier New" w:eastAsia="Courier New" w:hAnsi="Courier New"/>
          <w:color w:val="1A1A2E"/>
          <w:sz w:val="18"/>
          <w:szCs w:val="18"/>
        </w:rPr>
        <w:t xml:space="preserve">  linux-patch-host.yml       # Playbook with operator header pre-filled</w:t>
      </w:r>
    </w:p>
    <w:p>
      <w:pPr>
        <w:shd w:fill="F5F5F5" w:val="clear"/>
        <w:spacing w:after="40"/>
        <w:ind w:left="360"/>
      </w:pPr>
      <w:r>
        <w:rPr>
          <w:rFonts w:ascii="Courier New" w:cs="Courier New" w:eastAsia="Courier New" w:hAnsi="Courier New"/>
          <w:color w:val="1A1A2E"/>
          <w:sz w:val="18"/>
          <w:szCs w:val="18"/>
        </w:rPr>
        <w:t xml:space="preserve">  catalog-entry.yml          # Interface declaration pre-populated</w:t>
      </w:r>
    </w:p>
    <w:p>
      <w:pPr>
        <w:shd w:fill="F5F5F5" w:val="clear"/>
        <w:spacing w:after="40"/>
        <w:ind w:left="360"/>
      </w:pPr>
      <w:r>
        <w:rPr>
          <w:rFonts w:ascii="Courier New" w:cs="Courier New" w:eastAsia="Courier New" w:hAnsi="Courier New"/>
          <w:color w:val="1A1A2E"/>
          <w:sz w:val="18"/>
          <w:szCs w:val="18"/>
        </w:rPr>
        <w:t xml:space="preserve">  ee-requirements.yml        # Base EE for domain pre-selected</w:t>
      </w:r>
    </w:p>
    <w:p>
      <w:pPr>
        <w:shd w:fill="F5F5F5" w:val="clear"/>
        <w:spacing w:after="40"/>
        <w:ind w:left="360"/>
      </w:pPr>
      <w:r>
        <w:rPr>
          <w:rFonts w:ascii="Courier New" w:cs="Courier New" w:eastAsia="Courier New" w:hAnsi="Courier New"/>
          <w:color w:val="1A1A2E"/>
          <w:sz w:val="18"/>
          <w:szCs w:val="18"/>
        </w:rPr>
        <w:t xml:space="preserve">  roles/patch/tasks/main.yml # Safe execution pre-checks pre-wired</w:t>
      </w:r>
    </w:p>
    <w:p>
      <w:pPr>
        <w:shd w:fill="F5F5F5" w:val="clear"/>
        <w:spacing w:after="40"/>
        <w:ind w:left="360"/>
      </w:pPr>
      <w:r>
        <w:rPr>
          <w:rFonts w:ascii="Courier New" w:cs="Courier New" w:eastAsia="Courier New" w:hAnsi="Courier New"/>
          <w:color w:val="1A1A2E"/>
          <w:sz w:val="18"/>
          <w:szCs w:val="18"/>
        </w:rPr>
        <w:t xml:space="preserve">  tests/test_idempotency.yml # Second-run test scaffold</w:t>
      </w:r>
    </w:p>
    <w:p>
      <w:pPr>
        <w:shd w:fill="F5F5F5" w:val="clear"/>
        <w:spacing w:after="40"/>
        <w:ind w:left="360"/>
      </w:pPr>
      <w:r>
        <w:rPr>
          <w:rFonts w:ascii="Courier New" w:cs="Courier New" w:eastAsia="Courier New" w:hAnsi="Courier New"/>
          <w:color w:val="1A1A2E"/>
          <w:sz w:val="18"/>
          <w:szCs w:val="18"/>
        </w:rPr>
        <w:t xml:space="preserve">  tests/test_backout.yml     # Backout trigger test scaffold</w:t>
      </w:r>
    </w:p>
    <w:p>
      <w:pPr>
        <w:shd w:fill="F5F5F5" w:val="clear"/>
        <w:spacing w:after="40"/>
        <w:ind w:left="360"/>
      </w:pPr>
      <w:r>
        <w:rPr>
          <w:rFonts w:ascii="Courier New" w:cs="Courier New" w:eastAsia="Courier New" w:hAnsi="Courier New"/>
          <w:color w:val="1A1A2E"/>
          <w:sz w:val="18"/>
          <w:szCs w:val="18"/>
        </w:rPr>
        <w:t xml:space="preserve">  .ansible-lint              # Linting config pre-configured</w:t>
      </w:r>
    </w:p>
    <w:p>
      <w:pPr>
        <w:shd w:fill="F5F5F5" w:val="clear"/>
        <w:spacing w:after="40"/>
        <w:ind w:left="360"/>
      </w:pPr>
      <w:r>
        <w:rPr>
          <w:rFonts w:ascii="Courier New" w:cs="Courier New" w:eastAsia="Courier New" w:hAnsi="Courier New"/>
          <w:color w:val="1A1A2E"/>
          <w:sz w:val="18"/>
          <w:szCs w:val="18"/>
        </w:rPr>
        <w:t xml:space="preserve">  .gitlab-ci.yml             # Pipeline with all gates pre-configured</w:t>
      </w:r>
    </w:p>
    <w:p>
      <w:pPr>
        <w:spacing w:after="60"/>
      </w:pPr>
      <w:r>
        <w:t xml:space="preserve"/>
      </w:r>
    </w:p>
    <w:p>
      <w:pPr>
        <w:spacing w:after="120"/>
      </w:pPr>
      <w:r>
        <w:rPr>
          <w:rFonts w:ascii="Arial" w:cs="Arial" w:eastAsia="Arial" w:hAnsi="Arial"/>
          <w:i w:val="false"/>
          <w:iCs w:val="false"/>
          <w:color w:val="404040"/>
          <w:sz w:val="22"/>
          <w:szCs w:val="22"/>
        </w:rPr>
        <w:t xml:space="preserve">See Section 11.4 in the Markdown version for full Python source code of the scaffolding tool.</w:t>
      </w:r>
    </w:p>
    <w:p>
      <w:pPr>
        <w:spacing w:after="60"/>
      </w:pPr>
      <w:r>
        <w:t xml:space="preserve"/>
      </w:r>
    </w:p>
    <w:p>
      <w:pPr>
        <w:pStyle w:val="Heading3"/>
        <w:spacing w:after="60" w:before="180"/>
      </w:pPr>
      <w:r>
        <w:rPr>
          <w:rFonts w:ascii="Arial" w:cs="Arial" w:eastAsia="Arial" w:hAnsi="Arial"/>
          <w:b/>
          <w:bCs/>
          <w:color w:val="2E75B6"/>
          <w:sz w:val="22"/>
          <w:szCs w:val="22"/>
        </w:rPr>
        <w:t xml:space="preserve">Standards Portal Structure</w:t>
      </w:r>
    </w:p>
    <w:p>
      <w:pPr>
        <w:shd w:fill="F5F5F5" w:val="clear"/>
        <w:spacing w:after="40"/>
        <w:ind w:left="360"/>
      </w:pPr>
      <w:r>
        <w:rPr>
          <w:rFonts w:ascii="Courier New" w:cs="Courier New" w:eastAsia="Courier New" w:hAnsi="Courier New"/>
          <w:color w:val="1A1A2E"/>
          <w:sz w:val="18"/>
          <w:szCs w:val="18"/>
        </w:rPr>
        <w:t xml:space="preserve">standards.metlife.internal/automation/</w:t>
      </w:r>
    </w:p>
    <w:p>
      <w:pPr>
        <w:shd w:fill="F5F5F5" w:val="clear"/>
        <w:spacing w:after="40"/>
        <w:ind w:left="360"/>
      </w:pPr>
      <w:r>
        <w:rPr>
          <w:rFonts w:ascii="Courier New" w:cs="Courier New" w:eastAsia="Courier New" w:hAnsi="Courier New"/>
          <w:color w:val="1A1A2E"/>
          <w:sz w:val="18"/>
          <w:szCs w:val="18"/>
        </w:rPr>
        <w:t xml:space="preserve">  overview/          # One-page framework summary</w:t>
      </w:r>
    </w:p>
    <w:p>
      <w:pPr>
        <w:shd w:fill="F5F5F5" w:val="clear"/>
        <w:spacing w:after="40"/>
        <w:ind w:left="360"/>
      </w:pPr>
      <w:r>
        <w:rPr>
          <w:rFonts w:ascii="Courier New" w:cs="Courier New" w:eastAsia="Courier New" w:hAnsi="Courier New"/>
          <w:color w:val="1A1A2E"/>
          <w:sz w:val="18"/>
          <w:szCs w:val="18"/>
        </w:rPr>
        <w:t xml:space="preserve">  standards/         # All ten standards with TL;DR + checklist + examples</w:t>
      </w:r>
    </w:p>
    <w:p>
      <w:pPr>
        <w:shd w:fill="F5F5F5" w:val="clear"/>
        <w:spacing w:after="40"/>
        <w:ind w:left="360"/>
      </w:pPr>
      <w:r>
        <w:rPr>
          <w:rFonts w:ascii="Courier New" w:cs="Courier New" w:eastAsia="Courier New" w:hAnsi="Courier New"/>
          <w:color w:val="1A1A2E"/>
          <w:sz w:val="18"/>
          <w:szCs w:val="18"/>
        </w:rPr>
        <w:t xml:space="preserve">  getting-started/   # Step-by-step: zero to first compliant job template</w:t>
      </w:r>
    </w:p>
    <w:p>
      <w:pPr>
        <w:shd w:fill="F5F5F5" w:val="clear"/>
        <w:spacing w:after="40"/>
        <w:ind w:left="360"/>
      </w:pPr>
      <w:r>
        <w:rPr>
          <w:rFonts w:ascii="Courier New" w:cs="Courier New" w:eastAsia="Courier New" w:hAnsi="Courier New"/>
          <w:color w:val="1A1A2E"/>
          <w:sz w:val="18"/>
          <w:szCs w:val="18"/>
        </w:rPr>
        <w:t xml:space="preserve">  reference-impl/    # Links to Azure DevOps reference implementations</w:t>
      </w:r>
    </w:p>
    <w:p>
      <w:pPr>
        <w:shd w:fill="F5F5F5" w:val="clear"/>
        <w:spacing w:after="40"/>
        <w:ind w:left="360"/>
      </w:pPr>
      <w:r>
        <w:rPr>
          <w:rFonts w:ascii="Courier New" w:cs="Courier New" w:eastAsia="Courier New" w:hAnsi="Courier New"/>
          <w:color w:val="1A1A2E"/>
          <w:sz w:val="18"/>
          <w:szCs w:val="18"/>
        </w:rPr>
        <w:t xml:space="preserve">  catalog/           # Browse/search the automation catalog</w:t>
      </w:r>
    </w:p>
    <w:p>
      <w:pPr>
        <w:shd w:fill="F5F5F5" w:val="clear"/>
        <w:spacing w:after="40"/>
        <w:ind w:left="360"/>
      </w:pPr>
      <w:r>
        <w:rPr>
          <w:rFonts w:ascii="Courier New" w:cs="Courier New" w:eastAsia="Courier New" w:hAnsi="Courier New"/>
          <w:color w:val="1A1A2E"/>
          <w:sz w:val="18"/>
          <w:szCs w:val="18"/>
        </w:rPr>
        <w:t xml:space="preserve">  checklist/         # Interactive production approval checklist</w:t>
      </w:r>
    </w:p>
    <w:p>
      <w:pPr>
        <w:shd w:fill="F5F5F5" w:val="clear"/>
        <w:spacing w:after="40"/>
        <w:ind w:left="360"/>
      </w:pPr>
      <w:r>
        <w:rPr>
          <w:rFonts w:ascii="Courier New" w:cs="Courier New" w:eastAsia="Courier New" w:hAnsi="Courier New"/>
          <w:color w:val="1A1A2E"/>
          <w:sz w:val="18"/>
          <w:szCs w:val="18"/>
        </w:rPr>
        <w:t xml:space="preserve">  maturity/          # Domain maturity scores and advancement criteria</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Ansible Automation Platform — Red Hat's enterprise automation product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Active Directory — Microsoft's directory service for identity and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Automatic Recovery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Recovery initiated without human action — triggered automatically by the automation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Automation Catalog [New v0.2]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Central registry of all production automation assets — single source of truth for discovery, governance, and ROI reporting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Maturity Model [New 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Five-level model (Manual → Scripted → Standards-compliant → Composable → Autonomous) applied per infrastructure domain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Backout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Automated reversal of a change to restore a known good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CMDB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Configuration Management Database — ServiceNow's asset and configuration record store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Centre of Excellence — the Automation Centre of Excellence, owner of the Automation Standards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Composability [New 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design property allowing an automation asset to be called by other automation without modification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Control Node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AAP server responsible for job dispatch, UI, and API handling. Load balanced across 3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CyberArk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Approved privileged access management and secret storage 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EDA [New v0.2]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Event-Driven Ansible — Red Hat's event-driven automation controller. Consumes events, triggers AAP job templates.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Execution Environment (EE) [New 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Versioned, immutable container image defining runtime dependencies for automation. Every production automation declares a specific EE.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Execution Node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AAP server that runs automation jobs. Scoped per organization.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High-Risk Automation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meeting any of five criteria: production-wide scope, destructive operations, security policy changes, identity/access changes, network perimeter changes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Idempotency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Producing the same outcome whether run once or multiple times against the same target in the same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Integration Layer [New 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Event bus or API gateway abstracting AAP from external systems. No external system calls AAP's API directly.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Job Template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Reusable automation definition in AAP combining playbook, inventory, credentials, EE, and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Known Good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 state previously observed, verified as stable, and proven restorable through automation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Layer 4/5 Standards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ten automation standards (seven original + three new in v0.2) governing how automation is designed, built, tested, and operated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Operator Header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Mandatory structured block at the top of every production automation entrypoint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RBAC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Role-Based Access 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Automated restoration of a system to its verified pre-change 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Satellite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Red Hat Satellite — patch and configuration management platform, primary AAP inventory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Separation of Duties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Requirement that the author of a change is not the sole approver, applied to high-risk automation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SLA Binding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Classification attribute indicating whether an automation asset contributes to a formal service level commitment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Toil Register [New 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Formal log of recurring manual operational work used to drive automation backlog prioritization</w:t>
            </w:r>
          </w:p>
        </w:tc>
      </w:tr>
    </w:tbl>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13.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 Resource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AAP High-Level Architecture Diagram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[Link to source file in Azure DevOps]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AAP Firewall Traffic Diagram</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[Link to source file in Azure DevOps]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Automation Standards Template Repository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https://dev.azure.com/MetLife-Global/AIOPS/_git/13731_Automation_Reference_Implementations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Naming, Metadata, and Classification Standard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naming-metadata-and-classification.md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Safe Execution Standard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safe-execution.md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Secured by Design Standard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secured-by-design.md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Idempotency and Re-runnable Behavior Standard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idempotency-and-re-runnable-behavior.md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Automatic Backout and Recovery Standard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automatic-backout-and-recovery.md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Tested Before Production Standard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tested-before-production.md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Observability, Logging, and Reportability Standard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observability-logging-and-reportability.md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Integration Architecture Standard [New v0.2]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integration-architecture.md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EE Standardization Standard [New v0.2]</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ee-standardization.md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Discoverability and Composability Standard [New v0.2]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discoverability-composability.md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Red Hat AAP Official Documentation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https://docs.redhat.com/en/documentation/red_hat_ansible_automation_platform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 Hat Event-Driven Ansible Documentation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https://docs.redhat.com/en/documentation/red_hat_ansible_automation_platform/2.4/html/getting_started_with_event-driven_ansible_guide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AAP Infrastructure Server List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[Link to CMDB record / runbook]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Azure DevOps Repository Structure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[Link to AAP org in Azure DevOps]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Exception Request Template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../templates/exception-request-template.md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Operator Header Template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../templates/operator-header-template.md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catalog-entry.yml Schema Reference [New v0.2]</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../templates/catalog-entry-schema.yml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ee-requirements.yml Template [New v0.2]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../templates/ee-requirements-template.yml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Han's Gap Analysis — curated list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[Link to original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888888"/>
        <w:sz w:val="18"/>
        <w:szCs w:val="18"/>
      </w:rPr>
      <w:t xml:space="preserve">Automation Centre of Excellence | MetLife Infrastructure Engineering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0"/>
    </w:pPr>
    <w:r>
      <w:rPr>
        <w:rFonts w:ascii="Arial" w:cs="Arial" w:eastAsia="Arial" w:hAnsi="Arial"/>
        <w:color w:val="888888"/>
        <w:sz w:val="18"/>
        <w:szCs w:val="18"/>
      </w:rPr>
      <w:t xml:space="preserve">EA Document v0.2 — Automation Platform &amp; Standards Framework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2026-04-03T05:17:16.656Z</dcterms:created>
  <dcterms:modified xsi:type="dcterms:W3CDTF">2026-04-03T05:17:16.659Z</dcterms:modified>
</cp:coreProperties>
</file>

<file path=docProps/custom.xml><?xml version="1.0" encoding="utf-8"?>
<Properties xmlns="http://schemas.openxmlformats.org/officeDocument/2006/custom-properties" xmlns:vt="http://schemas.openxmlformats.org/officeDocument/2006/docPropsVTypes"/>
</file>