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 xml:space="preserve"/>
      </w:r>
    </w:p>
    <w:p>
      <w:pPr>
        <w:spacing w:after="60"/>
      </w:pPr>
      <w:r>
        <w:t xml:space="preserve"/>
      </w:r>
    </w:p>
    <w:p>
      <w:pPr>
        <w:spacing w:after="60"/>
      </w:pPr>
      <w:r>
        <w:t xml:space="preserve"/>
      </w:r>
    </w:p>
    <w:p>
      <w:pPr>
        <w:spacing w:after="240"/>
        <w:jc w:val="center"/>
      </w:pPr>
      <w:r>
        <w:rPr>
          <w:rFonts w:ascii="Arial" w:cs="Arial" w:eastAsia="Arial" w:hAnsi="Arial"/>
          <w:b/>
          <w:bCs/>
          <w:color w:val="1F4E79"/>
          <w:sz w:val="52"/>
          <w:szCs w:val="52"/>
        </w:rPr>
        <w:t xml:space="preserve">ENTERPRISE ARCHITECTURE DOCUMENT</w:t>
      </w:r>
    </w:p>
    <w:p>
      <w:pPr>
        <w:spacing w:after="120"/>
        <w:jc w:val="center"/>
      </w:pPr>
      <w:r>
        <w:rPr>
          <w:rFonts w:ascii="Arial" w:cs="Arial" w:eastAsia="Arial" w:hAnsi="Arial"/>
          <w:color w:val="2E75B6"/>
          <w:sz w:val="36"/>
          <w:szCs w:val="36"/>
        </w:rPr>
        <w:t xml:space="preserve">Automation Platform &amp; Standards Framework</w:t>
      </w:r>
    </w:p>
    <w:p>
      <w:pPr>
        <w:spacing w:after="720"/>
        <w:jc w:val="center"/>
      </w:pPr>
      <w:r>
        <w:rPr>
          <w:rFonts w:ascii="Arial" w:cs="Arial" w:eastAsia="Arial" w:hAnsi="Arial"/>
          <w:color w:val="404040"/>
          <w:sz w:val="28"/>
          <w:szCs w:val="28"/>
        </w:rPr>
        <w:t xml:space="preserve">Ansible Automation Platform (AAP) — MetLife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Document Status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Draft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Owner</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Automation Centre of Excellence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Last Reviewed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2026-03-17</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Classification</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Internal — Infrastructure Engineering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0.1</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Platform</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Ansible Automation Platform (AAP)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Environment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aap.metlife.com</w:t>
            </w:r>
          </w:p>
        </w:tc>
      </w:tr>
    </w:tbl>
    <w:p>
      <w:pPr>
        <w:spacing w:after="60"/>
      </w:pPr>
      <w:r>
        <w:t xml:space="preserve"/>
      </w:r>
    </w:p>
    <w:p>
      <w:pPr>
        <w:spacing w:after="60"/>
      </w:pPr>
      <w:r>
        <w:t xml:space="preserve"/>
      </w:r>
    </w:p>
    <w:p>
      <w:pPr>
        <w:spacing w:after="60"/>
      </w:pPr>
      <w:r>
        <w:t xml:space="preserve"/>
      </w:r>
    </w:p>
    <w:p>
      <w:pPr>
        <w:spacing w:after="60"/>
      </w:pPr>
      <w:r>
        <w:t xml:space="preserve"/>
      </w:r>
    </w:p>
    <w:p>
      <w:pPr>
        <w:jc w:val="center"/>
      </w:pPr>
      <w:r>
        <w:rPr>
          <w:rFonts w:ascii="Arial" w:cs="Arial" w:eastAsia="Arial" w:hAnsi="Arial"/>
          <w:color w:val="888888"/>
          <w:sz w:val="18"/>
          <w:szCs w:val="18"/>
        </w:rPr>
        <w:t xml:space="preserve">Automation Centre of Excellence | Infrastructure Engineering &amp; Operations</w:t>
      </w:r>
    </w:p>
    <w:p>
      <w:r>
        <w:br w:type="page"/>
      </w:r>
    </w:p>
    <w:p>
      <w:pPr>
        <w:pStyle w:val="Heading1"/>
        <w:pBdr>
          <w:bottom w:val="single" w:color="2E75B6" w:sz="6"/>
        </w:pBdr>
        <w:shd w:fill="1F4E79" w:val="clear"/>
        <w:spacing w:after="120" w:before="360"/>
      </w:pPr>
      <w:r>
        <w:rPr>
          <w:rFonts w:ascii="Arial" w:cs="Arial" w:eastAsia="Arial" w:hAnsi="Arial"/>
          <w:b/>
          <w:bCs/>
          <w:color w:val="FFFFFF"/>
          <w:sz w:val="32"/>
          <w:szCs w:val="32"/>
        </w:rPr>
        <w:t xml:space="preserve">1. Introduction</w:t>
      </w:r>
    </w:p>
    <w:p>
      <w:pPr>
        <w:pStyle w:val="Heading2"/>
        <w:pBdr>
          <w:bottom w:val="single" w:color="2E75B6" w:sz="4"/>
        </w:pBdr>
        <w:spacing w:after="80" w:before="240"/>
      </w:pPr>
      <w:r>
        <w:rPr>
          <w:rFonts w:ascii="Arial" w:cs="Arial" w:eastAsia="Arial" w:hAnsi="Arial"/>
          <w:b/>
          <w:bCs/>
          <w:color w:val="1F4E79"/>
          <w:sz w:val="26"/>
          <w:szCs w:val="26"/>
        </w:rPr>
        <w:t xml:space="preserve">1.1 Purpose</w:t>
      </w:r>
    </w:p>
    <w:p>
      <w:pPr>
        <w:spacing w:after="120"/>
      </w:pPr>
      <w:r>
        <w:rPr>
          <w:rFonts w:ascii="Arial" w:cs="Arial" w:eastAsia="Arial" w:hAnsi="Arial"/>
          <w:color w:val="404040"/>
          <w:sz w:val="22"/>
          <w:szCs w:val="22"/>
        </w:rPr>
        <w:t xml:space="preserve">This Enterprise Architecture Document defines the architecture, operational standards, and governance model for the Ansible Automation Platform (AAP) deployment at MetLife. It serves as the single authoritative reference for the infrastructure automation platform — covering both the physical and logical architecture of the platform itself, and the Layer 4 automation standards that govern every piece of automation running on it.</w:t>
      </w:r>
    </w:p>
    <w:p>
      <w:pPr>
        <w:spacing w:after="120"/>
      </w:pPr>
      <w:r>
        <w:rPr>
          <w:rFonts w:ascii="Arial" w:cs="Arial" w:eastAsia="Arial" w:hAnsi="Arial"/>
          <w:color w:val="404040"/>
          <w:sz w:val="22"/>
          <w:szCs w:val="22"/>
        </w:rPr>
        <w:t xml:space="preserve">This document bridges two concerns that must be read together: the platform architecture that hosts automation, and the standards framework that governs it. Neither is meaningful without the other.</w:t>
      </w:r>
    </w:p>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1.2 Scope</w:t>
      </w:r>
    </w:p>
    <w:p>
      <w:pPr>
        <w:spacing w:after="120"/>
      </w:pPr>
      <w:r>
        <w:rPr>
          <w:rFonts w:ascii="Arial" w:cs="Arial" w:eastAsia="Arial" w:hAnsi="Arial"/>
          <w:color w:val="404040"/>
          <w:sz w:val="22"/>
          <w:szCs w:val="22"/>
        </w:rPr>
        <w:t xml:space="preserve">This document covers:</w:t>
      </w:r>
    </w:p>
    <w:p>
      <w:pPr>
        <w:pStyle w:val="ListParagraph"/>
        <w:numPr>
          <w:ilvl w:val="0"/>
          <w:numId w:val="2"/>
        </w:numPr>
        <w:spacing w:after="60"/>
      </w:pPr>
      <w:r>
        <w:rPr>
          <w:rFonts w:ascii="Arial" w:cs="Arial" w:eastAsia="Arial" w:hAnsi="Arial"/>
          <w:color w:val="404040"/>
          <w:sz w:val="22"/>
          <w:szCs w:val="22"/>
        </w:rPr>
        <w:t xml:space="preserve">The AAP platform architecture — control nodes, execution nodes, inventory integration, source control, access management, and network/firewall configuration</w:t>
      </w:r>
    </w:p>
    <w:p>
      <w:pPr>
        <w:pStyle w:val="ListParagraph"/>
        <w:numPr>
          <w:ilvl w:val="0"/>
          <w:numId w:val="2"/>
        </w:numPr>
        <w:spacing w:after="60"/>
      </w:pPr>
      <w:r>
        <w:rPr>
          <w:rFonts w:ascii="Arial" w:cs="Arial" w:eastAsia="Arial" w:hAnsi="Arial"/>
          <w:color w:val="404040"/>
          <w:sz w:val="22"/>
          <w:szCs w:val="22"/>
        </w:rPr>
        <w:t xml:space="preserve">The Automation Standards Framework — the seven Layer 4 standards that define how every automation running on the platform must be designed, tested, secured, and operated</w:t>
      </w:r>
    </w:p>
    <w:p>
      <w:pPr>
        <w:pStyle w:val="ListParagraph"/>
        <w:numPr>
          <w:ilvl w:val="0"/>
          <w:numId w:val="2"/>
        </w:numPr>
        <w:spacing w:after="60"/>
      </w:pPr>
      <w:r>
        <w:rPr>
          <w:rFonts w:ascii="Arial" w:cs="Arial" w:eastAsia="Arial" w:hAnsi="Arial"/>
          <w:color w:val="404040"/>
          <w:sz w:val="22"/>
          <w:szCs w:val="22"/>
        </w:rPr>
        <w:t xml:space="preserve">Governance model — classification, lifecycle management, approval gates, and change control</w:t>
      </w:r>
    </w:p>
    <w:p>
      <w:pPr>
        <w:pStyle w:val="ListParagraph"/>
        <w:numPr>
          <w:ilvl w:val="0"/>
          <w:numId w:val="2"/>
        </w:numPr>
        <w:spacing w:after="60"/>
      </w:pPr>
      <w:r>
        <w:rPr>
          <w:rFonts w:ascii="Arial" w:cs="Arial" w:eastAsia="Arial" w:hAnsi="Arial"/>
          <w:color w:val="404040"/>
          <w:sz w:val="22"/>
          <w:szCs w:val="22"/>
        </w:rPr>
        <w:t xml:space="preserve">Non-functional requirements — availability, security, observability, and disaster recovery</w:t>
      </w:r>
    </w:p>
    <w:p>
      <w:pPr>
        <w:spacing w:after="120"/>
      </w:pPr>
      <w:r>
        <w:rPr>
          <w:rFonts w:ascii="Arial" w:cs="Arial" w:eastAsia="Arial" w:hAnsi="Arial"/>
          <w:color w:val="404040"/>
          <w:sz w:val="22"/>
          <w:szCs w:val="22"/>
        </w:rPr>
        <w:t xml:space="preserve">Out of scope: individual playbook implementations, business application automation logic, and ServiceNow workflow design.</w:t>
      </w:r>
    </w:p>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1.3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Relevance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Infrastructure Engineering &amp; Operations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Platform owners and automation authors — all sections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Platform &amp; Network Architects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Sections 2, 3, 4, and 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Security &amp; Compliance Teams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Sections 3.4, 6, and 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Automation Governance / CoE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Sections 5, 6, 8, and Appendix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New Team Members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Sections 1, 2, and 4 as onboarding reference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Audit &amp; Risk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Sections 6, 7, and 8</w:t>
            </w:r>
          </w:p>
        </w:tc>
      </w:tr>
    </w:tbl>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1.4 Document Overview</w:t>
      </w:r>
    </w:p>
    <w:p>
      <w:pPr>
        <w:spacing w:after="120"/>
      </w:pPr>
      <w:r>
        <w:rPr>
          <w:rFonts w:ascii="Arial" w:cs="Arial" w:eastAsia="Arial" w:hAnsi="Arial"/>
          <w:color w:val="404040"/>
          <w:sz w:val="22"/>
          <w:szCs w:val="22"/>
        </w:rPr>
        <w:t xml:space="preserve">Sections 2–4 describe the current-state platform architecture. Section 5 defines the Automation Standards Framework and its seven standards. Sections 6–7 address security, compliance, and non-functional requirements. Section 8 defines governance and change management. Sections 9–10 provide reference material.</w:t>
      </w:r>
    </w:p>
    <w:p>
      <w:r>
        <w:br w:type="page"/>
      </w:r>
    </w:p>
    <w:p>
      <w:pPr>
        <w:pStyle w:val="Heading1"/>
        <w:pBdr>
          <w:bottom w:val="single" w:color="2E75B6" w:sz="6"/>
        </w:pBdr>
        <w:shd w:fill="1F4E79" w:val="clear"/>
        <w:spacing w:after="120" w:before="360"/>
      </w:pPr>
      <w:r>
        <w:rPr>
          <w:rFonts w:ascii="Arial" w:cs="Arial" w:eastAsia="Arial" w:hAnsi="Arial"/>
          <w:b/>
          <w:bCs/>
          <w:color w:val="FFFFFF"/>
          <w:sz w:val="32"/>
          <w:szCs w:val="32"/>
        </w:rPr>
        <w:t xml:space="preserve">2. Architectural Overview</w:t>
      </w:r>
    </w:p>
    <w:p>
      <w:pPr>
        <w:pStyle w:val="Heading2"/>
        <w:pBdr>
          <w:bottom w:val="single" w:color="2E75B6" w:sz="4"/>
        </w:pBdr>
        <w:spacing w:after="80" w:before="240"/>
      </w:pPr>
      <w:r>
        <w:rPr>
          <w:rFonts w:ascii="Arial" w:cs="Arial" w:eastAsia="Arial" w:hAnsi="Arial"/>
          <w:b/>
          <w:bCs/>
          <w:color w:val="1F4E79"/>
          <w:sz w:val="26"/>
          <w:szCs w:val="26"/>
        </w:rPr>
        <w:t xml:space="preserve">2.1 High-Level Architecture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8"/>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404040"/>
                <w:sz w:val="20"/>
                <w:szCs w:val="20"/>
              </w:rPr>
              <w:t xml:space="preserve">Insert: AAP Architecture - High Level Architecture diagram here. Diagram should include all control nodes, execution nodes, inventory sources, source control integration, and load balancer configuration. Note: this is a representative sample of the architecture, not the full landscape.</w:t>
            </w:r>
          </w:p>
        </w:tc>
      </w:tr>
    </w:tbl>
    <w:p>
      <w:pPr>
        <w:spacing w:after="60"/>
      </w:pPr>
      <w:r>
        <w:t xml:space="preserve"/>
      </w:r>
    </w:p>
    <w:p>
      <w:pPr>
        <w:spacing w:after="120"/>
      </w:pPr>
      <w:r>
        <w:rPr>
          <w:rFonts w:ascii="Arial" w:cs="Arial" w:eastAsia="Arial" w:hAnsi="Arial"/>
          <w:color w:val="404040"/>
          <w:sz w:val="22"/>
          <w:szCs w:val="22"/>
        </w:rPr>
        <w:t xml:space="preserve">Key architectural principles:</w:t>
      </w:r>
    </w:p>
    <w:p>
      <w:pPr>
        <w:pStyle w:val="ListParagraph"/>
        <w:numPr>
          <w:ilvl w:val="0"/>
          <w:numId w:val="2"/>
        </w:numPr>
        <w:spacing w:after="60"/>
      </w:pPr>
      <w:r>
        <w:rPr>
          <w:rFonts w:ascii="Arial" w:cs="Arial" w:eastAsia="Arial" w:hAnsi="Arial"/>
          <w:color w:val="404040"/>
          <w:sz w:val="22"/>
          <w:szCs w:val="22"/>
        </w:rPr>
        <w:t xml:space="preserve">Load-balanced control plane across 3 control nodes — no single point of failure at the dashboard and API tier</w:t>
      </w:r>
    </w:p>
    <w:p>
      <w:pPr>
        <w:pStyle w:val="ListParagraph"/>
        <w:numPr>
          <w:ilvl w:val="0"/>
          <w:numId w:val="2"/>
        </w:numPr>
        <w:spacing w:after="60"/>
      </w:pPr>
      <w:r>
        <w:rPr>
          <w:rFonts w:ascii="Arial" w:cs="Arial" w:eastAsia="Arial" w:hAnsi="Arial"/>
          <w:color w:val="404040"/>
          <w:sz w:val="22"/>
          <w:szCs w:val="22"/>
        </w:rPr>
        <w:t xml:space="preserve">Organization-scoped execution node isolation — each AAP organization runs jobs on dedicated execution nodes</w:t>
      </w:r>
    </w:p>
    <w:p>
      <w:pPr>
        <w:pStyle w:val="ListParagraph"/>
        <w:numPr>
          <w:ilvl w:val="0"/>
          <w:numId w:val="2"/>
        </w:numPr>
        <w:spacing w:after="60"/>
      </w:pPr>
      <w:r>
        <w:rPr>
          <w:rFonts w:ascii="Arial" w:cs="Arial" w:eastAsia="Arial" w:hAnsi="Arial"/>
          <w:color w:val="404040"/>
          <w:sz w:val="22"/>
          <w:szCs w:val="22"/>
        </w:rPr>
        <w:t xml:space="preserve">Centralized source control via Azure DevOps — all automation code versioned and access-controlled</w:t>
      </w:r>
    </w:p>
    <w:p>
      <w:pPr>
        <w:pStyle w:val="ListParagraph"/>
        <w:numPr>
          <w:ilvl w:val="0"/>
          <w:numId w:val="2"/>
        </w:numPr>
        <w:spacing w:after="60"/>
      </w:pPr>
      <w:r>
        <w:rPr>
          <w:rFonts w:ascii="Arial" w:cs="Arial" w:eastAsia="Arial" w:hAnsi="Arial"/>
          <w:color w:val="404040"/>
          <w:sz w:val="22"/>
          <w:szCs w:val="22"/>
        </w:rPr>
        <w:t xml:space="preserve">Dual inventory sourcing — Red Hat Satellite and ServiceNow CMDB provide dynamic inventory</w:t>
      </w:r>
    </w:p>
    <w:p>
      <w:pPr>
        <w:pStyle w:val="ListParagraph"/>
        <w:numPr>
          <w:ilvl w:val="0"/>
          <w:numId w:val="2"/>
        </w:numPr>
        <w:spacing w:after="60"/>
      </w:pPr>
      <w:r>
        <w:rPr>
          <w:rFonts w:ascii="Arial" w:cs="Arial" w:eastAsia="Arial" w:hAnsi="Arial"/>
          <w:color w:val="404040"/>
          <w:sz w:val="22"/>
          <w:szCs w:val="22"/>
        </w:rPr>
        <w:t xml:space="preserve">Identity-driven access — Active Directory group membership drives organization assignment within AAP</w:t>
      </w:r>
    </w:p>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2.2 Component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AAP Dashboard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Web UI accessible at aap.metlife.com — primary operator interface for job execution, scheduling, and monitoring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Control Nodes (×3)</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Load-balanced entry points for job dispatch, API, and dashboard access. Three nodes eliminate single-point-of-failure risk at the control layer.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Execution Nodes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Dedicated per organization. Isolate job execution by environment and load-balance jobs specific to each organization's targets.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Azure DevOps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Hosts all Ansible code repositories. Source of truth for all automation code, version history, and pipeline gates.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Red Hat Satellite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Primary inventory source. Provides managed host inventory and patch state data to AAP.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ServiceNow CMDB</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Secondary inventory source. Provides configuration item and asset data for inventory population.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Active Directory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Identity and access control. Group membership determines user access level and organization assignment in AAP.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Load Balancer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[Specify: vendor/product] — distributes user sessions and API calls across the 3 control nodes.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Public Code Dev Host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Shared platform for writing Ansible code only. Must not be targeted by any playbook or Job Template.</w:t>
            </w:r>
          </w:p>
        </w:tc>
      </w:tr>
    </w:tbl>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2.3 Data Flow &amp; Integration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8"/>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404040"/>
                <w:sz w:val="20"/>
                <w:szCs w:val="20"/>
              </w:rPr>
              <w:t xml:space="preserve">Insert: Data flow diagram showing authentication → inventory sync → code retrieval → job dispatch → execution flow.</w:t>
            </w:r>
          </w:p>
        </w:tc>
      </w:tr>
    </w:tbl>
    <w:p>
      <w:pPr>
        <w:spacing w:after="60"/>
      </w:pPr>
      <w:r>
        <w:t xml:space="preserve"/>
      </w:r>
    </w:p>
    <w:p>
      <w:pPr>
        <w:spacing w:after="120"/>
      </w:pPr>
      <w:r>
        <w:rPr>
          <w:rFonts w:ascii="Arial" w:cs="Arial" w:eastAsia="Arial" w:hAnsi="Arial"/>
          <w:color w:val="404040"/>
          <w:sz w:val="22"/>
          <w:szCs w:val="22"/>
        </w:rPr>
        <w:t xml:space="preserve">Integration flow summary:</w:t>
      </w:r>
    </w:p>
    <w:p>
      <w:pPr>
        <w:pStyle w:val="ListParagraph"/>
        <w:numPr>
          <w:ilvl w:val="0"/>
          <w:numId w:val="2"/>
        </w:numPr>
        <w:spacing w:after="60"/>
      </w:pPr>
      <w:r>
        <w:rPr>
          <w:rFonts w:ascii="Arial" w:cs="Arial" w:eastAsia="Arial" w:hAnsi="Arial"/>
          <w:color w:val="404040"/>
          <w:sz w:val="22"/>
          <w:szCs w:val="22"/>
        </w:rPr>
        <w:t xml:space="preserve">Authentication: Users authenticate via AD. SSO integration via [specify: SAML/LDAP/OAuth]. Group membership determines organization in AAP.</w:t>
      </w:r>
    </w:p>
    <w:p>
      <w:pPr>
        <w:pStyle w:val="ListParagraph"/>
        <w:numPr>
          <w:ilvl w:val="0"/>
          <w:numId w:val="2"/>
        </w:numPr>
        <w:spacing w:after="60"/>
      </w:pPr>
      <w:r>
        <w:rPr>
          <w:rFonts w:ascii="Arial" w:cs="Arial" w:eastAsia="Arial" w:hAnsi="Arial"/>
          <w:color w:val="404040"/>
          <w:sz w:val="22"/>
          <w:szCs w:val="22"/>
        </w:rPr>
        <w:t xml:space="preserve">Inventory: AAP pulls dynamic inventory from Satellite (Linux/infrastructure hosts) and ServiceNow CMDB (CMDB-registered assets) at job runtime.</w:t>
      </w:r>
    </w:p>
    <w:p>
      <w:pPr>
        <w:pStyle w:val="ListParagraph"/>
        <w:numPr>
          <w:ilvl w:val="0"/>
          <w:numId w:val="2"/>
        </w:numPr>
        <w:spacing w:after="60"/>
      </w:pPr>
      <w:r>
        <w:rPr>
          <w:rFonts w:ascii="Arial" w:cs="Arial" w:eastAsia="Arial" w:hAnsi="Arial"/>
          <w:color w:val="404040"/>
          <w:sz w:val="22"/>
          <w:szCs w:val="22"/>
        </w:rPr>
        <w:t xml:space="preserve">Code: Job Templates pull playbooks and roles from Azure DevOps repositories at execution time. All code is version-controlled and pipeline-gated before promotion.</w:t>
      </w:r>
    </w:p>
    <w:p>
      <w:pPr>
        <w:pStyle w:val="ListParagraph"/>
        <w:numPr>
          <w:ilvl w:val="0"/>
          <w:numId w:val="2"/>
        </w:numPr>
        <w:spacing w:after="60"/>
      </w:pPr>
      <w:r>
        <w:rPr>
          <w:rFonts w:ascii="Arial" w:cs="Arial" w:eastAsia="Arial" w:hAnsi="Arial"/>
          <w:color w:val="404040"/>
          <w:sz w:val="22"/>
          <w:szCs w:val="22"/>
        </w:rPr>
        <w:t xml:space="preserve">Execution: Control nodes dispatch jobs to the relevant organization's dedicated execution nodes. Execution nodes connect to target hosts over SSH (port 22) or WinRM (ports 5985/5986).</w:t>
      </w:r>
    </w:p>
    <w:p>
      <w:r>
        <w:br w:type="page"/>
      </w:r>
    </w:p>
    <w:p>
      <w:pPr>
        <w:pStyle w:val="Heading1"/>
        <w:pBdr>
          <w:bottom w:val="single" w:color="2E75B6" w:sz="6"/>
        </w:pBdr>
        <w:shd w:fill="1F4E79" w:val="clear"/>
        <w:spacing w:after="120" w:before="360"/>
      </w:pPr>
      <w:r>
        <w:rPr>
          <w:rFonts w:ascii="Arial" w:cs="Arial" w:eastAsia="Arial" w:hAnsi="Arial"/>
          <w:b/>
          <w:bCs/>
          <w:color w:val="FFFFFF"/>
          <w:sz w:val="32"/>
          <w:szCs w:val="32"/>
        </w:rPr>
        <w:t xml:space="preserve">3. Detailed Architecture</w:t>
      </w:r>
    </w:p>
    <w:p>
      <w:pPr>
        <w:pStyle w:val="Heading2"/>
        <w:pBdr>
          <w:bottom w:val="single" w:color="2E75B6" w:sz="4"/>
        </w:pBdr>
        <w:spacing w:after="80" w:before="240"/>
      </w:pPr>
      <w:r>
        <w:rPr>
          <w:rFonts w:ascii="Arial" w:cs="Arial" w:eastAsia="Arial" w:hAnsi="Arial"/>
          <w:b/>
          <w:bCs/>
          <w:color w:val="1F4E79"/>
          <w:sz w:val="26"/>
          <w:szCs w:val="26"/>
        </w:rPr>
        <w:t xml:space="preserve">3.1 Application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Platform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Ansible Automation Platform (AAP)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Version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[Specify version — e.g., AAP 2.4]</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Dashboard URL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aap.metlife.com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Organization model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Each AD group maps to a named AAP organization with dedicated execution resources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Job Template scope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Scoped per organization. Cross-organization access requires explicit permission grants.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Credential vault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[Specify: CyberArk / Azure Key Vault — per Secured by Design standard]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Notification integration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[Specify: email / ServiceNow / Teams notifications on job failure]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Webhook / event triggers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[Specify if applicable]</w:t>
            </w:r>
          </w:p>
        </w:tc>
      </w:tr>
    </w:tbl>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3.2 Infrastructure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8"/>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404040"/>
                <w:sz w:val="20"/>
                <w:szCs w:val="20"/>
              </w:rPr>
              <w:t xml:space="preserve">Insert: AAP Infrastructure Servers table — populate all hostnames, IPs, form factors, and specifications.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Server Role</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Hostname / IP | Specs | 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Control Node 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[Hostname] | [CPU/RAM/Disk] | Load balanced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Control Node 2</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[Hostname] | [CPU/RAM/Disk] | Load balanced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Control Node 3</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[Hostname] | [CPU/RAM/Disk] | Load balanced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Execution Node — Org 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[Hostname] | [CPU/RAM/Disk] | Dedicated per org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Execution Node — Org 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[Hostname] | [CPU/RAM/Disk] | Dedicated per org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Public Code Dev Host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[Hostname] | [CPU/RAM/Disk] | Code authoring only — NOT a playbook target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Database (AAP)</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[Hostname] | [CPU/RAM/Disk] | PostgreSQL backend for AAP state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8"/>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404040"/>
                <w:sz w:val="20"/>
                <w:szCs w:val="20"/>
              </w:rPr>
              <w:t xml:space="preserve">IMPORTANT: The Public Code Development Host is for writing Ansible code only. It must not be targeted by any playbook or Job Template under any circumstances.</w:t>
            </w:r>
          </w:p>
        </w:tc>
      </w:tr>
    </w:tbl>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3.3 Network Architecture (including Firewall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8"/>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404040"/>
                <w:sz w:val="20"/>
                <w:szCs w:val="20"/>
              </w:rPr>
              <w:t xml:space="preserve">Insert: AAP Architecture - Firewall Traffic diagram here.</w:t>
            </w:r>
          </w:p>
        </w:tc>
      </w:tr>
    </w:tbl>
    <w:p>
      <w:pPr>
        <w:spacing w:after="60"/>
      </w:pPr>
      <w:r>
        <w:t xml:space="preserve"/>
      </w:r>
    </w:p>
    <w:p>
      <w:pPr>
        <w:spacing w:after="120"/>
      </w:pPr>
      <w:r>
        <w:rPr>
          <w:rFonts w:ascii="Arial" w:cs="Arial" w:eastAsia="Arial" w:hAnsi="Arial"/>
          <w:color w:val="404040"/>
          <w:sz w:val="22"/>
          <w:szCs w:val="22"/>
        </w:rPr>
        <w:t xml:space="preserve">Firewall rule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Traffic Flow</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Protocol / Port | Direction | 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User → Load Balancer → Control Nodes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HTTPS / 443 | Inbound | Dashboard and API access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Control Nodes → Execution Nodes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[Specify port] | Internal | Job dispatch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Execution Nodes → Linux Targets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SSH / 22 | Outbound | Playbook execution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Execution Nodes → Windows Targets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WinRM / 5985–5986 | Outbound | Playbook execution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AAP → Red Hat Satellite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[Specify port] | Outbound | Inventory sync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AAP → ServiceNow CMDB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HTTPS / 443 | Outbound | Inventory sync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AAP → Azure DevOps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HTTPS / 443 | Outbound | Code retrieval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AAP → CyberArk / Key Vault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HTTPS / 443 | Outbound | Credential retrieval at runtime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AAP → AD / LDAP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[Specify port] | Outbound | Authentication and group sync</w:t>
            </w:r>
          </w:p>
        </w:tc>
      </w:tr>
    </w:tbl>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3.4 Security Architecture</w:t>
      </w:r>
    </w:p>
    <w:p>
      <w:pPr>
        <w:spacing w:after="120"/>
      </w:pPr>
      <w:r>
        <w:rPr>
          <w:rFonts w:ascii="Arial" w:cs="Arial" w:eastAsia="Arial" w:hAnsi="Arial"/>
          <w:color w:val="404040"/>
          <w:sz w:val="22"/>
          <w:szCs w:val="22"/>
        </w:rPr>
        <w:t xml:space="preserve">Security architecture is governed by the Secured by Design standard (see Section 5.2). The controls below define the platform-level security posture.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Control Area</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Authentication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Active Directory. SSO via [SAML/LDAP/OAuth — specify]. MFA required for production access [confirm].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Authorization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RBAC via AD group → AAP organization mapping. Least privilege per automation identity.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Credential management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CyberArk and Azure Key Vault. All secrets retrieved dynamically at runtime. No secrets in code or version control.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Secret masking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AAP masks secrets injected via platform credential store. Secrets from external stores masked by author obligation.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Audit logging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[Specify: SIEM integration, log destination, retention period]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Secret scanning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Pipeline scans all committed code for secret patterns before merge. Detected secrets block the PR.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Separation of duties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High-risk automation requires a second approver who did not author the change. AAP workflow approval nodes enforce this for self-service flows.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Environment isolation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Production and non-production automation identities are separate. Production identity does not have access to non-production and vice versa.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Encryption in transit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TLS [specify version] enforced on all control node communication.</w:t>
            </w:r>
          </w:p>
        </w:tc>
      </w:tr>
    </w:tbl>
    <w:p>
      <w:r>
        <w:br w:type="page"/>
      </w:r>
    </w:p>
    <w:p>
      <w:pPr>
        <w:pStyle w:val="Heading1"/>
        <w:pBdr>
          <w:bottom w:val="single" w:color="2E75B6" w:sz="6"/>
        </w:pBdr>
        <w:shd w:fill="1F4E79" w:val="clear"/>
        <w:spacing w:after="120" w:before="360"/>
      </w:pPr>
      <w:r>
        <w:rPr>
          <w:rFonts w:ascii="Arial" w:cs="Arial" w:eastAsia="Arial" w:hAnsi="Arial"/>
          <w:b/>
          <w:bCs/>
          <w:color w:val="FFFFFF"/>
          <w:sz w:val="32"/>
          <w:szCs w:val="32"/>
        </w:rPr>
        <w:t xml:space="preserve">4. Technology Stack</w:t>
      </w:r>
    </w:p>
    <w:p>
      <w:pPr>
        <w:pStyle w:val="Heading2"/>
        <w:pBdr>
          <w:bottom w:val="single" w:color="2E75B6" w:sz="4"/>
        </w:pBdr>
        <w:spacing w:after="80" w:before="240"/>
      </w:pPr>
      <w:r>
        <w:rPr>
          <w:rFonts w:ascii="Arial" w:cs="Arial" w:eastAsia="Arial" w:hAnsi="Arial"/>
          <w:b/>
          <w:bCs/>
          <w:color w:val="1F4E79"/>
          <w:sz w:val="26"/>
          <w:szCs w:val="26"/>
        </w:rPr>
        <w:t xml:space="preserve">4.1 Software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Product | Version | Vendor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Automation platform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Ansible Automation Platform | [version] | Red Hat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Source control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Azure DevOps | [version/tier] | Microsoft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Inventory — Linux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Red Hat Satellite | [version] | Red Hat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Inventory — CMDB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ServiceNow | [instance/version] | ServiceNow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Identity provider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Active Directory | [version] | Microsoft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Credential management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CyberArk and/or Azure Key Vault | [version] | CyberArk / Microsoft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Load balancer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[Product] | [version] | [Vendor]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Database (AAP backend)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PostgreSQL | [version] | Open Source / Red Hat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ITSM / Change management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ServiceNow | [instance] | ServiceNow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Observability / SIEM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[Product — e.g., Splunk, Dynatrace] | [version] | [Vendor]</w:t>
            </w:r>
          </w:p>
        </w:tc>
      </w:tr>
    </w:tbl>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4.2 Hardware / Infrastructure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 Factor | Quantity | Spec (CPU/RAM/Disk)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Control nodes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[VM/Physical] | 3 | [Specify]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Execution nodes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[VM/Physical] | [Count per org] | [Specify]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AAP database host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[VM/Physical] | 1 (+ standby) | [Specify]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Public code dev host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[VM/Physical] | 1 | [Specify]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Load balancer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[VM/Appliance] | [Count] | [Specify]</w:t>
            </w:r>
          </w:p>
        </w:tc>
      </w:tr>
    </w:tbl>
    <w:p>
      <w:r>
        <w:br w:type="page"/>
      </w:r>
    </w:p>
    <w:p>
      <w:pPr>
        <w:pStyle w:val="Heading1"/>
        <w:pBdr>
          <w:bottom w:val="single" w:color="2E75B6" w:sz="6"/>
        </w:pBdr>
        <w:shd w:fill="1F4E79" w:val="clear"/>
        <w:spacing w:after="120" w:before="360"/>
      </w:pPr>
      <w:r>
        <w:rPr>
          <w:rFonts w:ascii="Arial" w:cs="Arial" w:eastAsia="Arial" w:hAnsi="Arial"/>
          <w:b/>
          <w:bCs/>
          <w:color w:val="FFFFFF"/>
          <w:sz w:val="32"/>
          <w:szCs w:val="32"/>
        </w:rPr>
        <w:t xml:space="preserve">5. Automation Standards Framework</w:t>
      </w:r>
    </w:p>
    <w:p>
      <w:pPr>
        <w:spacing w:after="120"/>
      </w:pPr>
      <w:r>
        <w:rPr>
          <w:rFonts w:ascii="Arial" w:cs="Arial" w:eastAsia="Arial" w:hAnsi="Arial"/>
          <w:color w:val="404040"/>
          <w:sz w:val="22"/>
          <w:szCs w:val="22"/>
        </w:rPr>
        <w:t xml:space="preserve">The Automation Standards Framework defines how every automation running on this platform must be designed, built, tested, and operated. All standards are owned by the Automation Centre of Excellence (CoE) and enforced through approval gates before production promotion. The framework consists of seven Layer 4 standards.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Summary 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Naming, Metadata, and Classification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Every automation asset must carry a consistent functional name, a complete operator header, full classification across four dimensions, and a governed lifecycle.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Safe Execution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Automation must be scope-controlled, validate inputs before acting, classify failures explicitly, and behave safely under concurrent execution.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Secured by Design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Automation must operate with least privilege, retrieve credentials only from approved secret stores, never expose secrets in output, and require a second approver for high-risk changes.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Idempotency and Re-runnable Behavior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Automation must produce the same outcome whether run once or multiple times. Retries must be bounded. All waits must have explicit timeouts.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Automatic Backout and Recovery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Every state-changing automation must detect its own failures and restore affected systems to a known good state automatically, without human intervention.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Tested Before Production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Automation must be successfully executed and validated in a representative non-production environment, with idempotency, failure, and backout paths all tested and evidenced.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Observability, Logging, and Reportability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Every execution must produce structured, complete, consistent output sufficient to reconstruct what happened from the log alone, aggregable across teams and platforms.</w:t>
            </w:r>
          </w:p>
        </w:tc>
      </w:tr>
    </w:tbl>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5.1 Naming, Metadata, and Classification</w:t>
      </w:r>
    </w:p>
    <w:p>
      <w:pPr>
        <w:spacing w:after="120"/>
      </w:pPr>
      <w:r>
        <w:rPr>
          <w:rFonts w:ascii="Arial" w:cs="Arial" w:eastAsia="Arial" w:hAnsi="Arial"/>
          <w:color w:val="404040"/>
          <w:sz w:val="22"/>
          <w:szCs w:val="22"/>
        </w:rPr>
        <w:t xml:space="preserve">Owner: Automation Centre of Excellence | Status: Draft | Last Reviewed: 2026-03-17</w:t>
      </w:r>
    </w:p>
    <w:p>
      <w:pPr>
        <w:spacing w:after="120"/>
      </w:pPr>
      <w:r>
        <w:rPr>
          <w:rFonts w:ascii="Arial" w:cs="Arial" w:eastAsia="Arial" w:hAnsi="Arial"/>
          <w:color w:val="404040"/>
          <w:sz w:val="22"/>
          <w:szCs w:val="22"/>
        </w:rPr>
        <w:t xml:space="preserve">Asset naming follows the structure: [domain]-[action]-[target]. Approved domain prefixes: linux, windows, network, firewall, db, middleware, observability, bigdata, virt, aix, storage, mainframe, platform. Action must be a present-tense verb. Target identifies what is acted on, not who owns it.</w:t>
      </w:r>
    </w:p>
    <w:p>
      <w:pPr>
        <w:spacing w:after="120"/>
      </w:pPr>
      <w:r>
        <w:rPr>
          <w:rFonts w:ascii="Arial" w:cs="Arial" w:eastAsia="Arial" w:hAnsi="Arial"/>
          <w:color w:val="404040"/>
          <w:sz w:val="22"/>
          <w:szCs w:val="22"/>
        </w:rPr>
        <w:t xml:space="preserve">Every production automation entrypoint must include a complete operator header with the following mandatory fields:</w:t>
      </w:r>
    </w:p>
    <w:p>
      <w:pPr>
        <w:pStyle w:val="ListParagraph"/>
        <w:numPr>
          <w:ilvl w:val="0"/>
          <w:numId w:val="2"/>
        </w:numPr>
        <w:spacing w:after="60"/>
      </w:pPr>
      <w:r>
        <w:rPr>
          <w:rFonts w:ascii="Arial" w:cs="Arial" w:eastAsia="Arial" w:hAnsi="Arial"/>
          <w:color w:val="404040"/>
          <w:sz w:val="22"/>
          <w:szCs w:val="22"/>
        </w:rPr>
        <w:t xml:space="preserve">Name — exact catalog name</w:t>
      </w:r>
    </w:p>
    <w:p>
      <w:pPr>
        <w:pStyle w:val="ListParagraph"/>
        <w:numPr>
          <w:ilvl w:val="0"/>
          <w:numId w:val="2"/>
        </w:numPr>
        <w:spacing w:after="60"/>
      </w:pPr>
      <w:r>
        <w:rPr>
          <w:rFonts w:ascii="Arial" w:cs="Arial" w:eastAsia="Arial" w:hAnsi="Arial"/>
          <w:color w:val="404040"/>
          <w:sz w:val="22"/>
          <w:szCs w:val="22"/>
        </w:rPr>
        <w:t xml:space="preserve">Purpose — one to three sentences describing what, what it acts on, and why</w:t>
      </w:r>
    </w:p>
    <w:p>
      <w:pPr>
        <w:pStyle w:val="ListParagraph"/>
        <w:numPr>
          <w:ilvl w:val="0"/>
          <w:numId w:val="2"/>
        </w:numPr>
        <w:spacing w:after="60"/>
      </w:pPr>
      <w:r>
        <w:rPr>
          <w:rFonts w:ascii="Arial" w:cs="Arial" w:eastAsia="Arial" w:hAnsi="Arial"/>
          <w:color w:val="404040"/>
          <w:sz w:val="22"/>
          <w:szCs w:val="22"/>
        </w:rPr>
        <w:t xml:space="preserve">Automation type — one of eight defined types (Configuration, Compliance, Provisioning, Remediation, SLA Management, Service Operation, Validation, One-Time Execution)</w:t>
      </w:r>
    </w:p>
    <w:p>
      <w:pPr>
        <w:pStyle w:val="ListParagraph"/>
        <w:numPr>
          <w:ilvl w:val="0"/>
          <w:numId w:val="2"/>
        </w:numPr>
        <w:spacing w:after="60"/>
      </w:pPr>
      <w:r>
        <w:rPr>
          <w:rFonts w:ascii="Arial" w:cs="Arial" w:eastAsia="Arial" w:hAnsi="Arial"/>
          <w:color w:val="404040"/>
          <w:sz w:val="22"/>
          <w:szCs w:val="22"/>
        </w:rPr>
        <w:t xml:space="preserve">SLA binding — whether the automation contributes to a service level commitment</w:t>
      </w:r>
    </w:p>
    <w:p>
      <w:pPr>
        <w:pStyle w:val="ListParagraph"/>
        <w:numPr>
          <w:ilvl w:val="0"/>
          <w:numId w:val="2"/>
        </w:numPr>
        <w:spacing w:after="60"/>
      </w:pPr>
      <w:r>
        <w:rPr>
          <w:rFonts w:ascii="Arial" w:cs="Arial" w:eastAsia="Arial" w:hAnsi="Arial"/>
          <w:color w:val="404040"/>
          <w:sz w:val="22"/>
          <w:szCs w:val="22"/>
        </w:rPr>
        <w:t xml:space="preserve">Scope — what systems are affected and what is explicitly excluded</w:t>
      </w:r>
    </w:p>
    <w:p>
      <w:pPr>
        <w:pStyle w:val="ListParagraph"/>
        <w:numPr>
          <w:ilvl w:val="0"/>
          <w:numId w:val="2"/>
        </w:numPr>
        <w:spacing w:after="60"/>
      </w:pPr>
      <w:r>
        <w:rPr>
          <w:rFonts w:ascii="Arial" w:cs="Arial" w:eastAsia="Arial" w:hAnsi="Arial"/>
          <w:color w:val="404040"/>
          <w:sz w:val="22"/>
          <w:szCs w:val="22"/>
        </w:rPr>
        <w:t xml:space="preserve">Inputs — every required parameter with type, valid values, and defaults</w:t>
      </w:r>
    </w:p>
    <w:p>
      <w:pPr>
        <w:pStyle w:val="ListParagraph"/>
        <w:numPr>
          <w:ilvl w:val="0"/>
          <w:numId w:val="2"/>
        </w:numPr>
        <w:spacing w:after="60"/>
      </w:pPr>
      <w:r>
        <w:rPr>
          <w:rFonts w:ascii="Arial" w:cs="Arial" w:eastAsia="Arial" w:hAnsi="Arial"/>
          <w:color w:val="404040"/>
          <w:sz w:val="22"/>
          <w:szCs w:val="22"/>
        </w:rPr>
        <w:t xml:space="preserve">Preconditions — what must be true before safe execution</w:t>
      </w:r>
    </w:p>
    <w:p>
      <w:pPr>
        <w:pStyle w:val="ListParagraph"/>
        <w:numPr>
          <w:ilvl w:val="0"/>
          <w:numId w:val="2"/>
        </w:numPr>
        <w:spacing w:after="60"/>
      </w:pPr>
      <w:r>
        <w:rPr>
          <w:rFonts w:ascii="Arial" w:cs="Arial" w:eastAsia="Arial" w:hAnsi="Arial"/>
          <w:color w:val="404040"/>
          <w:sz w:val="22"/>
          <w:szCs w:val="22"/>
        </w:rPr>
        <w:t xml:space="preserve">Outputs — state changes, artifacts, and reports produced</w:t>
      </w:r>
    </w:p>
    <w:p>
      <w:pPr>
        <w:pStyle w:val="ListParagraph"/>
        <w:numPr>
          <w:ilvl w:val="0"/>
          <w:numId w:val="2"/>
        </w:numPr>
        <w:spacing w:after="60"/>
      </w:pPr>
      <w:r>
        <w:rPr>
          <w:rFonts w:ascii="Arial" w:cs="Arial" w:eastAsia="Arial" w:hAnsi="Arial"/>
          <w:color w:val="404040"/>
          <w:sz w:val="22"/>
          <w:szCs w:val="22"/>
        </w:rPr>
        <w:t xml:space="preserve">Owner — responsible team (not individual) and escalation path</w:t>
      </w:r>
    </w:p>
    <w:p>
      <w:pPr>
        <w:pStyle w:val="ListParagraph"/>
        <w:numPr>
          <w:ilvl w:val="0"/>
          <w:numId w:val="2"/>
        </w:numPr>
        <w:spacing w:after="60"/>
      </w:pPr>
      <w:r>
        <w:rPr>
          <w:rFonts w:ascii="Arial" w:cs="Arial" w:eastAsia="Arial" w:hAnsi="Arial"/>
          <w:color w:val="404040"/>
          <w:sz w:val="22"/>
          <w:szCs w:val="22"/>
        </w:rPr>
        <w:t xml:space="preserve">Compliance status — Compliant, Legacy, or Non-Compliant</w:t>
      </w:r>
    </w:p>
    <w:p>
      <w:pPr>
        <w:pStyle w:val="ListParagraph"/>
        <w:numPr>
          <w:ilvl w:val="0"/>
          <w:numId w:val="2"/>
        </w:numPr>
        <w:spacing w:after="60"/>
      </w:pPr>
      <w:r>
        <w:rPr>
          <w:rFonts w:ascii="Arial" w:cs="Arial" w:eastAsia="Arial" w:hAnsi="Arial"/>
          <w:color w:val="404040"/>
          <w:sz w:val="22"/>
          <w:szCs w:val="22"/>
        </w:rPr>
        <w:t xml:space="preserve">Risk classification — Standard or High-Risk</w:t>
      </w:r>
    </w:p>
    <w:p>
      <w:pPr>
        <w:pStyle w:val="ListParagraph"/>
        <w:numPr>
          <w:ilvl w:val="0"/>
          <w:numId w:val="2"/>
        </w:numPr>
        <w:spacing w:after="60"/>
      </w:pPr>
      <w:r>
        <w:rPr>
          <w:rFonts w:ascii="Arial" w:cs="Arial" w:eastAsia="Arial" w:hAnsi="Arial"/>
          <w:color w:val="404040"/>
          <w:sz w:val="22"/>
          <w:szCs w:val="22"/>
        </w:rPr>
        <w:t xml:space="preserve">Lifecycle state — Active, Deprecated, or Pending retirement</w:t>
      </w:r>
    </w:p>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5.2 Secured by Design</w:t>
      </w:r>
    </w:p>
    <w:p>
      <w:pPr>
        <w:spacing w:after="120"/>
      </w:pPr>
      <w:r>
        <w:rPr>
          <w:rFonts w:ascii="Arial" w:cs="Arial" w:eastAsia="Arial" w:hAnsi="Arial"/>
          <w:color w:val="404040"/>
          <w:sz w:val="22"/>
          <w:szCs w:val="22"/>
        </w:rPr>
        <w:t xml:space="preserve">Owner: Automation Centre of Excellence | Status: Draft | Last Reviewed: 2026-03-17</w:t>
      </w:r>
    </w:p>
    <w:p>
      <w:pPr>
        <w:spacing w:after="120"/>
      </w:pPr>
      <w:r>
        <w:rPr>
          <w:rFonts w:ascii="Arial" w:cs="Arial" w:eastAsia="Arial" w:hAnsi="Arial"/>
          <w:color w:val="404040"/>
          <w:sz w:val="22"/>
          <w:szCs w:val="22"/>
        </w:rPr>
        <w:t xml:space="preserve">Automation must be designed with security as a first-class constraint across four obligations:</w:t>
      </w:r>
    </w:p>
    <w:p>
      <w:pPr>
        <w:pStyle w:val="Heading3"/>
        <w:spacing w:after="60" w:before="180"/>
      </w:pPr>
      <w:r>
        <w:rPr>
          <w:rFonts w:ascii="Arial" w:cs="Arial" w:eastAsia="Arial" w:hAnsi="Arial"/>
          <w:b/>
          <w:bCs/>
          <w:color w:val="2E75B6"/>
          <w:sz w:val="22"/>
          <w:szCs w:val="22"/>
        </w:rPr>
        <w:t xml:space="preserve">Least Privilege</w:t>
      </w:r>
    </w:p>
    <w:p>
      <w:pPr>
        <w:pStyle w:val="ListParagraph"/>
        <w:numPr>
          <w:ilvl w:val="0"/>
          <w:numId w:val="2"/>
        </w:numPr>
        <w:spacing w:after="60"/>
      </w:pPr>
      <w:r>
        <w:rPr>
          <w:rFonts w:ascii="Arial" w:cs="Arial" w:eastAsia="Arial" w:hAnsi="Arial"/>
          <w:color w:val="404040"/>
          <w:sz w:val="22"/>
          <w:szCs w:val="22"/>
        </w:rPr>
        <w:t xml:space="preserve">Request only the permissions the automation requires. Do not start with broad permissions and narrow later.</w:t>
      </w:r>
    </w:p>
    <w:p>
      <w:pPr>
        <w:pStyle w:val="ListParagraph"/>
        <w:numPr>
          <w:ilvl w:val="0"/>
          <w:numId w:val="2"/>
        </w:numPr>
        <w:spacing w:after="60"/>
      </w:pPr>
      <w:r>
        <w:rPr>
          <w:rFonts w:ascii="Arial" w:cs="Arial" w:eastAsia="Arial" w:hAnsi="Arial"/>
          <w:color w:val="404040"/>
          <w:sz w:val="22"/>
          <w:szCs w:val="22"/>
        </w:rPr>
        <w:t xml:space="preserve">Use environment-specific identities. Production and non-production identities must be separate.</w:t>
      </w:r>
    </w:p>
    <w:p>
      <w:pPr>
        <w:pStyle w:val="ListParagraph"/>
        <w:numPr>
          <w:ilvl w:val="0"/>
          <w:numId w:val="2"/>
        </w:numPr>
        <w:spacing w:after="60"/>
      </w:pPr>
      <w:r>
        <w:rPr>
          <w:rFonts w:ascii="Arial" w:cs="Arial" w:eastAsia="Arial" w:hAnsi="Arial"/>
          <w:color w:val="404040"/>
          <w:sz w:val="22"/>
          <w:szCs w:val="22"/>
        </w:rPr>
        <w:t xml:space="preserve">Scope access to the automation's target domain — network automation cannot modify databases, etc.</w:t>
      </w:r>
    </w:p>
    <w:p>
      <w:pPr>
        <w:pStyle w:val="ListParagraph"/>
        <w:numPr>
          <w:ilvl w:val="0"/>
          <w:numId w:val="2"/>
        </w:numPr>
        <w:spacing w:after="60"/>
      </w:pPr>
      <w:r>
        <w:rPr>
          <w:rFonts w:ascii="Arial" w:cs="Arial" w:eastAsia="Arial" w:hAnsi="Arial"/>
          <w:color w:val="404040"/>
          <w:sz w:val="22"/>
          <w:szCs w:val="22"/>
        </w:rPr>
        <w:t xml:space="preserve">Document all required permissions as part of the approval record.</w:t>
      </w:r>
    </w:p>
    <w:p>
      <w:pPr>
        <w:pStyle w:val="Heading3"/>
        <w:spacing w:after="60" w:before="180"/>
      </w:pPr>
      <w:r>
        <w:rPr>
          <w:rFonts w:ascii="Arial" w:cs="Arial" w:eastAsia="Arial" w:hAnsi="Arial"/>
          <w:b/>
          <w:bCs/>
          <w:color w:val="2E75B6"/>
          <w:sz w:val="22"/>
          <w:szCs w:val="22"/>
        </w:rPr>
        <w:t xml:space="preserve">Secret and Credential Management</w:t>
      </w:r>
    </w:p>
    <w:p>
      <w:pPr>
        <w:pStyle w:val="ListParagraph"/>
        <w:numPr>
          <w:ilvl w:val="0"/>
          <w:numId w:val="2"/>
        </w:numPr>
        <w:spacing w:after="60"/>
      </w:pPr>
      <w:r>
        <w:rPr>
          <w:rFonts w:ascii="Arial" w:cs="Arial" w:eastAsia="Arial" w:hAnsi="Arial"/>
          <w:color w:val="404040"/>
          <w:sz w:val="22"/>
          <w:szCs w:val="22"/>
        </w:rPr>
        <w:t xml:space="preserve">Store all secrets exclusively in CyberArk or Azure Key Vault. No other storage location is compliant.</w:t>
      </w:r>
    </w:p>
    <w:p>
      <w:pPr>
        <w:pStyle w:val="ListParagraph"/>
        <w:numPr>
          <w:ilvl w:val="0"/>
          <w:numId w:val="2"/>
        </w:numPr>
        <w:spacing w:after="60"/>
      </w:pPr>
      <w:r>
        <w:rPr>
          <w:rFonts w:ascii="Arial" w:cs="Arial" w:eastAsia="Arial" w:hAnsi="Arial"/>
          <w:color w:val="404040"/>
          <w:sz w:val="22"/>
          <w:szCs w:val="22"/>
        </w:rPr>
        <w:t xml:space="preserve">Retrieve secrets dynamically at runtime. No embedded or version-pinned values.</w:t>
      </w:r>
    </w:p>
    <w:p>
      <w:pPr>
        <w:pStyle w:val="ListParagraph"/>
        <w:numPr>
          <w:ilvl w:val="0"/>
          <w:numId w:val="2"/>
        </w:numPr>
        <w:spacing w:after="60"/>
      </w:pPr>
      <w:r>
        <w:rPr>
          <w:rFonts w:ascii="Arial" w:cs="Arial" w:eastAsia="Arial" w:hAnsi="Arial"/>
          <w:color w:val="404040"/>
          <w:sz w:val="22"/>
          <w:szCs w:val="22"/>
        </w:rPr>
        <w:t xml:space="preserve">Secrets must never appear in logs, output, error messages, or notifications in any mode.</w:t>
      </w:r>
    </w:p>
    <w:p>
      <w:pPr>
        <w:pStyle w:val="ListParagraph"/>
        <w:numPr>
          <w:ilvl w:val="0"/>
          <w:numId w:val="2"/>
        </w:numPr>
        <w:spacing w:after="60"/>
      </w:pPr>
      <w:r>
        <w:rPr>
          <w:rFonts w:ascii="Arial" w:cs="Arial" w:eastAsia="Arial" w:hAnsi="Arial"/>
          <w:color w:val="404040"/>
          <w:sz w:val="22"/>
          <w:szCs w:val="22"/>
        </w:rPr>
        <w:t xml:space="preserve">Support secret rotation without code changes.</w:t>
      </w:r>
    </w:p>
    <w:p>
      <w:pPr>
        <w:pStyle w:val="Heading3"/>
        <w:spacing w:after="60" w:before="180"/>
      </w:pPr>
      <w:r>
        <w:rPr>
          <w:rFonts w:ascii="Arial" w:cs="Arial" w:eastAsia="Arial" w:hAnsi="Arial"/>
          <w:b/>
          <w:bCs/>
          <w:color w:val="2E75B6"/>
          <w:sz w:val="22"/>
          <w:szCs w:val="22"/>
        </w:rPr>
        <w:t xml:space="preserve">Separation of Duties for High-Risk Automation</w:t>
      </w:r>
    </w:p>
    <w:p>
      <w:pPr>
        <w:spacing w:after="120"/>
      </w:pPr>
      <w:r>
        <w:rPr>
          <w:rFonts w:ascii="Arial" w:cs="Arial" w:eastAsia="Arial" w:hAnsi="Arial"/>
          <w:color w:val="404040"/>
          <w:sz w:val="22"/>
          <w:szCs w:val="22"/>
        </w:rPr>
        <w:t xml:space="preserve">High-risk automation — meeting any of the following criteria — requires a second approver who did not author the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High-Risk Criterion</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Production-wide scope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Changes applied to all hosts in a production environment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Destructive operations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Data deletion, record purges, certificate revocations, decommissioning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Security policy changes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Firewall rule modifications, ACL changes, authentication policy updates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Identity and access changes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User creation/deletion, role assignments, privilege modifications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Network perimeter changes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Routing, DNS, load balancer config, network security group changes</w:t>
            </w:r>
          </w:p>
        </w:tc>
      </w:tr>
    </w:tbl>
    <w:p>
      <w:pPr>
        <w:pStyle w:val="Heading3"/>
        <w:spacing w:after="60" w:before="180"/>
      </w:pPr>
      <w:r>
        <w:rPr>
          <w:rFonts w:ascii="Arial" w:cs="Arial" w:eastAsia="Arial" w:hAnsi="Arial"/>
          <w:b/>
          <w:bCs/>
          <w:color w:val="2E75B6"/>
          <w:sz w:val="22"/>
          <w:szCs w:val="22"/>
        </w:rPr>
        <w:t xml:space="preserve">Sensitive Data in Output</w:t>
      </w:r>
    </w:p>
    <w:p>
      <w:pPr>
        <w:pStyle w:val="ListParagraph"/>
        <w:numPr>
          <w:ilvl w:val="0"/>
          <w:numId w:val="2"/>
        </w:numPr>
        <w:spacing w:after="60"/>
      </w:pPr>
      <w:r>
        <w:rPr>
          <w:rFonts w:ascii="Arial" w:cs="Arial" w:eastAsia="Arial" w:hAnsi="Arial"/>
          <w:color w:val="404040"/>
          <w:sz w:val="22"/>
          <w:szCs w:val="22"/>
        </w:rPr>
        <w:t xml:space="preserve">Do not log PII, financial, health, or other regulated data content. Log counts, identifiers, and outcomes.</w:t>
      </w:r>
    </w:p>
    <w:p>
      <w:pPr>
        <w:pStyle w:val="ListParagraph"/>
        <w:numPr>
          <w:ilvl w:val="0"/>
          <w:numId w:val="2"/>
        </w:numPr>
        <w:spacing w:after="60"/>
      </w:pPr>
      <w:r>
        <w:rPr>
          <w:rFonts w:ascii="Arial" w:cs="Arial" w:eastAsia="Arial" w:hAnsi="Arial"/>
          <w:color w:val="404040"/>
          <w:sz w:val="22"/>
          <w:szCs w:val="22"/>
        </w:rPr>
        <w:t xml:space="preserve">Output artifacts containing sensitive data must be stored in approved locations.</w:t>
      </w:r>
    </w:p>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5.3 Safe Execution</w:t>
      </w:r>
    </w:p>
    <w:p>
      <w:pPr>
        <w:spacing w:after="120"/>
      </w:pPr>
      <w:r>
        <w:rPr>
          <w:rFonts w:ascii="Arial" w:cs="Arial" w:eastAsia="Arial" w:hAnsi="Arial"/>
          <w:color w:val="404040"/>
          <w:sz w:val="22"/>
          <w:szCs w:val="22"/>
        </w:rPr>
        <w:t xml:space="preserve">Owner: Automation Centre of Excellence | Status: Draft | Last Reviewed: 2026-03-17</w:t>
      </w:r>
    </w:p>
    <w:p>
      <w:pPr>
        <w:pStyle w:val="Heading3"/>
        <w:spacing w:after="60" w:before="180"/>
      </w:pPr>
      <w:r>
        <w:rPr>
          <w:rFonts w:ascii="Arial" w:cs="Arial" w:eastAsia="Arial" w:hAnsi="Arial"/>
          <w:b/>
          <w:bCs/>
          <w:color w:val="2E75B6"/>
          <w:sz w:val="22"/>
          <w:szCs w:val="22"/>
        </w:rPr>
        <w:t xml:space="preserve">Scope Control</w:t>
      </w:r>
    </w:p>
    <w:p>
      <w:pPr>
        <w:pStyle w:val="ListParagraph"/>
        <w:numPr>
          <w:ilvl w:val="0"/>
          <w:numId w:val="2"/>
        </w:numPr>
        <w:spacing w:after="60"/>
      </w:pPr>
      <w:r>
        <w:rPr>
          <w:rFonts w:ascii="Arial" w:cs="Arial" w:eastAsia="Arial" w:hAnsi="Arial"/>
          <w:color w:val="404040"/>
          <w:sz w:val="22"/>
          <w:szCs w:val="22"/>
        </w:rPr>
        <w:t xml:space="preserve">Require an explicit scope selector before executing. Default scope must be narrow — missing scope must fail closed, not broaden.</w:t>
      </w:r>
    </w:p>
    <w:p>
      <w:pPr>
        <w:pStyle w:val="ListParagraph"/>
        <w:numPr>
          <w:ilvl w:val="0"/>
          <w:numId w:val="2"/>
        </w:numPr>
        <w:spacing w:after="60"/>
      </w:pPr>
      <w:r>
        <w:rPr>
          <w:rFonts w:ascii="Arial" w:cs="Arial" w:eastAsia="Arial" w:hAnsi="Arial"/>
          <w:color w:val="404040"/>
          <w:sz w:val="22"/>
          <w:szCs w:val="22"/>
        </w:rPr>
        <w:t xml:space="preserve">Scope must be logged at the start of execution before any change is made.</w:t>
      </w:r>
    </w:p>
    <w:p>
      <w:pPr>
        <w:pStyle w:val="ListParagraph"/>
        <w:numPr>
          <w:ilvl w:val="0"/>
          <w:numId w:val="2"/>
        </w:numPr>
        <w:spacing w:after="60"/>
      </w:pPr>
      <w:r>
        <w:rPr>
          <w:rFonts w:ascii="Arial" w:cs="Arial" w:eastAsia="Arial" w:hAnsi="Arial"/>
          <w:color w:val="404040"/>
          <w:sz w:val="22"/>
          <w:szCs w:val="22"/>
        </w:rPr>
        <w:t xml:space="preserve">For production execution, scope must be confirmed against the change record or approval.</w:t>
      </w:r>
    </w:p>
    <w:p>
      <w:pPr>
        <w:pStyle w:val="Heading3"/>
        <w:spacing w:after="60" w:before="180"/>
      </w:pPr>
      <w:r>
        <w:rPr>
          <w:rFonts w:ascii="Arial" w:cs="Arial" w:eastAsia="Arial" w:hAnsi="Arial"/>
          <w:b/>
          <w:bCs/>
          <w:color w:val="2E75B6"/>
          <w:sz w:val="22"/>
          <w:szCs w:val="22"/>
        </w:rPr>
        <w:t xml:space="preserve">Input Validation</w:t>
      </w:r>
    </w:p>
    <w:p>
      <w:pPr>
        <w:pStyle w:val="ListParagraph"/>
        <w:numPr>
          <w:ilvl w:val="0"/>
          <w:numId w:val="2"/>
        </w:numPr>
        <w:spacing w:after="60"/>
      </w:pPr>
      <w:r>
        <w:rPr>
          <w:rFonts w:ascii="Arial" w:cs="Arial" w:eastAsia="Arial" w:hAnsi="Arial"/>
          <w:color w:val="404040"/>
          <w:sz w:val="22"/>
          <w:szCs w:val="22"/>
        </w:rPr>
        <w:t xml:space="preserve">Validate all execution-affecting inputs before any state-changing action begins.</w:t>
      </w:r>
    </w:p>
    <w:p>
      <w:pPr>
        <w:pStyle w:val="ListParagraph"/>
        <w:numPr>
          <w:ilvl w:val="0"/>
          <w:numId w:val="2"/>
        </w:numPr>
        <w:spacing w:after="60"/>
      </w:pPr>
      <w:r>
        <w:rPr>
          <w:rFonts w:ascii="Arial" w:cs="Arial" w:eastAsia="Arial" w:hAnsi="Arial"/>
          <w:color w:val="404040"/>
          <w:sz w:val="22"/>
          <w:szCs w:val="22"/>
        </w:rPr>
        <w:t xml:space="preserve">Destructive operations require an explicit confirmation signal separate from normal execution.</w:t>
      </w:r>
    </w:p>
    <w:p>
      <w:pPr>
        <w:pStyle w:val="ListParagraph"/>
        <w:numPr>
          <w:ilvl w:val="0"/>
          <w:numId w:val="2"/>
        </w:numPr>
        <w:spacing w:after="60"/>
      </w:pPr>
      <w:r>
        <w:rPr>
          <w:rFonts w:ascii="Arial" w:cs="Arial" w:eastAsia="Arial" w:hAnsi="Arial"/>
          <w:color w:val="404040"/>
          <w:sz w:val="22"/>
          <w:szCs w:val="22"/>
        </w:rPr>
        <w:t xml:space="preserve">For production, a boolean confirmation flag must be paired with a validated change ticket.</w:t>
      </w:r>
    </w:p>
    <w:p>
      <w:pPr>
        <w:pStyle w:val="Heading3"/>
        <w:spacing w:after="60" w:before="180"/>
      </w:pPr>
      <w:r>
        <w:rPr>
          <w:rFonts w:ascii="Arial" w:cs="Arial" w:eastAsia="Arial" w:hAnsi="Arial"/>
          <w:b/>
          <w:bCs/>
          <w:color w:val="2E75B6"/>
          <w:sz w:val="22"/>
          <w:szCs w:val="22"/>
        </w:rPr>
        <w:t xml:space="preserve">Failure Classification</w:t>
      </w:r>
    </w:p>
    <w:p>
      <w:pPr>
        <w:spacing w:after="120"/>
      </w:pPr>
      <w:r>
        <w:rPr>
          <w:rFonts w:ascii="Arial" w:cs="Arial" w:eastAsia="Arial" w:hAnsi="Arial"/>
          <w:color w:val="404040"/>
          <w:sz w:val="22"/>
          <w:szCs w:val="22"/>
        </w:rPr>
        <w:t xml:space="preserve">Every failure must be classified into one of five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Failure Category</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Input or precondition failure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Missing, invalid, or unsafe inputs; preconditions not met before execution began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Connectivity or access failure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Cannot reach the target host, service, or dependency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Authorization or permission failure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Identity lacks required permissions on the target system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Target state or dependency failure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Target is in an unexpected state; a required dependency is absent or incompatible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Automation logic failure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Error in the automation code itself — bug, unhandled exception, or logic error</w:t>
            </w:r>
          </w:p>
        </w:tc>
      </w:tr>
    </w:tbl>
    <w:p>
      <w:pPr>
        <w:pStyle w:val="Heading3"/>
        <w:spacing w:after="60" w:before="180"/>
      </w:pPr>
      <w:r>
        <w:rPr>
          <w:rFonts w:ascii="Arial" w:cs="Arial" w:eastAsia="Arial" w:hAnsi="Arial"/>
          <w:b/>
          <w:bCs/>
          <w:color w:val="2E75B6"/>
          <w:sz w:val="22"/>
          <w:szCs w:val="22"/>
        </w:rPr>
        <w:t xml:space="preserve">Concurrent Safety</w:t>
      </w:r>
    </w:p>
    <w:p>
      <w:pPr>
        <w:pStyle w:val="ListParagraph"/>
        <w:numPr>
          <w:ilvl w:val="0"/>
          <w:numId w:val="2"/>
        </w:numPr>
        <w:spacing w:after="60"/>
      </w:pPr>
      <w:r>
        <w:rPr>
          <w:rFonts w:ascii="Arial" w:cs="Arial" w:eastAsia="Arial" w:hAnsi="Arial"/>
          <w:color w:val="404040"/>
          <w:sz w:val="22"/>
          <w:szCs w:val="22"/>
        </w:rPr>
        <w:t xml:space="preserve">Identify all shared resources the automation modifies.</w:t>
      </w:r>
    </w:p>
    <w:p>
      <w:pPr>
        <w:pStyle w:val="ListParagraph"/>
        <w:numPr>
          <w:ilvl w:val="0"/>
          <w:numId w:val="2"/>
        </w:numPr>
        <w:spacing w:after="60"/>
      </w:pPr>
      <w:r>
        <w:rPr>
          <w:rFonts w:ascii="Arial" w:cs="Arial" w:eastAsia="Arial" w:hAnsi="Arial"/>
          <w:color w:val="404040"/>
          <w:sz w:val="22"/>
          <w:szCs w:val="22"/>
        </w:rPr>
        <w:t xml:space="preserve">Document the concurrent safety determination (safe or unsafe) in the operator header.</w:t>
      </w:r>
    </w:p>
    <w:p>
      <w:pPr>
        <w:pStyle w:val="ListParagraph"/>
        <w:numPr>
          <w:ilvl w:val="0"/>
          <w:numId w:val="2"/>
        </w:numPr>
        <w:spacing w:after="60"/>
      </w:pPr>
      <w:r>
        <w:rPr>
          <w:rFonts w:ascii="Arial" w:cs="Arial" w:eastAsia="Arial" w:hAnsi="Arial"/>
          <w:color w:val="404040"/>
          <w:sz w:val="22"/>
          <w:szCs w:val="22"/>
        </w:rPr>
        <w:t xml:space="preserve">If concurrent execution is unsafe, implement a concurrency limit or lock control.</w:t>
      </w:r>
    </w:p>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5.4 Idempotency and Re-runnable Behavior</w:t>
      </w:r>
    </w:p>
    <w:p>
      <w:pPr>
        <w:spacing w:after="120"/>
      </w:pPr>
      <w:r>
        <w:rPr>
          <w:rFonts w:ascii="Arial" w:cs="Arial" w:eastAsia="Arial" w:hAnsi="Arial"/>
          <w:color w:val="404040"/>
          <w:sz w:val="22"/>
          <w:szCs w:val="22"/>
        </w:rPr>
        <w:t xml:space="preserve">Owner: Automation Centre of Excellence | Status: Draft | Last Reviewed: 2026-03-17</w:t>
      </w:r>
    </w:p>
    <w:p>
      <w:pPr>
        <w:spacing w:after="120"/>
      </w:pPr>
      <w:r>
        <w:rPr>
          <w:rFonts w:ascii="Arial" w:cs="Arial" w:eastAsia="Arial" w:hAnsi="Arial"/>
          <w:color w:val="404040"/>
          <w:sz w:val="22"/>
          <w:szCs w:val="22"/>
        </w:rPr>
        <w:t xml:space="preserve">Automation must produce the same outcome whether run once or multiple times against the same target in the same state. This is an operational safety requirement, not a quality property.</w:t>
      </w:r>
    </w:p>
    <w:p>
      <w:pPr>
        <w:pStyle w:val="Heading3"/>
        <w:spacing w:after="60" w:before="180"/>
      </w:pPr>
      <w:r>
        <w:rPr>
          <w:rFonts w:ascii="Arial" w:cs="Arial" w:eastAsia="Arial" w:hAnsi="Arial"/>
          <w:b/>
          <w:bCs/>
          <w:color w:val="2E75B6"/>
          <w:sz w:val="22"/>
          <w:szCs w:val="22"/>
        </w:rPr>
        <w:t xml:space="preserve">Idempotent Design</w:t>
      </w:r>
    </w:p>
    <w:p>
      <w:pPr>
        <w:pStyle w:val="ListParagraph"/>
        <w:numPr>
          <w:ilvl w:val="0"/>
          <w:numId w:val="2"/>
        </w:numPr>
        <w:spacing w:after="60"/>
      </w:pPr>
      <w:r>
        <w:rPr>
          <w:rFonts w:ascii="Arial" w:cs="Arial" w:eastAsia="Arial" w:hAnsi="Arial"/>
          <w:color w:val="404040"/>
          <w:sz w:val="22"/>
          <w:szCs w:val="22"/>
        </w:rPr>
        <w:t xml:space="preserve">Before applying any change, check whether the target is already in the desired state. Skip and record no-change rather than failing.</w:t>
      </w:r>
    </w:p>
    <w:p>
      <w:pPr>
        <w:pStyle w:val="ListParagraph"/>
        <w:numPr>
          <w:ilvl w:val="0"/>
          <w:numId w:val="2"/>
        </w:numPr>
        <w:spacing w:after="60"/>
      </w:pPr>
      <w:r>
        <w:rPr>
          <w:rFonts w:ascii="Arial" w:cs="Arial" w:eastAsia="Arial" w:hAnsi="Arial"/>
          <w:color w:val="404040"/>
          <w:sz w:val="22"/>
          <w:szCs w:val="22"/>
        </w:rPr>
        <w:t xml:space="preserve">Never append, add, or accumulate without first checking whether the item already exists.</w:t>
      </w:r>
    </w:p>
    <w:p>
      <w:pPr>
        <w:pStyle w:val="ListParagraph"/>
        <w:numPr>
          <w:ilvl w:val="0"/>
          <w:numId w:val="2"/>
        </w:numPr>
        <w:spacing w:after="60"/>
      </w:pPr>
      <w:r>
        <w:rPr>
          <w:rFonts w:ascii="Arial" w:cs="Arial" w:eastAsia="Arial" w:hAnsi="Arial"/>
          <w:color w:val="404040"/>
          <w:sz w:val="22"/>
          <w:szCs w:val="22"/>
        </w:rPr>
        <w:t xml:space="preserve">Never delete or remove without confirming the item is still present.</w:t>
      </w:r>
    </w:p>
    <w:p>
      <w:pPr>
        <w:pStyle w:val="ListParagraph"/>
        <w:numPr>
          <w:ilvl w:val="0"/>
          <w:numId w:val="2"/>
        </w:numPr>
        <w:spacing w:after="60"/>
      </w:pPr>
      <w:r>
        <w:rPr>
          <w:rFonts w:ascii="Arial" w:cs="Arial" w:eastAsia="Arial" w:hAnsi="Arial"/>
          <w:color w:val="404040"/>
          <w:sz w:val="22"/>
          <w:szCs w:val="22"/>
        </w:rPr>
        <w:t xml:space="preserve">Use declarative state mechanisms (Ansible modules, Terraform apply, SQL MERGE) wherever available.</w:t>
      </w:r>
    </w:p>
    <w:p>
      <w:pPr>
        <w:pStyle w:val="ListParagraph"/>
        <w:numPr>
          <w:ilvl w:val="0"/>
          <w:numId w:val="2"/>
        </w:numPr>
        <w:spacing w:after="60"/>
      </w:pPr>
      <w:r>
        <w:rPr>
          <w:rFonts w:ascii="Arial" w:cs="Arial" w:eastAsia="Arial" w:hAnsi="Arial"/>
          <w:color w:val="404040"/>
          <w:sz w:val="22"/>
          <w:szCs w:val="22"/>
        </w:rPr>
        <w:t xml:space="preserve">Test idempotency explicitly: run twice against the same target. Second run must complete without errors and report no changes.</w:t>
      </w:r>
    </w:p>
    <w:p>
      <w:pPr>
        <w:pStyle w:val="Heading3"/>
        <w:spacing w:after="60" w:before="180"/>
      </w:pPr>
      <w:r>
        <w:rPr>
          <w:rFonts w:ascii="Arial" w:cs="Arial" w:eastAsia="Arial" w:hAnsi="Arial"/>
          <w:b/>
          <w:bCs/>
          <w:color w:val="2E75B6"/>
          <w:sz w:val="22"/>
          <w:szCs w:val="22"/>
        </w:rPr>
        <w:t xml:space="preserve">Bounded Retries</w:t>
      </w:r>
    </w:p>
    <w:p>
      <w:pPr>
        <w:pStyle w:val="ListParagraph"/>
        <w:numPr>
          <w:ilvl w:val="0"/>
          <w:numId w:val="2"/>
        </w:numPr>
        <w:spacing w:after="60"/>
      </w:pPr>
      <w:r>
        <w:rPr>
          <w:rFonts w:ascii="Arial" w:cs="Arial" w:eastAsia="Arial" w:hAnsi="Arial"/>
          <w:color w:val="404040"/>
          <w:sz w:val="22"/>
          <w:szCs w:val="22"/>
        </w:rPr>
        <w:t xml:space="preserve">Define a maximum retry count for every retried operation. No 'retry until success' loops.</w:t>
      </w:r>
    </w:p>
    <w:p>
      <w:pPr>
        <w:pStyle w:val="ListParagraph"/>
        <w:numPr>
          <w:ilvl w:val="0"/>
          <w:numId w:val="2"/>
        </w:numPr>
        <w:spacing w:after="60"/>
      </w:pPr>
      <w:r>
        <w:rPr>
          <w:rFonts w:ascii="Arial" w:cs="Arial" w:eastAsia="Arial" w:hAnsi="Arial"/>
          <w:color w:val="404040"/>
          <w:sz w:val="22"/>
          <w:szCs w:val="22"/>
        </w:rPr>
        <w:t xml:space="preserve">Retries must use a backoff interval. Only retry idempotent operations.</w:t>
      </w:r>
    </w:p>
    <w:p>
      <w:pPr>
        <w:pStyle w:val="ListParagraph"/>
        <w:numPr>
          <w:ilvl w:val="0"/>
          <w:numId w:val="2"/>
        </w:numPr>
        <w:spacing w:after="60"/>
      </w:pPr>
      <w:r>
        <w:rPr>
          <w:rFonts w:ascii="Arial" w:cs="Arial" w:eastAsia="Arial" w:hAnsi="Arial"/>
          <w:color w:val="404040"/>
          <w:sz w:val="22"/>
          <w:szCs w:val="22"/>
        </w:rPr>
        <w:t xml:space="preserve">When the maximum retry count is reached, fail with a classified, actionable message.</w:t>
      </w:r>
    </w:p>
    <w:p>
      <w:pPr>
        <w:pStyle w:val="Heading3"/>
        <w:spacing w:after="60" w:before="180"/>
      </w:pPr>
      <w:r>
        <w:rPr>
          <w:rFonts w:ascii="Arial" w:cs="Arial" w:eastAsia="Arial" w:hAnsi="Arial"/>
          <w:b/>
          <w:bCs/>
          <w:color w:val="2E75B6"/>
          <w:sz w:val="22"/>
          <w:szCs w:val="22"/>
        </w:rPr>
        <w:t xml:space="preserve">Explicit Timeouts</w:t>
      </w:r>
    </w:p>
    <w:p>
      <w:pPr>
        <w:pStyle w:val="ListParagraph"/>
        <w:numPr>
          <w:ilvl w:val="0"/>
          <w:numId w:val="2"/>
        </w:numPr>
        <w:spacing w:after="60"/>
      </w:pPr>
      <w:r>
        <w:rPr>
          <w:rFonts w:ascii="Arial" w:cs="Arial" w:eastAsia="Arial" w:hAnsi="Arial"/>
          <w:color w:val="404040"/>
          <w:sz w:val="22"/>
          <w:szCs w:val="22"/>
        </w:rPr>
        <w:t xml:space="preserve">Every operation that waits for an external response must define an explicit timeout.</w:t>
      </w:r>
    </w:p>
    <w:p>
      <w:pPr>
        <w:pStyle w:val="ListParagraph"/>
        <w:numPr>
          <w:ilvl w:val="0"/>
          <w:numId w:val="2"/>
        </w:numPr>
        <w:spacing w:after="60"/>
      </w:pPr>
      <w:r>
        <w:rPr>
          <w:rFonts w:ascii="Arial" w:cs="Arial" w:eastAsia="Arial" w:hAnsi="Arial"/>
          <w:color w:val="404040"/>
          <w:sz w:val="22"/>
          <w:szCs w:val="22"/>
        </w:rPr>
        <w:t xml:space="preserve">When a timeout expires, treat it as a failure. Do not silently continue with partial results.</w:t>
      </w:r>
    </w:p>
    <w:p>
      <w:pPr>
        <w:pStyle w:val="ListParagraph"/>
        <w:numPr>
          <w:ilvl w:val="0"/>
          <w:numId w:val="2"/>
        </w:numPr>
        <w:spacing w:after="60"/>
      </w:pPr>
      <w:r>
        <w:rPr>
          <w:rFonts w:ascii="Arial" w:cs="Arial" w:eastAsia="Arial" w:hAnsi="Arial"/>
          <w:color w:val="404040"/>
          <w:sz w:val="22"/>
          <w:szCs w:val="22"/>
        </w:rPr>
        <w:t xml:space="preserve">For polling loops: define both a poll interval and a maximum wait duration. Log state at each poll interval.</w:t>
      </w:r>
    </w:p>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5.5 Automatic Backout and Recovery</w:t>
      </w:r>
    </w:p>
    <w:p>
      <w:pPr>
        <w:spacing w:after="120"/>
      </w:pPr>
      <w:r>
        <w:rPr>
          <w:rFonts w:ascii="Arial" w:cs="Arial" w:eastAsia="Arial" w:hAnsi="Arial"/>
          <w:color w:val="404040"/>
          <w:sz w:val="22"/>
          <w:szCs w:val="22"/>
        </w:rPr>
        <w:t xml:space="preserve">Owner: Automation Centre of Excellence | Status: Draft | Last Reviewed: 2026-03-17</w:t>
      </w:r>
    </w:p>
    <w:p>
      <w:pPr>
        <w:spacing w:after="120"/>
      </w:pPr>
      <w:r>
        <w:rPr>
          <w:rFonts w:ascii="Arial" w:cs="Arial" w:eastAsia="Arial" w:hAnsi="Arial"/>
          <w:color w:val="404040"/>
          <w:sz w:val="22"/>
          <w:szCs w:val="22"/>
        </w:rPr>
        <w:t xml:space="preserve">Every automation that modifies production system state must detect its own failures and restore affected systems to a known good state automatically, without requiring manual action to initiate recovery.</w:t>
      </w:r>
    </w:p>
    <w:p>
      <w:pPr>
        <w:pStyle w:val="Heading3"/>
        <w:spacing w:after="60" w:before="180"/>
      </w:pPr>
      <w:r>
        <w:rPr>
          <w:rFonts w:ascii="Arial" w:cs="Arial" w:eastAsia="Arial" w:hAnsi="Arial"/>
          <w:b/>
          <w:bCs/>
          <w:color w:val="2E75B6"/>
          <w:sz w:val="22"/>
          <w:szCs w:val="22"/>
        </w:rPr>
        <w:t xml:space="preserve">The Seven-Stage Backout Pattern</w:t>
      </w:r>
    </w:p>
    <w:p>
      <w:pPr>
        <w:spacing w:after="120"/>
      </w:pPr>
      <w:r>
        <w:rPr>
          <w:rFonts w:ascii="Arial" w:cs="Arial" w:eastAsia="Arial" w:hAnsi="Arial"/>
          <w:color w:val="404040"/>
          <w:sz w:val="22"/>
          <w:szCs w:val="22"/>
        </w:rPr>
        <w:t xml:space="preserve">Every state-changing automation must implement all seven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Obligation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1. Capture pre-change state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Snapshot all elements needed to deterministically restore the system. Validate the backup is readable and complete before proceeding.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2. Execute change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Apply the intended state change.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3. Post-execution validation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Validate actual system state — not just task completion. Service responsiveness, config consistency, API state.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4. Trigger rollback on failure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If validation fails, automatically initiate rollback. No human decision required to determine whether rollback should occur.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5. Restore known good state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Apply the captured pre-change state to restore the system.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6. Verify undo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Confirm recovery completed successfully. A completed rollback attempt is not the same as a confirmed recovery.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7. Alert and create incident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Automatically create an incident ticket and notify defined contacts. Correlation data (run ID, failure reason) must be attached.</w:t>
            </w:r>
          </w:p>
        </w:tc>
      </w:tr>
    </w:tbl>
    <w:p>
      <w:pPr>
        <w:pStyle w:val="Heading3"/>
        <w:spacing w:after="60" w:before="180"/>
      </w:pPr>
      <w:r>
        <w:rPr>
          <w:rFonts w:ascii="Arial" w:cs="Arial" w:eastAsia="Arial" w:hAnsi="Arial"/>
          <w:b/>
          <w:bCs/>
          <w:color w:val="2E75B6"/>
          <w:sz w:val="22"/>
          <w:szCs w:val="22"/>
        </w:rPr>
        <w:t xml:space="preserve">Irreversible Actions</w:t>
      </w:r>
    </w:p>
    <w:p>
      <w:pPr>
        <w:pStyle w:val="ListParagraph"/>
        <w:numPr>
          <w:ilvl w:val="0"/>
          <w:numId w:val="2"/>
        </w:numPr>
        <w:spacing w:after="60"/>
      </w:pPr>
      <w:r>
        <w:rPr>
          <w:rFonts w:ascii="Arial" w:cs="Arial" w:eastAsia="Arial" w:hAnsi="Arial"/>
          <w:color w:val="404040"/>
          <w:sz w:val="22"/>
          <w:szCs w:val="22"/>
        </w:rPr>
        <w:t xml:space="preserve">Identify all irreversible actions (data deletion, certificate revocation, external API calls with no undo path) before implementation.</w:t>
      </w:r>
    </w:p>
    <w:p>
      <w:pPr>
        <w:pStyle w:val="ListParagraph"/>
        <w:numPr>
          <w:ilvl w:val="0"/>
          <w:numId w:val="2"/>
        </w:numPr>
        <w:spacing w:after="60"/>
      </w:pPr>
      <w:r>
        <w:rPr>
          <w:rFonts w:ascii="Arial" w:cs="Arial" w:eastAsia="Arial" w:hAnsi="Arial"/>
          <w:color w:val="404040"/>
          <w:sz w:val="22"/>
          <w:szCs w:val="22"/>
        </w:rPr>
        <w:t xml:space="preserve">Every irreversible action must have a defined recovery or compensating action documented in the automation.</w:t>
      </w:r>
    </w:p>
    <w:p>
      <w:pPr>
        <w:pStyle w:val="ListParagraph"/>
        <w:numPr>
          <w:ilvl w:val="0"/>
          <w:numId w:val="2"/>
        </w:numPr>
        <w:spacing w:after="60"/>
      </w:pPr>
      <w:r>
        <w:rPr>
          <w:rFonts w:ascii="Arial" w:cs="Arial" w:eastAsia="Arial" w:hAnsi="Arial"/>
          <w:color w:val="404040"/>
          <w:sz w:val="22"/>
          <w:szCs w:val="22"/>
        </w:rPr>
        <w:t xml:space="preserve">Pre-change backups must be verified before any irreversible action proceeds.</w:t>
      </w:r>
    </w:p>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5.6 Tested Before Production</w:t>
      </w:r>
    </w:p>
    <w:p>
      <w:pPr>
        <w:spacing w:after="120"/>
      </w:pPr>
      <w:r>
        <w:rPr>
          <w:rFonts w:ascii="Arial" w:cs="Arial" w:eastAsia="Arial" w:hAnsi="Arial"/>
          <w:color w:val="404040"/>
          <w:sz w:val="22"/>
          <w:szCs w:val="22"/>
        </w:rPr>
        <w:t xml:space="preserve">Owner: Automation Centre of Excellence | Status: Draft | Last Reviewed: 2026-03-17</w:t>
      </w:r>
    </w:p>
    <w:p>
      <w:pPr>
        <w:spacing w:after="120"/>
      </w:pPr>
      <w:r>
        <w:rPr>
          <w:rFonts w:ascii="Arial" w:cs="Arial" w:eastAsia="Arial" w:hAnsi="Arial"/>
          <w:color w:val="404040"/>
          <w:sz w:val="22"/>
          <w:szCs w:val="22"/>
        </w:rPr>
        <w:t xml:space="preserve">Automation must be successfully executed and validated in a non-production environment that reflects production conditions before approval for production deployment.</w:t>
      </w:r>
    </w:p>
    <w:p>
      <w:pPr>
        <w:pStyle w:val="Heading3"/>
        <w:spacing w:after="60" w:before="180"/>
      </w:pPr>
      <w:r>
        <w:rPr>
          <w:rFonts w:ascii="Arial" w:cs="Arial" w:eastAsia="Arial" w:hAnsi="Arial"/>
          <w:b/>
          <w:bCs/>
          <w:color w:val="2E75B6"/>
          <w:sz w:val="22"/>
          <w:szCs w:val="22"/>
        </w:rPr>
        <w:t xml:space="preserve">Required Test Evidence</w:t>
      </w:r>
    </w:p>
    <w:p>
      <w:pPr>
        <w:pStyle w:val="ListParagraph"/>
        <w:numPr>
          <w:ilvl w:val="0"/>
          <w:numId w:val="2"/>
        </w:numPr>
        <w:spacing w:after="60"/>
      </w:pPr>
      <w:r>
        <w:rPr>
          <w:rFonts w:ascii="Arial" w:cs="Arial" w:eastAsia="Arial" w:hAnsi="Arial"/>
          <w:color w:val="404040"/>
          <w:sz w:val="22"/>
          <w:szCs w:val="22"/>
        </w:rPr>
        <w:t xml:space="preserve">Successful full end-to-end execution log in non-production (against the same target system type as production)</w:t>
      </w:r>
    </w:p>
    <w:p>
      <w:pPr>
        <w:pStyle w:val="ListParagraph"/>
        <w:numPr>
          <w:ilvl w:val="0"/>
          <w:numId w:val="2"/>
        </w:numPr>
        <w:spacing w:after="60"/>
      </w:pPr>
      <w:r>
        <w:rPr>
          <w:rFonts w:ascii="Arial" w:cs="Arial" w:eastAsia="Arial" w:hAnsi="Arial"/>
          <w:color w:val="404040"/>
          <w:sz w:val="22"/>
          <w:szCs w:val="22"/>
        </w:rPr>
        <w:t xml:space="preserve">Failure and backout test log — execution designed to fail at a known point, backout triggered, system returned to pre-change state</w:t>
      </w:r>
    </w:p>
    <w:p>
      <w:pPr>
        <w:pStyle w:val="ListParagraph"/>
        <w:numPr>
          <w:ilvl w:val="0"/>
          <w:numId w:val="2"/>
        </w:numPr>
        <w:spacing w:after="60"/>
      </w:pPr>
      <w:r>
        <w:rPr>
          <w:rFonts w:ascii="Arial" w:cs="Arial" w:eastAsia="Arial" w:hAnsi="Arial"/>
          <w:color w:val="404040"/>
          <w:sz w:val="22"/>
          <w:szCs w:val="22"/>
        </w:rPr>
        <w:t xml:space="preserve">Idempotency test log — second run against same unmodified target, no errors, no changes reported</w:t>
      </w:r>
    </w:p>
    <w:p>
      <w:pPr>
        <w:pStyle w:val="ListParagraph"/>
        <w:numPr>
          <w:ilvl w:val="0"/>
          <w:numId w:val="2"/>
        </w:numPr>
        <w:spacing w:after="60"/>
      </w:pPr>
      <w:r>
        <w:rPr>
          <w:rFonts w:ascii="Arial" w:cs="Arial" w:eastAsia="Arial" w:hAnsi="Arial"/>
          <w:color w:val="404040"/>
          <w:sz w:val="22"/>
          <w:szCs w:val="22"/>
        </w:rPr>
        <w:t xml:space="preserve">Environmental parity documentation across six dimensions (target system type, dependency versions, execution environment, permissions model, network/connectivity, configuration structure)</w:t>
      </w:r>
    </w:p>
    <w:p>
      <w:pPr>
        <w:pStyle w:val="ListParagraph"/>
        <w:numPr>
          <w:ilvl w:val="0"/>
          <w:numId w:val="2"/>
        </w:numPr>
        <w:spacing w:after="60"/>
      </w:pPr>
      <w:r>
        <w:rPr>
          <w:rFonts w:ascii="Arial" w:cs="Arial" w:eastAsia="Arial" w:hAnsi="Arial"/>
          <w:color w:val="404040"/>
          <w:sz w:val="22"/>
          <w:szCs w:val="22"/>
        </w:rPr>
        <w:t xml:space="preserve">Linting results — pass with no unexplained errors</w:t>
      </w:r>
    </w:p>
    <w:p>
      <w:pPr>
        <w:pStyle w:val="ListParagraph"/>
        <w:numPr>
          <w:ilvl w:val="0"/>
          <w:numId w:val="2"/>
        </w:numPr>
        <w:spacing w:after="60"/>
      </w:pPr>
      <w:r>
        <w:rPr>
          <w:rFonts w:ascii="Arial" w:cs="Arial" w:eastAsia="Arial" w:hAnsi="Arial"/>
          <w:color w:val="404040"/>
          <w:sz w:val="22"/>
          <w:szCs w:val="22"/>
        </w:rPr>
        <w:t xml:space="preserve">Security scan results — no unreviewed critical or high findings</w:t>
      </w:r>
    </w:p>
    <w:p>
      <w:pPr>
        <w:pStyle w:val="ListParagraph"/>
        <w:numPr>
          <w:ilvl w:val="0"/>
          <w:numId w:val="2"/>
        </w:numPr>
        <w:spacing w:after="60"/>
      </w:pPr>
      <w:r>
        <w:rPr>
          <w:rFonts w:ascii="Arial" w:cs="Arial" w:eastAsia="Arial" w:hAnsi="Arial"/>
          <w:color w:val="404040"/>
          <w:sz w:val="22"/>
          <w:szCs w:val="22"/>
        </w:rPr>
        <w:t xml:space="preserve">Standards compliance check results</w:t>
      </w:r>
    </w:p>
    <w:p>
      <w:pPr>
        <w:pStyle w:val="ListParagraph"/>
        <w:numPr>
          <w:ilvl w:val="0"/>
          <w:numId w:val="2"/>
        </w:numPr>
        <w:spacing w:after="60"/>
      </w:pPr>
      <w:r>
        <w:rPr>
          <w:rFonts w:ascii="Arial" w:cs="Arial" w:eastAsia="Arial" w:hAnsi="Arial"/>
          <w:color w:val="404040"/>
          <w:sz w:val="22"/>
          <w:szCs w:val="22"/>
        </w:rPr>
        <w:t xml:space="preserve">Manual baseline document — the manual steps the automation replicates, reviewed by the procedure owner</w:t>
      </w:r>
    </w:p>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5.7 Observability, Logging, and Reportability</w:t>
      </w:r>
    </w:p>
    <w:p>
      <w:pPr>
        <w:spacing w:after="120"/>
      </w:pPr>
      <w:r>
        <w:rPr>
          <w:rFonts w:ascii="Arial" w:cs="Arial" w:eastAsia="Arial" w:hAnsi="Arial"/>
          <w:color w:val="404040"/>
          <w:sz w:val="22"/>
          <w:szCs w:val="22"/>
        </w:rPr>
        <w:t xml:space="preserve">Owner: Automation Centre of Excellence | Status: Draft | Last Reviewed: 2026-03-17</w:t>
      </w:r>
    </w:p>
    <w:p>
      <w:pPr>
        <w:spacing w:after="120"/>
      </w:pPr>
      <w:r>
        <w:rPr>
          <w:rFonts w:ascii="Arial" w:cs="Arial" w:eastAsia="Arial" w:hAnsi="Arial"/>
          <w:color w:val="404040"/>
          <w:sz w:val="22"/>
          <w:szCs w:val="22"/>
        </w:rPr>
        <w:t xml:space="preserve">Every execution must produce output that is sufficiently structured, complete, and consistent to reconstruct what happened from the output alone.</w:t>
      </w:r>
    </w:p>
    <w:p>
      <w:pPr>
        <w:pStyle w:val="Heading3"/>
        <w:spacing w:after="60" w:before="180"/>
      </w:pPr>
      <w:r>
        <w:rPr>
          <w:rFonts w:ascii="Arial" w:cs="Arial" w:eastAsia="Arial" w:hAnsi="Arial"/>
          <w:b/>
          <w:bCs/>
          <w:color w:val="2E75B6"/>
          <w:sz w:val="22"/>
          <w:szCs w:val="22"/>
        </w:rPr>
        <w:t xml:space="preserve">Required Output Fields</w:t>
      </w:r>
    </w:p>
    <w:p>
      <w:pPr>
        <w:spacing w:after="120"/>
      </w:pPr>
      <w:r>
        <w:rPr>
          <w:rFonts w:ascii="Arial" w:cs="Arial" w:eastAsia="Arial" w:hAnsi="Arial"/>
          <w:color w:val="404040"/>
          <w:sz w:val="22"/>
          <w:szCs w:val="22"/>
        </w:rPr>
        <w:t xml:space="preserve">Run-level summary (produced at start and end of every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Execution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Job ID or run ID assigned by AAP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Automation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Asset name as it appears in the catalog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Automation revision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Commit SHA or immutable identifier of the version that ran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Initiator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Identity that launched the execution (human or service principal)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Initiator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Manual, scheduled, or event-driven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Target scope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Systems, hosts, or resources targeted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Environment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dev, test, prod, or equivalent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Start time / End time / Duration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Timestamps and total execution time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Outcome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Success, failure, partial, or backout triggered</w:t>
            </w:r>
          </w:p>
        </w:tc>
      </w:tr>
    </w:tbl>
    <w:p>
      <w:pPr>
        <w:spacing w:after="60"/>
      </w:pPr>
      <w:r>
        <w:t xml:space="preserve"/>
      </w:r>
    </w:p>
    <w:p>
      <w:pPr>
        <w:spacing w:after="120"/>
      </w:pPr>
      <w:r>
        <w:rPr>
          <w:rFonts w:ascii="Arial" w:cs="Arial" w:eastAsia="Arial" w:hAnsi="Arial"/>
          <w:color w:val="404040"/>
          <w:sz w:val="22"/>
          <w:szCs w:val="22"/>
        </w:rPr>
        <w:t xml:space="preserve">Completion record (produced at end of every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Final outcome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Success, failure, or backout triggered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Failure classification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Which of the five Safe Execution categories applies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Failure point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Which task or step failed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Change summary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Count of targets: changed, unchanged, failed, skipped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Reference links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Links to backout evidence or created artifacts</w:t>
            </w:r>
          </w:p>
        </w:tc>
      </w:tr>
    </w:tbl>
    <w:p>
      <w:pPr>
        <w:pStyle w:val="Heading3"/>
        <w:spacing w:after="60" w:before="180"/>
      </w:pPr>
      <w:r>
        <w:rPr>
          <w:rFonts w:ascii="Arial" w:cs="Arial" w:eastAsia="Arial" w:hAnsi="Arial"/>
          <w:b/>
          <w:bCs/>
          <w:color w:val="2E75B6"/>
          <w:sz w:val="22"/>
          <w:szCs w:val="22"/>
        </w:rPr>
        <w:t xml:space="preserve">Sensitive Output Controls</w:t>
      </w:r>
    </w:p>
    <w:p>
      <w:pPr>
        <w:pStyle w:val="ListParagraph"/>
        <w:numPr>
          <w:ilvl w:val="0"/>
          <w:numId w:val="2"/>
        </w:numPr>
        <w:spacing w:after="60"/>
      </w:pPr>
      <w:r>
        <w:rPr>
          <w:rFonts w:ascii="Arial" w:cs="Arial" w:eastAsia="Arial" w:hAnsi="Arial"/>
          <w:color w:val="404040"/>
          <w:sz w:val="22"/>
          <w:szCs w:val="22"/>
        </w:rPr>
        <w:t xml:space="preserve">Never log secret values, tokens, passwords, API keys, or certificates — even in debug mode.</w:t>
      </w:r>
    </w:p>
    <w:p>
      <w:pPr>
        <w:pStyle w:val="ListParagraph"/>
        <w:numPr>
          <w:ilvl w:val="0"/>
          <w:numId w:val="2"/>
        </w:numPr>
        <w:spacing w:after="60"/>
      </w:pPr>
      <w:r>
        <w:rPr>
          <w:rFonts w:ascii="Arial" w:cs="Arial" w:eastAsia="Arial" w:hAnsi="Arial"/>
          <w:color w:val="404040"/>
          <w:sz w:val="22"/>
          <w:szCs w:val="22"/>
        </w:rPr>
        <w:t xml:space="preserve">If the automation processes data that may contain PII, do not include data content in execution logs.</w:t>
      </w:r>
    </w:p>
    <w:p>
      <w:pPr>
        <w:pStyle w:val="ListParagraph"/>
        <w:numPr>
          <w:ilvl w:val="0"/>
          <w:numId w:val="2"/>
        </w:numPr>
        <w:spacing w:after="60"/>
      </w:pPr>
      <w:r>
        <w:rPr>
          <w:rFonts w:ascii="Arial" w:cs="Arial" w:eastAsia="Arial" w:hAnsi="Arial"/>
          <w:color w:val="404040"/>
          <w:sz w:val="22"/>
          <w:szCs w:val="22"/>
        </w:rPr>
        <w:t xml:space="preserve">Masking must apply before the value reaches any log sink — not only in the final summary.</w:t>
      </w:r>
    </w:p>
    <w:p>
      <w:r>
        <w:br w:type="page"/>
      </w:r>
    </w:p>
    <w:p>
      <w:pPr>
        <w:pStyle w:val="Heading1"/>
        <w:pBdr>
          <w:bottom w:val="single" w:color="2E75B6" w:sz="6"/>
        </w:pBdr>
        <w:shd w:fill="1F4E79" w:val="clear"/>
        <w:spacing w:after="120" w:before="360"/>
      </w:pPr>
      <w:r>
        <w:rPr>
          <w:rFonts w:ascii="Arial" w:cs="Arial" w:eastAsia="Arial" w:hAnsi="Arial"/>
          <w:b/>
          <w:bCs/>
          <w:color w:val="FFFFFF"/>
          <w:sz w:val="32"/>
          <w:szCs w:val="32"/>
        </w:rPr>
        <w:t xml:space="preserve">6. Security &amp; Compliance</w:t>
      </w:r>
    </w:p>
    <w:p>
      <w:pPr>
        <w:pStyle w:val="Heading2"/>
        <w:pBdr>
          <w:bottom w:val="single" w:color="2E75B6" w:sz="4"/>
        </w:pBdr>
        <w:spacing w:after="80" w:before="240"/>
      </w:pPr>
      <w:r>
        <w:rPr>
          <w:rFonts w:ascii="Arial" w:cs="Arial" w:eastAsia="Arial" w:hAnsi="Arial"/>
          <w:b/>
          <w:bCs/>
          <w:color w:val="1F4E79"/>
          <w:sz w:val="26"/>
          <w:szCs w:val="26"/>
        </w:rPr>
        <w:t xml:space="preserve">6.1 Authentication &amp; Authorization</w:t>
      </w:r>
    </w:p>
    <w:p>
      <w:pPr>
        <w:pStyle w:val="ListParagraph"/>
        <w:numPr>
          <w:ilvl w:val="0"/>
          <w:numId w:val="2"/>
        </w:numPr>
        <w:spacing w:after="60"/>
      </w:pPr>
      <w:r>
        <w:rPr>
          <w:rFonts w:ascii="Arial" w:cs="Arial" w:eastAsia="Arial" w:hAnsi="Arial"/>
          <w:color w:val="404040"/>
          <w:sz w:val="22"/>
          <w:szCs w:val="22"/>
        </w:rPr>
        <w:t xml:space="preserve">All access to aap.metlife.com is gated by Active Directory group membership.</w:t>
      </w:r>
    </w:p>
    <w:p>
      <w:pPr>
        <w:pStyle w:val="ListParagraph"/>
        <w:numPr>
          <w:ilvl w:val="0"/>
          <w:numId w:val="2"/>
        </w:numPr>
        <w:spacing w:after="60"/>
      </w:pPr>
      <w:r>
        <w:rPr>
          <w:rFonts w:ascii="Arial" w:cs="Arial" w:eastAsia="Arial" w:hAnsi="Arial"/>
          <w:color w:val="404040"/>
          <w:sz w:val="22"/>
          <w:szCs w:val="22"/>
        </w:rPr>
        <w:t xml:space="preserve">Organization assignment within AAP is determined by group membership at login.</w:t>
      </w:r>
    </w:p>
    <w:p>
      <w:pPr>
        <w:pStyle w:val="ListParagraph"/>
        <w:numPr>
          <w:ilvl w:val="0"/>
          <w:numId w:val="2"/>
        </w:numPr>
        <w:spacing w:after="60"/>
      </w:pPr>
      <w:r>
        <w:rPr>
          <w:rFonts w:ascii="Arial" w:cs="Arial" w:eastAsia="Arial" w:hAnsi="Arial"/>
          <w:color w:val="404040"/>
          <w:sz w:val="22"/>
          <w:szCs w:val="22"/>
        </w:rPr>
        <w:t xml:space="preserve">Privileged access management (PAM) controls for admin roles: [specify CyberArk integration or equivalent].</w:t>
      </w:r>
    </w:p>
    <w:p>
      <w:pPr>
        <w:pStyle w:val="ListParagraph"/>
        <w:numPr>
          <w:ilvl w:val="0"/>
          <w:numId w:val="2"/>
        </w:numPr>
        <w:spacing w:after="60"/>
      </w:pPr>
      <w:r>
        <w:rPr>
          <w:rFonts w:ascii="Arial" w:cs="Arial" w:eastAsia="Arial" w:hAnsi="Arial"/>
          <w:color w:val="404040"/>
          <w:sz w:val="22"/>
          <w:szCs w:val="22"/>
        </w:rPr>
        <w:t xml:space="preserve">MFA: [specify — required for all production access / all access].</w:t>
      </w:r>
    </w:p>
    <w:p>
      <w:pPr>
        <w:pStyle w:val="ListParagraph"/>
        <w:numPr>
          <w:ilvl w:val="0"/>
          <w:numId w:val="2"/>
        </w:numPr>
        <w:spacing w:after="60"/>
      </w:pPr>
      <w:r>
        <w:rPr>
          <w:rFonts w:ascii="Arial" w:cs="Arial" w:eastAsia="Arial" w:hAnsi="Arial"/>
          <w:color w:val="404040"/>
          <w:sz w:val="22"/>
          <w:szCs w:val="22"/>
        </w:rPr>
        <w:t xml:space="preserve">Access review cadence: [specify — quarterly / semi-annual].</w:t>
      </w:r>
    </w:p>
    <w:p>
      <w:pPr>
        <w:pStyle w:val="ListParagraph"/>
        <w:numPr>
          <w:ilvl w:val="0"/>
          <w:numId w:val="2"/>
        </w:numPr>
        <w:spacing w:after="60"/>
      </w:pPr>
      <w:r>
        <w:rPr>
          <w:rFonts w:ascii="Arial" w:cs="Arial" w:eastAsia="Arial" w:hAnsi="Arial"/>
          <w:color w:val="404040"/>
          <w:sz w:val="22"/>
          <w:szCs w:val="22"/>
        </w:rPr>
        <w:t xml:space="preserve">Service accounts for automation: scoped per automation domain, separate prod/non-prod identities, managed by platform team.</w:t>
      </w:r>
    </w:p>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6.2 Data Protection &amp; Privacy</w:t>
      </w:r>
    </w:p>
    <w:p>
      <w:pPr>
        <w:pStyle w:val="ListParagraph"/>
        <w:numPr>
          <w:ilvl w:val="0"/>
          <w:numId w:val="2"/>
        </w:numPr>
        <w:spacing w:after="60"/>
      </w:pPr>
      <w:r>
        <w:rPr>
          <w:rFonts w:ascii="Arial" w:cs="Arial" w:eastAsia="Arial" w:hAnsi="Arial"/>
          <w:color w:val="404040"/>
          <w:sz w:val="22"/>
          <w:szCs w:val="22"/>
        </w:rPr>
        <w:t xml:space="preserve">Automation code, credentials, and inventory data are classified as Internal.</w:t>
      </w:r>
    </w:p>
    <w:p>
      <w:pPr>
        <w:pStyle w:val="ListParagraph"/>
        <w:numPr>
          <w:ilvl w:val="0"/>
          <w:numId w:val="2"/>
        </w:numPr>
        <w:spacing w:after="60"/>
      </w:pPr>
      <w:r>
        <w:rPr>
          <w:rFonts w:ascii="Arial" w:cs="Arial" w:eastAsia="Arial" w:hAnsi="Arial"/>
          <w:color w:val="404040"/>
          <w:sz w:val="22"/>
          <w:szCs w:val="22"/>
        </w:rPr>
        <w:t xml:space="preserve">Credentials at rest: stored in CyberArk / Azure Key Vault. Not in version control, YAML files, or environment variables.</w:t>
      </w:r>
    </w:p>
    <w:p>
      <w:pPr>
        <w:pStyle w:val="ListParagraph"/>
        <w:numPr>
          <w:ilvl w:val="0"/>
          <w:numId w:val="2"/>
        </w:numPr>
        <w:spacing w:after="60"/>
      </w:pPr>
      <w:r>
        <w:rPr>
          <w:rFonts w:ascii="Arial" w:cs="Arial" w:eastAsia="Arial" w:hAnsi="Arial"/>
          <w:color w:val="404040"/>
          <w:sz w:val="22"/>
          <w:szCs w:val="22"/>
        </w:rPr>
        <w:t xml:space="preserve">Credentials in transit: TLS [specify version] enforced on all platform communication.</w:t>
      </w:r>
    </w:p>
    <w:p>
      <w:pPr>
        <w:pStyle w:val="ListParagraph"/>
        <w:numPr>
          <w:ilvl w:val="0"/>
          <w:numId w:val="2"/>
        </w:numPr>
        <w:spacing w:after="60"/>
      </w:pPr>
      <w:r>
        <w:rPr>
          <w:rFonts w:ascii="Arial" w:cs="Arial" w:eastAsia="Arial" w:hAnsi="Arial"/>
          <w:color w:val="404040"/>
          <w:sz w:val="22"/>
          <w:szCs w:val="22"/>
        </w:rPr>
        <w:t xml:space="preserve">Execution logs must not contain PII, financial, or health data content. Log counts and identifiers only.</w:t>
      </w:r>
    </w:p>
    <w:p>
      <w:pPr>
        <w:pStyle w:val="ListParagraph"/>
        <w:numPr>
          <w:ilvl w:val="0"/>
          <w:numId w:val="2"/>
        </w:numPr>
        <w:spacing w:after="60"/>
      </w:pPr>
      <w:r>
        <w:rPr>
          <w:rFonts w:ascii="Arial" w:cs="Arial" w:eastAsia="Arial" w:hAnsi="Arial"/>
          <w:color w:val="404040"/>
          <w:sz w:val="22"/>
          <w:szCs w:val="22"/>
        </w:rPr>
        <w:t xml:space="preserve">Output artifacts containing sensitive data must be stored in [specify approved location] and must not be attached to tickets unless explicitly permitted.</w:t>
      </w:r>
    </w:p>
    <w:p>
      <w:pPr>
        <w:pStyle w:val="ListParagraph"/>
        <w:numPr>
          <w:ilvl w:val="0"/>
          <w:numId w:val="2"/>
        </w:numPr>
        <w:spacing w:after="60"/>
      </w:pPr>
      <w:r>
        <w:rPr>
          <w:rFonts w:ascii="Arial" w:cs="Arial" w:eastAsia="Arial" w:hAnsi="Arial"/>
          <w:color w:val="404040"/>
          <w:sz w:val="22"/>
          <w:szCs w:val="22"/>
        </w:rPr>
        <w:t xml:space="preserve">Data residency: [specify if applicable].</w:t>
      </w:r>
    </w:p>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6.3 Compliance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Framework / Policy</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Application to Automation Platform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[SOX / PCI-DSS / NIST / Internal policy — specify]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Change control, access management, audit trail requirements — map here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Secret management policy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All credentials in CyberArk or Azure Key Vault. Secret scanning in CI pipeline.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Separation of duties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High-risk automation requires a second approver. Self-service workflows require an approval node.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Audit trail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AAP records job ID, initiator, timestamp, and exit status for every execution. SIEM integration retains logs per policy.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Vulnerability management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Execution environments patched per [specify cadence]. Security scan required before production promotion.</w:t>
            </w:r>
          </w:p>
        </w:tc>
      </w:tr>
    </w:tbl>
    <w:p>
      <w:r>
        <w:br w:type="page"/>
      </w:r>
    </w:p>
    <w:p>
      <w:pPr>
        <w:pStyle w:val="Heading1"/>
        <w:pBdr>
          <w:bottom w:val="single" w:color="2E75B6" w:sz="6"/>
        </w:pBdr>
        <w:shd w:fill="1F4E79" w:val="clear"/>
        <w:spacing w:after="120" w:before="360"/>
      </w:pPr>
      <w:r>
        <w:rPr>
          <w:rFonts w:ascii="Arial" w:cs="Arial" w:eastAsia="Arial" w:hAnsi="Arial"/>
          <w:b/>
          <w:bCs/>
          <w:color w:val="FFFFFF"/>
          <w:sz w:val="32"/>
          <w:szCs w:val="32"/>
        </w:rPr>
        <w:t xml:space="preserve">7. Non-Functional Requirements</w:t>
      </w:r>
    </w:p>
    <w:p>
      <w:pPr>
        <w:pStyle w:val="Heading2"/>
        <w:pBdr>
          <w:bottom w:val="single" w:color="2E75B6" w:sz="4"/>
        </w:pBdr>
        <w:spacing w:after="80" w:before="240"/>
      </w:pPr>
      <w:r>
        <w:rPr>
          <w:rFonts w:ascii="Arial" w:cs="Arial" w:eastAsia="Arial" w:hAnsi="Arial"/>
          <w:b/>
          <w:bCs/>
          <w:color w:val="1F4E79"/>
          <w:sz w:val="26"/>
          <w:szCs w:val="26"/>
        </w:rPr>
        <w:t xml:space="preserve">7.1 Scalability</w:t>
      </w:r>
    </w:p>
    <w:p>
      <w:pPr>
        <w:pStyle w:val="ListParagraph"/>
        <w:numPr>
          <w:ilvl w:val="0"/>
          <w:numId w:val="2"/>
        </w:numPr>
        <w:spacing w:after="60"/>
      </w:pPr>
      <w:r>
        <w:rPr>
          <w:rFonts w:ascii="Arial" w:cs="Arial" w:eastAsia="Arial" w:hAnsi="Arial"/>
          <w:color w:val="404040"/>
          <w:sz w:val="22"/>
          <w:szCs w:val="22"/>
        </w:rPr>
        <w:t xml:space="preserve">Execution nodes are provisioned per organization, enabling independent horizontal scaling per org.</w:t>
      </w:r>
    </w:p>
    <w:p>
      <w:pPr>
        <w:pStyle w:val="ListParagraph"/>
        <w:numPr>
          <w:ilvl w:val="0"/>
          <w:numId w:val="2"/>
        </w:numPr>
        <w:spacing w:after="60"/>
      </w:pPr>
      <w:r>
        <w:rPr>
          <w:rFonts w:ascii="Arial" w:cs="Arial" w:eastAsia="Arial" w:hAnsi="Arial"/>
          <w:color w:val="404040"/>
          <w:sz w:val="22"/>
          <w:szCs w:val="22"/>
        </w:rPr>
        <w:t xml:space="preserve">Scaling trigger: [specify — e.g., job queue depth &gt; X, average wait time &gt; Y seconds].</w:t>
      </w:r>
    </w:p>
    <w:p>
      <w:pPr>
        <w:pStyle w:val="ListParagraph"/>
        <w:numPr>
          <w:ilvl w:val="0"/>
          <w:numId w:val="2"/>
        </w:numPr>
        <w:spacing w:after="60"/>
      </w:pPr>
      <w:r>
        <w:rPr>
          <w:rFonts w:ascii="Arial" w:cs="Arial" w:eastAsia="Arial" w:hAnsi="Arial"/>
          <w:color w:val="404040"/>
          <w:sz w:val="22"/>
          <w:szCs w:val="22"/>
        </w:rPr>
        <w:t xml:space="preserve">Maximum supported concurrent jobs per org: [specify]. Platform-wide: [specify].</w:t>
      </w:r>
    </w:p>
    <w:p>
      <w:pPr>
        <w:pStyle w:val="ListParagraph"/>
        <w:numPr>
          <w:ilvl w:val="0"/>
          <w:numId w:val="2"/>
        </w:numPr>
        <w:spacing w:after="60"/>
      </w:pPr>
      <w:r>
        <w:rPr>
          <w:rFonts w:ascii="Arial" w:cs="Arial" w:eastAsia="Arial" w:hAnsi="Arial"/>
          <w:color w:val="404040"/>
          <w:sz w:val="22"/>
          <w:szCs w:val="22"/>
        </w:rPr>
        <w:t xml:space="preserve">Inventory sync scales independently — Satellite and CMDB sources are polled independently.</w:t>
      </w:r>
    </w:p>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7.2 Availability</w:t>
      </w:r>
    </w:p>
    <w:p>
      <w:pPr>
        <w:pStyle w:val="ListParagraph"/>
        <w:numPr>
          <w:ilvl w:val="0"/>
          <w:numId w:val="2"/>
        </w:numPr>
        <w:spacing w:after="60"/>
      </w:pPr>
      <w:r>
        <w:rPr>
          <w:rFonts w:ascii="Arial" w:cs="Arial" w:eastAsia="Arial" w:hAnsi="Arial"/>
          <w:color w:val="404040"/>
          <w:sz w:val="22"/>
          <w:szCs w:val="22"/>
        </w:rPr>
        <w:t xml:space="preserve">Control plane: 3 load-balanced control nodes eliminate single-point-of-failure at the dashboard and API tier.</w:t>
      </w:r>
    </w:p>
    <w:p>
      <w:pPr>
        <w:pStyle w:val="ListParagraph"/>
        <w:numPr>
          <w:ilvl w:val="0"/>
          <w:numId w:val="2"/>
        </w:numPr>
        <w:spacing w:after="60"/>
      </w:pPr>
      <w:r>
        <w:rPr>
          <w:rFonts w:ascii="Arial" w:cs="Arial" w:eastAsia="Arial" w:hAnsi="Arial"/>
          <w:color w:val="404040"/>
          <w:sz w:val="22"/>
          <w:szCs w:val="22"/>
        </w:rPr>
        <w:t xml:space="preserve">Target availability SLA: [specify — e.g., 99.9%].</w:t>
      </w:r>
    </w:p>
    <w:p>
      <w:pPr>
        <w:pStyle w:val="ListParagraph"/>
        <w:numPr>
          <w:ilvl w:val="0"/>
          <w:numId w:val="2"/>
        </w:numPr>
        <w:spacing w:after="60"/>
      </w:pPr>
      <w:r>
        <w:rPr>
          <w:rFonts w:ascii="Arial" w:cs="Arial" w:eastAsia="Arial" w:hAnsi="Arial"/>
          <w:color w:val="404040"/>
          <w:sz w:val="22"/>
          <w:szCs w:val="22"/>
        </w:rPr>
        <w:t xml:space="preserve">Maintenance window allowance: [specify — e.g., 4 hours per month scheduled].</w:t>
      </w:r>
    </w:p>
    <w:p>
      <w:pPr>
        <w:pStyle w:val="ListParagraph"/>
        <w:numPr>
          <w:ilvl w:val="0"/>
          <w:numId w:val="2"/>
        </w:numPr>
        <w:spacing w:after="60"/>
      </w:pPr>
      <w:r>
        <w:rPr>
          <w:rFonts w:ascii="Arial" w:cs="Arial" w:eastAsia="Arial" w:hAnsi="Arial"/>
          <w:color w:val="404040"/>
          <w:sz w:val="22"/>
          <w:szCs w:val="22"/>
        </w:rPr>
        <w:t xml:space="preserve">AAP database: [specify — active/passive HA, backup restore, or equivalent].</w:t>
      </w:r>
    </w:p>
    <w:p>
      <w:pPr>
        <w:pStyle w:val="ListParagraph"/>
        <w:numPr>
          <w:ilvl w:val="0"/>
          <w:numId w:val="2"/>
        </w:numPr>
        <w:spacing w:after="60"/>
      </w:pPr>
      <w:r>
        <w:rPr>
          <w:rFonts w:ascii="Arial" w:cs="Arial" w:eastAsia="Arial" w:hAnsi="Arial"/>
          <w:color w:val="404040"/>
          <w:sz w:val="22"/>
          <w:szCs w:val="22"/>
        </w:rPr>
        <w:t xml:space="preserve">Execution node failure: [specify behavior — job re-queued to remaining nodes in org pool or failed with classified error].</w:t>
      </w:r>
    </w:p>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7.3 Performance</w:t>
      </w:r>
    </w:p>
    <w:p>
      <w:pPr>
        <w:pStyle w:val="ListParagraph"/>
        <w:numPr>
          <w:ilvl w:val="0"/>
          <w:numId w:val="2"/>
        </w:numPr>
        <w:spacing w:after="60"/>
      </w:pPr>
      <w:r>
        <w:rPr>
          <w:rFonts w:ascii="Arial" w:cs="Arial" w:eastAsia="Arial" w:hAnsi="Arial"/>
          <w:color w:val="404040"/>
          <w:sz w:val="22"/>
          <w:szCs w:val="22"/>
        </w:rPr>
        <w:t xml:space="preserve">Maximum acceptable job scheduling latency from submission to execution start: [specify — e.g., &lt; 30 seconds under normal load].</w:t>
      </w:r>
    </w:p>
    <w:p>
      <w:pPr>
        <w:pStyle w:val="ListParagraph"/>
        <w:numPr>
          <w:ilvl w:val="0"/>
          <w:numId w:val="2"/>
        </w:numPr>
        <w:spacing w:after="60"/>
      </w:pPr>
      <w:r>
        <w:rPr>
          <w:rFonts w:ascii="Arial" w:cs="Arial" w:eastAsia="Arial" w:hAnsi="Arial"/>
          <w:color w:val="404040"/>
          <w:sz w:val="22"/>
          <w:szCs w:val="22"/>
        </w:rPr>
        <w:t xml:space="preserve">Dashboard response time SLA: [specify — e.g., &lt; 3 seconds for page loads].</w:t>
      </w:r>
    </w:p>
    <w:p>
      <w:pPr>
        <w:pStyle w:val="ListParagraph"/>
        <w:numPr>
          <w:ilvl w:val="0"/>
          <w:numId w:val="2"/>
        </w:numPr>
        <w:spacing w:after="60"/>
      </w:pPr>
      <w:r>
        <w:rPr>
          <w:rFonts w:ascii="Arial" w:cs="Arial" w:eastAsia="Arial" w:hAnsi="Arial"/>
          <w:color w:val="404040"/>
          <w:sz w:val="22"/>
          <w:szCs w:val="22"/>
        </w:rPr>
        <w:t xml:space="preserve">Inventory sync frequency: [specify — e.g., every 30 minutes from Satellite, every 60 minutes from CMDB].</w:t>
      </w:r>
    </w:p>
    <w:p>
      <w:pPr>
        <w:pStyle w:val="ListParagraph"/>
        <w:numPr>
          <w:ilvl w:val="0"/>
          <w:numId w:val="2"/>
        </w:numPr>
        <w:spacing w:after="60"/>
      </w:pPr>
      <w:r>
        <w:rPr>
          <w:rFonts w:ascii="Arial" w:cs="Arial" w:eastAsia="Arial" w:hAnsi="Arial"/>
          <w:color w:val="404040"/>
          <w:sz w:val="22"/>
          <w:szCs w:val="22"/>
        </w:rPr>
        <w:t xml:space="preserve">Acceptable inventory lag before a job may use stale data: [specify].</w:t>
      </w:r>
    </w:p>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7.4 Reliability</w:t>
      </w:r>
    </w:p>
    <w:p>
      <w:pPr>
        <w:pStyle w:val="ListParagraph"/>
        <w:numPr>
          <w:ilvl w:val="0"/>
          <w:numId w:val="2"/>
        </w:numPr>
        <w:spacing w:after="60"/>
      </w:pPr>
      <w:r>
        <w:rPr>
          <w:rFonts w:ascii="Arial" w:cs="Arial" w:eastAsia="Arial" w:hAnsi="Arial"/>
          <w:color w:val="404040"/>
          <w:sz w:val="22"/>
          <w:szCs w:val="22"/>
        </w:rPr>
        <w:t xml:space="preserve">All production automation must be idempotent and safe to re-run after any failure (see Section 5.4).</w:t>
      </w:r>
    </w:p>
    <w:p>
      <w:pPr>
        <w:pStyle w:val="ListParagraph"/>
        <w:numPr>
          <w:ilvl w:val="0"/>
          <w:numId w:val="2"/>
        </w:numPr>
        <w:spacing w:after="60"/>
      </w:pPr>
      <w:r>
        <w:rPr>
          <w:rFonts w:ascii="Arial" w:cs="Arial" w:eastAsia="Arial" w:hAnsi="Arial"/>
          <w:color w:val="404040"/>
          <w:sz w:val="22"/>
          <w:szCs w:val="22"/>
        </w:rPr>
        <w:t xml:space="preserve">All production automation must implement automatic backout and recovery (see Section 5.5).</w:t>
      </w:r>
    </w:p>
    <w:p>
      <w:pPr>
        <w:pStyle w:val="ListParagraph"/>
        <w:numPr>
          <w:ilvl w:val="0"/>
          <w:numId w:val="2"/>
        </w:numPr>
        <w:spacing w:after="60"/>
      </w:pPr>
      <w:r>
        <w:rPr>
          <w:rFonts w:ascii="Arial" w:cs="Arial" w:eastAsia="Arial" w:hAnsi="Arial"/>
          <w:color w:val="404040"/>
          <w:sz w:val="22"/>
          <w:szCs w:val="22"/>
        </w:rPr>
        <w:t xml:space="preserve">Job retry behavior: defined per automation per the Idempotency standard — bounded retries with backoff. Not open-ended.</w:t>
      </w:r>
    </w:p>
    <w:p>
      <w:pPr>
        <w:pStyle w:val="ListParagraph"/>
        <w:numPr>
          <w:ilvl w:val="0"/>
          <w:numId w:val="2"/>
        </w:numPr>
        <w:spacing w:after="60"/>
      </w:pPr>
      <w:r>
        <w:rPr>
          <w:rFonts w:ascii="Arial" w:cs="Arial" w:eastAsia="Arial" w:hAnsi="Arial"/>
          <w:color w:val="404040"/>
          <w:sz w:val="22"/>
          <w:szCs w:val="22"/>
        </w:rPr>
        <w:t xml:space="preserve">Execution node failover: [specify — e.g., if a node becomes unavailable, AAP [reroutes/fails with classified error]].</w:t>
      </w:r>
    </w:p>
    <w:p>
      <w:pPr>
        <w:pStyle w:val="ListParagraph"/>
        <w:numPr>
          <w:ilvl w:val="0"/>
          <w:numId w:val="2"/>
        </w:numPr>
        <w:spacing w:after="60"/>
      </w:pPr>
      <w:r>
        <w:rPr>
          <w:rFonts w:ascii="Arial" w:cs="Arial" w:eastAsia="Arial" w:hAnsi="Arial"/>
          <w:color w:val="404040"/>
          <w:sz w:val="22"/>
          <w:szCs w:val="22"/>
        </w:rPr>
        <w:t xml:space="preserve">RTO for AAP platform recovery after a platform-level failure: [specify].</w:t>
      </w:r>
    </w:p>
    <w:p>
      <w:pPr>
        <w:pStyle w:val="ListParagraph"/>
        <w:numPr>
          <w:ilvl w:val="0"/>
          <w:numId w:val="2"/>
        </w:numPr>
        <w:spacing w:after="60"/>
      </w:pPr>
      <w:r>
        <w:rPr>
          <w:rFonts w:ascii="Arial" w:cs="Arial" w:eastAsia="Arial" w:hAnsi="Arial"/>
          <w:color w:val="404040"/>
          <w:sz w:val="22"/>
          <w:szCs w:val="22"/>
        </w:rPr>
        <w:t xml:space="preserve">RPO for AAP configuration and job history: [specify].</w:t>
      </w:r>
    </w:p>
    <w:p>
      <w:r>
        <w:br w:type="page"/>
      </w:r>
    </w:p>
    <w:p>
      <w:pPr>
        <w:pStyle w:val="Heading1"/>
        <w:pBdr>
          <w:bottom w:val="single" w:color="2E75B6" w:sz="6"/>
        </w:pBdr>
        <w:shd w:fill="1F4E79" w:val="clear"/>
        <w:spacing w:after="120" w:before="360"/>
      </w:pPr>
      <w:r>
        <w:rPr>
          <w:rFonts w:ascii="Arial" w:cs="Arial" w:eastAsia="Arial" w:hAnsi="Arial"/>
          <w:b/>
          <w:bCs/>
          <w:color w:val="FFFFFF"/>
          <w:sz w:val="32"/>
          <w:szCs w:val="32"/>
        </w:rPr>
        <w:t xml:space="preserve">8. Operational Considerations</w:t>
      </w:r>
    </w:p>
    <w:p>
      <w:pPr>
        <w:pStyle w:val="Heading2"/>
        <w:pBdr>
          <w:bottom w:val="single" w:color="2E75B6" w:sz="4"/>
        </w:pBdr>
        <w:spacing w:after="80" w:before="240"/>
      </w:pPr>
      <w:r>
        <w:rPr>
          <w:rFonts w:ascii="Arial" w:cs="Arial" w:eastAsia="Arial" w:hAnsi="Arial"/>
          <w:b/>
          <w:bCs/>
          <w:color w:val="1F4E79"/>
          <w:sz w:val="26"/>
          <w:szCs w:val="26"/>
        </w:rPr>
        <w:t xml:space="preserve">8.1 Monitoring &amp; Logging</w:t>
      </w:r>
    </w:p>
    <w:p>
      <w:pPr>
        <w:pStyle w:val="ListParagraph"/>
        <w:numPr>
          <w:ilvl w:val="0"/>
          <w:numId w:val="2"/>
        </w:numPr>
        <w:spacing w:after="60"/>
      </w:pPr>
      <w:r>
        <w:rPr>
          <w:rFonts w:ascii="Arial" w:cs="Arial" w:eastAsia="Arial" w:hAnsi="Arial"/>
          <w:color w:val="404040"/>
          <w:sz w:val="22"/>
          <w:szCs w:val="22"/>
        </w:rPr>
        <w:t xml:space="preserve">Monitoring tooling: [specify — e.g., Splunk, Dynatrace, Prometheus/Grafana].</w:t>
      </w:r>
    </w:p>
    <w:p>
      <w:pPr>
        <w:pStyle w:val="ListParagraph"/>
        <w:numPr>
          <w:ilvl w:val="0"/>
          <w:numId w:val="2"/>
        </w:numPr>
        <w:spacing w:after="60"/>
      </w:pPr>
      <w:r>
        <w:rPr>
          <w:rFonts w:ascii="Arial" w:cs="Arial" w:eastAsia="Arial" w:hAnsi="Arial"/>
          <w:color w:val="404040"/>
          <w:sz w:val="22"/>
          <w:szCs w:val="22"/>
        </w:rPr>
        <w:t xml:space="preserve">Key platform health metrics: control node availability, job failure rate, execution node queue depth, inventory sync lag, job scheduling latency.</w:t>
      </w:r>
    </w:p>
    <w:p>
      <w:pPr>
        <w:pStyle w:val="ListParagraph"/>
        <w:numPr>
          <w:ilvl w:val="0"/>
          <w:numId w:val="2"/>
        </w:numPr>
        <w:spacing w:after="60"/>
      </w:pPr>
      <w:r>
        <w:rPr>
          <w:rFonts w:ascii="Arial" w:cs="Arial" w:eastAsia="Arial" w:hAnsi="Arial"/>
          <w:color w:val="404040"/>
          <w:sz w:val="22"/>
          <w:szCs w:val="22"/>
        </w:rPr>
        <w:t xml:space="preserve">Alerting thresholds and on-call routing: [specify — e.g., PagerDuty routing rules for P1/P2 alerts].</w:t>
      </w:r>
    </w:p>
    <w:p>
      <w:pPr>
        <w:pStyle w:val="ListParagraph"/>
        <w:numPr>
          <w:ilvl w:val="0"/>
          <w:numId w:val="2"/>
        </w:numPr>
        <w:spacing w:after="60"/>
      </w:pPr>
      <w:r>
        <w:rPr>
          <w:rFonts w:ascii="Arial" w:cs="Arial" w:eastAsia="Arial" w:hAnsi="Arial"/>
          <w:color w:val="404040"/>
          <w:sz w:val="22"/>
          <w:szCs w:val="22"/>
        </w:rPr>
        <w:t xml:space="preserve">Execution log retention: per platform retention policy ([specify duration]). Long-term retention artifacts written to [specify durable storage].</w:t>
      </w:r>
    </w:p>
    <w:p>
      <w:pPr>
        <w:pStyle w:val="ListParagraph"/>
        <w:numPr>
          <w:ilvl w:val="0"/>
          <w:numId w:val="2"/>
        </w:numPr>
        <w:spacing w:after="60"/>
      </w:pPr>
      <w:r>
        <w:rPr>
          <w:rFonts w:ascii="Arial" w:cs="Arial" w:eastAsia="Arial" w:hAnsi="Arial"/>
          <w:color w:val="404040"/>
          <w:sz w:val="22"/>
          <w:szCs w:val="22"/>
        </w:rPr>
        <w:t xml:space="preserve">SIEM integration: AAP job logs forwarded to [specify]. Structured execution output fields enable automated alerting and cross-team aggregation.</w:t>
      </w:r>
    </w:p>
    <w:p>
      <w:pPr>
        <w:pStyle w:val="ListParagraph"/>
        <w:numPr>
          <w:ilvl w:val="0"/>
          <w:numId w:val="2"/>
        </w:numPr>
        <w:spacing w:after="60"/>
      </w:pPr>
      <w:r>
        <w:rPr>
          <w:rFonts w:ascii="Arial" w:cs="Arial" w:eastAsia="Arial" w:hAnsi="Arial"/>
          <w:color w:val="404040"/>
          <w:sz w:val="22"/>
          <w:szCs w:val="22"/>
        </w:rPr>
        <w:t xml:space="preserve">Business value reporting: hours saved and automation coverage metrics produced as structured fields in execution output and aggregated via the enterprise observability pipeline.</w:t>
      </w:r>
    </w:p>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8.2 Backup &amp; Disaster Recovery</w:t>
      </w:r>
    </w:p>
    <w:p>
      <w:pPr>
        <w:pStyle w:val="ListParagraph"/>
        <w:numPr>
          <w:ilvl w:val="0"/>
          <w:numId w:val="2"/>
        </w:numPr>
        <w:spacing w:after="60"/>
      </w:pPr>
      <w:r>
        <w:rPr>
          <w:rFonts w:ascii="Arial" w:cs="Arial" w:eastAsia="Arial" w:hAnsi="Arial"/>
          <w:color w:val="404040"/>
          <w:sz w:val="22"/>
          <w:szCs w:val="22"/>
        </w:rPr>
        <w:t xml:space="preserve">AAP configuration backup: [specify — frequency, location, encryption].</w:t>
      </w:r>
    </w:p>
    <w:p>
      <w:pPr>
        <w:pStyle w:val="ListParagraph"/>
        <w:numPr>
          <w:ilvl w:val="0"/>
          <w:numId w:val="2"/>
        </w:numPr>
        <w:spacing w:after="60"/>
      </w:pPr>
      <w:r>
        <w:rPr>
          <w:rFonts w:ascii="Arial" w:cs="Arial" w:eastAsia="Arial" w:hAnsi="Arial"/>
          <w:color w:val="404040"/>
          <w:sz w:val="22"/>
          <w:szCs w:val="22"/>
        </w:rPr>
        <w:t xml:space="preserve">AAP database backup: [specify — frequency, retention, restore procedure].</w:t>
      </w:r>
    </w:p>
    <w:p>
      <w:pPr>
        <w:pStyle w:val="ListParagraph"/>
        <w:numPr>
          <w:ilvl w:val="0"/>
          <w:numId w:val="2"/>
        </w:numPr>
        <w:spacing w:after="60"/>
      </w:pPr>
      <w:r>
        <w:rPr>
          <w:rFonts w:ascii="Arial" w:cs="Arial" w:eastAsia="Arial" w:hAnsi="Arial"/>
          <w:color w:val="404040"/>
          <w:sz w:val="22"/>
          <w:szCs w:val="22"/>
        </w:rPr>
        <w:t xml:space="preserve">RTO target for full platform recovery: [specify].</w:t>
      </w:r>
    </w:p>
    <w:p>
      <w:pPr>
        <w:pStyle w:val="ListParagraph"/>
        <w:numPr>
          <w:ilvl w:val="0"/>
          <w:numId w:val="2"/>
        </w:numPr>
        <w:spacing w:after="60"/>
      </w:pPr>
      <w:r>
        <w:rPr>
          <w:rFonts w:ascii="Arial" w:cs="Arial" w:eastAsia="Arial" w:hAnsi="Arial"/>
          <w:color w:val="404040"/>
          <w:sz w:val="22"/>
          <w:szCs w:val="22"/>
        </w:rPr>
        <w:t xml:space="preserve">RPO target: [specify].</w:t>
      </w:r>
    </w:p>
    <w:p>
      <w:pPr>
        <w:pStyle w:val="ListParagraph"/>
        <w:numPr>
          <w:ilvl w:val="0"/>
          <w:numId w:val="2"/>
        </w:numPr>
        <w:spacing w:after="60"/>
      </w:pPr>
      <w:r>
        <w:rPr>
          <w:rFonts w:ascii="Arial" w:cs="Arial" w:eastAsia="Arial" w:hAnsi="Arial"/>
          <w:color w:val="404040"/>
          <w:sz w:val="22"/>
          <w:szCs w:val="22"/>
        </w:rPr>
        <w:t xml:space="preserve">DR failover procedure: [specify — active/passive, manual restore, or equivalent].</w:t>
      </w:r>
    </w:p>
    <w:p>
      <w:pPr>
        <w:pStyle w:val="ListParagraph"/>
        <w:numPr>
          <w:ilvl w:val="0"/>
          <w:numId w:val="2"/>
        </w:numPr>
        <w:spacing w:after="60"/>
      </w:pPr>
      <w:r>
        <w:rPr>
          <w:rFonts w:ascii="Arial" w:cs="Arial" w:eastAsia="Arial" w:hAnsi="Arial"/>
          <w:color w:val="404040"/>
          <w:sz w:val="22"/>
          <w:szCs w:val="22"/>
        </w:rPr>
        <w:t xml:space="preserve">Backup storage: [specify — location and encryption].</w:t>
      </w:r>
    </w:p>
    <w:p>
      <w:pPr>
        <w:pStyle w:val="ListParagraph"/>
        <w:numPr>
          <w:ilvl w:val="0"/>
          <w:numId w:val="2"/>
        </w:numPr>
        <w:spacing w:after="60"/>
      </w:pPr>
      <w:r>
        <w:rPr>
          <w:rFonts w:ascii="Arial" w:cs="Arial" w:eastAsia="Arial" w:hAnsi="Arial"/>
          <w:color w:val="404040"/>
          <w:sz w:val="22"/>
          <w:szCs w:val="22"/>
        </w:rPr>
        <w:t xml:space="preserve">Backup validation: [specify — tested on what cadence].</w:t>
      </w:r>
    </w:p>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8.3 Support &amp; Maintenance</w:t>
      </w:r>
    </w:p>
    <w:p>
      <w:pPr>
        <w:pStyle w:val="ListParagraph"/>
        <w:numPr>
          <w:ilvl w:val="0"/>
          <w:numId w:val="2"/>
        </w:numPr>
        <w:spacing w:after="60"/>
      </w:pPr>
      <w:r>
        <w:rPr>
          <w:rFonts w:ascii="Arial" w:cs="Arial" w:eastAsia="Arial" w:hAnsi="Arial"/>
          <w:color w:val="404040"/>
          <w:sz w:val="22"/>
          <w:szCs w:val="22"/>
        </w:rPr>
        <w:t xml:space="preserve">Platform owner: Automation Centre of Excellence.</w:t>
      </w:r>
    </w:p>
    <w:p>
      <w:pPr>
        <w:pStyle w:val="ListParagraph"/>
        <w:numPr>
          <w:ilvl w:val="0"/>
          <w:numId w:val="2"/>
        </w:numPr>
        <w:spacing w:after="60"/>
      </w:pPr>
      <w:r>
        <w:rPr>
          <w:rFonts w:ascii="Arial" w:cs="Arial" w:eastAsia="Arial" w:hAnsi="Arial"/>
          <w:color w:val="404040"/>
          <w:sz w:val="22"/>
          <w:szCs w:val="22"/>
        </w:rPr>
        <w:t xml:space="preserve">Support tier: L1 [specify] | L2 [specify] | L3 — Automation CoE + Red Hat support.</w:t>
      </w:r>
    </w:p>
    <w:p>
      <w:pPr>
        <w:pStyle w:val="ListParagraph"/>
        <w:numPr>
          <w:ilvl w:val="0"/>
          <w:numId w:val="2"/>
        </w:numPr>
        <w:spacing w:after="60"/>
      </w:pPr>
      <w:r>
        <w:rPr>
          <w:rFonts w:ascii="Arial" w:cs="Arial" w:eastAsia="Arial" w:hAnsi="Arial"/>
          <w:color w:val="404040"/>
          <w:sz w:val="22"/>
          <w:szCs w:val="22"/>
        </w:rPr>
        <w:t xml:space="preserve">Red Hat support contract level: [specify tier].</w:t>
      </w:r>
    </w:p>
    <w:p>
      <w:pPr>
        <w:pStyle w:val="ListParagraph"/>
        <w:numPr>
          <w:ilvl w:val="0"/>
          <w:numId w:val="2"/>
        </w:numPr>
        <w:spacing w:after="60"/>
      </w:pPr>
      <w:r>
        <w:rPr>
          <w:rFonts w:ascii="Arial" w:cs="Arial" w:eastAsia="Arial" w:hAnsi="Arial"/>
          <w:color w:val="404040"/>
          <w:sz w:val="22"/>
          <w:szCs w:val="22"/>
        </w:rPr>
        <w:t xml:space="preserve">Escalation path: [specify contact chain].</w:t>
      </w:r>
    </w:p>
    <w:p>
      <w:pPr>
        <w:pStyle w:val="ListParagraph"/>
        <w:numPr>
          <w:ilvl w:val="0"/>
          <w:numId w:val="2"/>
        </w:numPr>
        <w:spacing w:after="60"/>
      </w:pPr>
      <w:r>
        <w:rPr>
          <w:rFonts w:ascii="Arial" w:cs="Arial" w:eastAsia="Arial" w:hAnsi="Arial"/>
          <w:color w:val="404040"/>
          <w:sz w:val="22"/>
          <w:szCs w:val="22"/>
        </w:rPr>
        <w:t xml:space="preserve">Patching cadence: AAP platform — [specify]. Execution environment images — [specify]. Underlying OS — [specify].</w:t>
      </w:r>
    </w:p>
    <w:p>
      <w:pPr>
        <w:pStyle w:val="ListParagraph"/>
        <w:numPr>
          <w:ilvl w:val="0"/>
          <w:numId w:val="2"/>
        </w:numPr>
        <w:spacing w:after="60"/>
      </w:pPr>
      <w:r>
        <w:rPr>
          <w:rFonts w:ascii="Arial" w:cs="Arial" w:eastAsia="Arial" w:hAnsi="Arial"/>
          <w:color w:val="404040"/>
          <w:sz w:val="22"/>
          <w:szCs w:val="22"/>
        </w:rPr>
        <w:t xml:space="preserve">Planned maintenance windows: [specify — e.g., first Sunday of each month, 02:00–06:00 ET].</w:t>
      </w:r>
    </w:p>
    <w:p>
      <w:r>
        <w:br w:type="page"/>
      </w:r>
    </w:p>
    <w:p>
      <w:pPr>
        <w:pStyle w:val="Heading1"/>
        <w:pBdr>
          <w:bottom w:val="single" w:color="2E75B6" w:sz="6"/>
        </w:pBdr>
        <w:shd w:fill="1F4E79" w:val="clear"/>
        <w:spacing w:after="120" w:before="360"/>
      </w:pPr>
      <w:r>
        <w:rPr>
          <w:rFonts w:ascii="Arial" w:cs="Arial" w:eastAsia="Arial" w:hAnsi="Arial"/>
          <w:b/>
          <w:bCs/>
          <w:color w:val="FFFFFF"/>
          <w:sz w:val="32"/>
          <w:szCs w:val="32"/>
        </w:rPr>
        <w:t xml:space="preserve">9. Change Management &amp; Governance</w:t>
      </w:r>
    </w:p>
    <w:p>
      <w:pPr>
        <w:pStyle w:val="Heading2"/>
        <w:pBdr>
          <w:bottom w:val="single" w:color="2E75B6" w:sz="4"/>
        </w:pBdr>
        <w:spacing w:after="80" w:before="240"/>
      </w:pPr>
      <w:r>
        <w:rPr>
          <w:rFonts w:ascii="Arial" w:cs="Arial" w:eastAsia="Arial" w:hAnsi="Arial"/>
          <w:b/>
          <w:bCs/>
          <w:color w:val="1F4E79"/>
          <w:sz w:val="26"/>
          <w:szCs w:val="26"/>
        </w:rPr>
        <w:t xml:space="preserve">9.1 Change Control Process</w:t>
      </w:r>
    </w:p>
    <w:p>
      <w:pPr>
        <w:spacing w:after="120"/>
      </w:pPr>
      <w:r>
        <w:rPr>
          <w:rFonts w:ascii="Arial" w:cs="Arial" w:eastAsia="Arial" w:hAnsi="Arial"/>
          <w:color w:val="404040"/>
          <w:sz w:val="22"/>
          <w:szCs w:val="22"/>
        </w:rPr>
        <w:t xml:space="preserve">All changes to the AAP platform and to automation assets must follow the enterprise change management process. This covers infrastructure changes, AAP configuration changes, RBAC changes, and automation code promotion to production.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 Type</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Classification | Required Approvals | Lead Time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Standard automation code promotion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Normal | Automation CoE approval + second approver if high-risk | [specify]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AAP platform configuration change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Normal | Platform team lead + CoE sign-off | [specify]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RBAC / organization change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Normal | Security + CoE | [specify]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Emergency fix (production incident)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Emergency | [specify emergency approval chain] | Immediate + post-change review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New organization onboarding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Normal | CoE + platform team | [specify]</w:t>
            </w:r>
          </w:p>
        </w:tc>
      </w:tr>
    </w:tbl>
    <w:p>
      <w:pPr>
        <w:spacing w:after="60"/>
      </w:pPr>
      <w:r>
        <w:t xml:space="preserve"/>
      </w:r>
    </w:p>
    <w:p>
      <w:pPr>
        <w:spacing w:after="120"/>
      </w:pPr>
      <w:r>
        <w:rPr>
          <w:rFonts w:ascii="Arial" w:cs="Arial" w:eastAsia="Arial" w:hAnsi="Arial"/>
          <w:color w:val="404040"/>
          <w:sz w:val="22"/>
          <w:szCs w:val="22"/>
        </w:rPr>
        <w:t xml:space="preserve">All automation code changes must pass the following gates before production promotion:</w:t>
      </w:r>
    </w:p>
    <w:p>
      <w:pPr>
        <w:pStyle w:val="ListParagraph"/>
        <w:numPr>
          <w:ilvl w:val="0"/>
          <w:numId w:val="2"/>
        </w:numPr>
        <w:spacing w:after="60"/>
      </w:pPr>
      <w:r>
        <w:rPr>
          <w:rFonts w:ascii="Arial" w:cs="Arial" w:eastAsia="Arial" w:hAnsi="Arial"/>
          <w:color w:val="404040"/>
          <w:sz w:val="22"/>
          <w:szCs w:val="22"/>
        </w:rPr>
        <w:t xml:space="preserve">Linting: no errors. Warnings reviewed and resolved or justified.</w:t>
      </w:r>
    </w:p>
    <w:p>
      <w:pPr>
        <w:pStyle w:val="ListParagraph"/>
        <w:numPr>
          <w:ilvl w:val="0"/>
          <w:numId w:val="2"/>
        </w:numPr>
        <w:spacing w:after="60"/>
      </w:pPr>
      <w:r>
        <w:rPr>
          <w:rFonts w:ascii="Arial" w:cs="Arial" w:eastAsia="Arial" w:hAnsi="Arial"/>
          <w:color w:val="404040"/>
          <w:sz w:val="22"/>
          <w:szCs w:val="22"/>
        </w:rPr>
        <w:t xml:space="preserve">Security scan: no unreviewed critical or high findings.</w:t>
      </w:r>
    </w:p>
    <w:p>
      <w:pPr>
        <w:pStyle w:val="ListParagraph"/>
        <w:numPr>
          <w:ilvl w:val="0"/>
          <w:numId w:val="2"/>
        </w:numPr>
        <w:spacing w:after="60"/>
      </w:pPr>
      <w:r>
        <w:rPr>
          <w:rFonts w:ascii="Arial" w:cs="Arial" w:eastAsia="Arial" w:hAnsi="Arial"/>
          <w:color w:val="404040"/>
          <w:sz w:val="22"/>
          <w:szCs w:val="22"/>
        </w:rPr>
        <w:t xml:space="preserve">Standards compliance check: all seven Layer 4 standards satisfied.</w:t>
      </w:r>
    </w:p>
    <w:p>
      <w:pPr>
        <w:pStyle w:val="ListParagraph"/>
        <w:numPr>
          <w:ilvl w:val="0"/>
          <w:numId w:val="2"/>
        </w:numPr>
        <w:spacing w:after="60"/>
      </w:pPr>
      <w:r>
        <w:rPr>
          <w:rFonts w:ascii="Arial" w:cs="Arial" w:eastAsia="Arial" w:hAnsi="Arial"/>
          <w:color w:val="404040"/>
          <w:sz w:val="22"/>
          <w:szCs w:val="22"/>
        </w:rPr>
        <w:t xml:space="preserve">Testing evidence: non-production execution log, failure/backout test log, idempotency test log, and parity documentation all present.</w:t>
      </w:r>
    </w:p>
    <w:p>
      <w:pPr>
        <w:pStyle w:val="ListParagraph"/>
        <w:numPr>
          <w:ilvl w:val="0"/>
          <w:numId w:val="2"/>
        </w:numPr>
        <w:spacing w:after="60"/>
      </w:pPr>
      <w:r>
        <w:rPr>
          <w:rFonts w:ascii="Arial" w:cs="Arial" w:eastAsia="Arial" w:hAnsi="Arial"/>
          <w:color w:val="404040"/>
          <w:sz w:val="22"/>
          <w:szCs w:val="22"/>
        </w:rPr>
        <w:t xml:space="preserve">Manual baseline reviewed: procedure owner has confirmed the automation correctly replicates the manual process.</w:t>
      </w:r>
    </w:p>
    <w:p>
      <w:pPr>
        <w:pStyle w:val="ListParagraph"/>
        <w:numPr>
          <w:ilvl w:val="0"/>
          <w:numId w:val="2"/>
        </w:numPr>
        <w:spacing w:after="60"/>
      </w:pPr>
      <w:r>
        <w:rPr>
          <w:rFonts w:ascii="Arial" w:cs="Arial" w:eastAsia="Arial" w:hAnsi="Arial"/>
          <w:color w:val="404040"/>
          <w:sz w:val="22"/>
          <w:szCs w:val="22"/>
        </w:rPr>
        <w:t xml:space="preserve">Operational runbook updated to reflect the automated procedure.</w:t>
      </w:r>
    </w:p>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9.2 Automation Standards Framework — Governance Outcomes</w:t>
      </w:r>
    </w:p>
    <w:p>
      <w:pPr>
        <w:spacing w:after="120"/>
      </w:pPr>
      <w:r>
        <w:rPr>
          <w:rFonts w:ascii="Arial" w:cs="Arial" w:eastAsia="Arial" w:hAnsi="Arial"/>
          <w:color w:val="404040"/>
          <w:sz w:val="22"/>
          <w:szCs w:val="22"/>
        </w:rPr>
        <w:t xml:space="preserve">The following outcomes define what the Automation Standards Framework is designed to achieve. All architectural and governance decisions must be evaluated against these outcomes:</w:t>
      </w:r>
    </w:p>
    <w:p>
      <w:pPr>
        <w:pStyle w:val="ListParagraph"/>
        <w:numPr>
          <w:ilvl w:val="0"/>
          <w:numId w:val="2"/>
        </w:numPr>
        <w:spacing w:after="60"/>
      </w:pPr>
      <w:r>
        <w:rPr>
          <w:rFonts w:ascii="Arial" w:cs="Arial" w:eastAsia="Arial" w:hAnsi="Arial"/>
          <w:color w:val="404040"/>
          <w:sz w:val="22"/>
          <w:szCs w:val="22"/>
        </w:rPr>
        <w:t xml:space="preserve">A clear and shared enterprise model for automation across infrastructure engineering and operations</w:t>
      </w:r>
    </w:p>
    <w:p>
      <w:pPr>
        <w:pStyle w:val="ListParagraph"/>
        <w:numPr>
          <w:ilvl w:val="0"/>
          <w:numId w:val="2"/>
        </w:numPr>
        <w:spacing w:after="60"/>
      </w:pPr>
      <w:r>
        <w:rPr>
          <w:rFonts w:ascii="Arial" w:cs="Arial" w:eastAsia="Arial" w:hAnsi="Arial"/>
          <w:color w:val="404040"/>
          <w:sz w:val="22"/>
          <w:szCs w:val="22"/>
        </w:rPr>
        <w:t xml:space="preserve">Consistent, reusable, and governable implementation of automation across infrastructure domains and technology platforms</w:t>
      </w:r>
    </w:p>
    <w:p>
      <w:pPr>
        <w:pStyle w:val="ListParagraph"/>
        <w:numPr>
          <w:ilvl w:val="0"/>
          <w:numId w:val="2"/>
        </w:numPr>
        <w:spacing w:after="60"/>
      </w:pPr>
      <w:r>
        <w:rPr>
          <w:rFonts w:ascii="Arial" w:cs="Arial" w:eastAsia="Arial" w:hAnsi="Arial"/>
          <w:color w:val="404040"/>
          <w:sz w:val="22"/>
          <w:szCs w:val="22"/>
        </w:rPr>
        <w:t xml:space="preserve">Reduced manual effort, variation, and operational dependency in infrastructure provisioning, configuration, maintenance, and recovery</w:t>
      </w:r>
    </w:p>
    <w:p>
      <w:pPr>
        <w:pStyle w:val="ListParagraph"/>
        <w:numPr>
          <w:ilvl w:val="0"/>
          <w:numId w:val="2"/>
        </w:numPr>
        <w:spacing w:after="60"/>
      </w:pPr>
      <w:r>
        <w:rPr>
          <w:rFonts w:ascii="Arial" w:cs="Arial" w:eastAsia="Arial" w:hAnsi="Arial"/>
          <w:color w:val="404040"/>
          <w:sz w:val="22"/>
          <w:szCs w:val="22"/>
        </w:rPr>
        <w:t xml:space="preserve">Faster, more reliable, and more predictable delivery of infrastructure services and operational changes</w:t>
      </w:r>
    </w:p>
    <w:p>
      <w:pPr>
        <w:pStyle w:val="ListParagraph"/>
        <w:numPr>
          <w:ilvl w:val="0"/>
          <w:numId w:val="2"/>
        </w:numPr>
        <w:spacing w:after="60"/>
      </w:pPr>
      <w:r>
        <w:rPr>
          <w:rFonts w:ascii="Arial" w:cs="Arial" w:eastAsia="Arial" w:hAnsi="Arial"/>
          <w:color w:val="404040"/>
          <w:sz w:val="22"/>
          <w:szCs w:val="22"/>
        </w:rPr>
        <w:t xml:space="preserve">Improved stability, resilience, and service quality through standardized and tested automation</w:t>
      </w:r>
    </w:p>
    <w:p>
      <w:pPr>
        <w:pStyle w:val="ListParagraph"/>
        <w:numPr>
          <w:ilvl w:val="0"/>
          <w:numId w:val="2"/>
        </w:numPr>
        <w:spacing w:after="60"/>
      </w:pPr>
      <w:r>
        <w:rPr>
          <w:rFonts w:ascii="Arial" w:cs="Arial" w:eastAsia="Arial" w:hAnsi="Arial"/>
          <w:color w:val="404040"/>
          <w:sz w:val="22"/>
          <w:szCs w:val="22"/>
        </w:rPr>
        <w:t xml:space="preserve">Better control of risk, security, compliance, and auditability in automated infrastructure operations</w:t>
      </w:r>
    </w:p>
    <w:p>
      <w:pPr>
        <w:pStyle w:val="ListParagraph"/>
        <w:numPr>
          <w:ilvl w:val="0"/>
          <w:numId w:val="2"/>
        </w:numPr>
        <w:spacing w:after="60"/>
      </w:pPr>
      <w:r>
        <w:rPr>
          <w:rFonts w:ascii="Arial" w:cs="Arial" w:eastAsia="Arial" w:hAnsi="Arial"/>
          <w:color w:val="404040"/>
          <w:sz w:val="22"/>
          <w:szCs w:val="22"/>
        </w:rPr>
        <w:t xml:space="preserve">Stronger lifecycle management of infrastructure assets through repeatable automation for build, patching, scaling, backup, recovery, and decommissioning</w:t>
      </w:r>
    </w:p>
    <w:p>
      <w:pPr>
        <w:pStyle w:val="ListParagraph"/>
        <w:numPr>
          <w:ilvl w:val="0"/>
          <w:numId w:val="2"/>
        </w:numPr>
        <w:spacing w:after="60"/>
      </w:pPr>
      <w:r>
        <w:rPr>
          <w:rFonts w:ascii="Arial" w:cs="Arial" w:eastAsia="Arial" w:hAnsi="Arial"/>
          <w:color w:val="404040"/>
          <w:sz w:val="22"/>
          <w:szCs w:val="22"/>
        </w:rPr>
        <w:t xml:space="preserve">Scalable adoption of automation practices across teams covering platforms, networks, end-user technologies, collaboration services, compute, virtualization, containers, Kubernetes, and cloud services</w:t>
      </w:r>
    </w:p>
    <w:p>
      <w:pPr>
        <w:pStyle w:val="ListParagraph"/>
        <w:numPr>
          <w:ilvl w:val="0"/>
          <w:numId w:val="2"/>
        </w:numPr>
        <w:spacing w:after="60"/>
      </w:pPr>
      <w:r>
        <w:rPr>
          <w:rFonts w:ascii="Arial" w:cs="Arial" w:eastAsia="Arial" w:hAnsi="Arial"/>
          <w:color w:val="404040"/>
          <w:sz w:val="22"/>
          <w:szCs w:val="22"/>
        </w:rPr>
        <w:t xml:space="preserve">Clear alignment of automation capability with operational efficiency, service reliability, and business continuity outcomes</w:t>
      </w:r>
    </w:p>
    <w:p>
      <w:pPr>
        <w:pStyle w:val="ListParagraph"/>
        <w:numPr>
          <w:ilvl w:val="0"/>
          <w:numId w:val="2"/>
        </w:numPr>
        <w:spacing w:after="60"/>
      </w:pPr>
      <w:r>
        <w:rPr>
          <w:rFonts w:ascii="Arial" w:cs="Arial" w:eastAsia="Arial" w:hAnsi="Arial"/>
          <w:color w:val="404040"/>
          <w:sz w:val="22"/>
          <w:szCs w:val="22"/>
        </w:rPr>
        <w:t xml:space="preserve">Better integration of automation with observability, service management, and operational governance processes</w:t>
      </w:r>
    </w:p>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9.3 Review &amp; Approval</w:t>
      </w:r>
    </w:p>
    <w:p>
      <w:pPr>
        <w:pStyle w:val="ListParagraph"/>
        <w:numPr>
          <w:ilvl w:val="0"/>
          <w:numId w:val="2"/>
        </w:numPr>
        <w:spacing w:after="60"/>
      </w:pPr>
      <w:r>
        <w:rPr>
          <w:rFonts w:ascii="Arial" w:cs="Arial" w:eastAsia="Arial" w:hAnsi="Arial"/>
          <w:color w:val="404040"/>
          <w:sz w:val="22"/>
          <w:szCs w:val="22"/>
        </w:rPr>
        <w:t xml:space="preserve">Document owner: Automation Centre of Excellence.</w:t>
      </w:r>
    </w:p>
    <w:p>
      <w:pPr>
        <w:pStyle w:val="ListParagraph"/>
        <w:numPr>
          <w:ilvl w:val="0"/>
          <w:numId w:val="2"/>
        </w:numPr>
        <w:spacing w:after="60"/>
      </w:pPr>
      <w:r>
        <w:rPr>
          <w:rFonts w:ascii="Arial" w:cs="Arial" w:eastAsia="Arial" w:hAnsi="Arial"/>
          <w:color w:val="404040"/>
          <w:sz w:val="22"/>
          <w:szCs w:val="22"/>
        </w:rPr>
        <w:t xml:space="preserve">Review cadence: quarterly, or following any significant platform change.</w:t>
      </w:r>
    </w:p>
    <w:p>
      <w:pPr>
        <w:pStyle w:val="ListParagraph"/>
        <w:numPr>
          <w:ilvl w:val="0"/>
          <w:numId w:val="2"/>
        </w:numPr>
        <w:spacing w:after="60"/>
      </w:pPr>
      <w:r>
        <w:rPr>
          <w:rFonts w:ascii="Arial" w:cs="Arial" w:eastAsia="Arial" w:hAnsi="Arial"/>
          <w:color w:val="404040"/>
          <w:sz w:val="22"/>
          <w:szCs w:val="22"/>
        </w:rPr>
        <w:t xml:space="preserve">Approver roles: Architecture Review Board, Platform Owner, CISO (security sections), CoE Lead.</w:t>
      </w:r>
    </w:p>
    <w:p>
      <w:pPr>
        <w:pStyle w:val="ListParagraph"/>
        <w:numPr>
          <w:ilvl w:val="0"/>
          <w:numId w:val="2"/>
        </w:numPr>
        <w:spacing w:after="60"/>
      </w:pPr>
      <w:r>
        <w:rPr>
          <w:rFonts w:ascii="Arial" w:cs="Arial" w:eastAsia="Arial" w:hAnsi="Arial"/>
          <w:color w:val="404040"/>
          <w:sz w:val="22"/>
          <w:szCs w:val="22"/>
        </w:rPr>
        <w:t xml:space="preserve">Version control: this document is version-controlled in [specify location — Azure DevOps / SharePoint].</w:t>
      </w:r>
    </w:p>
    <w:p>
      <w:pPr>
        <w:pStyle w:val="ListParagraph"/>
        <w:numPr>
          <w:ilvl w:val="0"/>
          <w:numId w:val="2"/>
        </w:numPr>
        <w:spacing w:after="60"/>
      </w:pPr>
      <w:r>
        <w:rPr>
          <w:rFonts w:ascii="Arial" w:cs="Arial" w:eastAsia="Arial" w:hAnsi="Arial"/>
          <w:color w:val="404040"/>
          <w:sz w:val="22"/>
          <w:szCs w:val="22"/>
        </w:rPr>
        <w:t xml:space="preserve">Change log: maintained in Section 10 — References.</w:t>
      </w:r>
    </w:p>
    <w:p>
      <w:r>
        <w:br w:type="page"/>
      </w:r>
    </w:p>
    <w:p>
      <w:pPr>
        <w:pStyle w:val="Heading1"/>
        <w:pBdr>
          <w:bottom w:val="single" w:color="2E75B6" w:sz="6"/>
        </w:pBdr>
        <w:shd w:fill="1F4E79" w:val="clear"/>
        <w:spacing w:after="120" w:before="360"/>
      </w:pPr>
      <w:r>
        <w:rPr>
          <w:rFonts w:ascii="Arial" w:cs="Arial" w:eastAsia="Arial" w:hAnsi="Arial"/>
          <w:b/>
          <w:bCs/>
          <w:color w:val="FFFFFF"/>
          <w:sz w:val="32"/>
          <w:szCs w:val="32"/>
        </w:rPr>
        <w:t xml:space="preserve">10. Production Approval Checklist</w:t>
      </w:r>
    </w:p>
    <w:p>
      <w:pPr>
        <w:spacing w:after="120"/>
      </w:pPr>
      <w:r>
        <w:rPr>
          <w:rFonts w:ascii="Arial" w:cs="Arial" w:eastAsia="Arial" w:hAnsi="Arial"/>
          <w:color w:val="404040"/>
          <w:sz w:val="22"/>
          <w:szCs w:val="22"/>
        </w:rPr>
        <w:t xml:space="preserve">The following checklist must be completed for every automation asset before production promotion. Evidence must be specific and verifiable. A statement in a PR description is not evidence.</w:t>
      </w:r>
    </w:p>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10.1 Naming, Metadata, and Classification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480"/>
        <w:gridCol w:w="2160"/>
      </w:tblGrid>
      <w:t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Review Checklist Item</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Standard</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1</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Asset name follows [domain]-[action]-[target] with correct casing and delimiters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Naming</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2</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All mandatory operator header fields are present and populated — no placeholders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Metadata</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3</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Automation type is correctly assigned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Classification</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4</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Risk classification is correctly assigned — not under-classified to avoid scrutiny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Classification</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5</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If High-Risk, a second approver is identified and recorded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Classification</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6</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SLA binding assignment is correct and consistent with automation type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Classification</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7</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Compliance status is accurate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Classification</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8</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Catalog entry exists with all four classification dimensions populated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Classification</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9</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Owner assigned to a named active team, not an individual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Lifecycle</w:t>
            </w:r>
          </w:p>
        </w:tc>
      </w:tr>
    </w:tbl>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10.2 Safe Execution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480"/>
        <w:gridCol w:w="2160"/>
      </w:tblGrid>
      <w:t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Review Checklist Item</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Standard</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1</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Explicit scope selector is present and defaults to narrow — missing scope fails closed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Scope Control</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2</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Scope is logged before the first state-changing action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Scope Control</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3</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All execution-affecting inputs are validated before any change begins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Input Validation</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4</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Destructive operations require an explicit confirmation signal + change ticket in production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Input Validation</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5</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Failure category is surfaced in output for every failure path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Failure Classification</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6</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Every failure message states what failed, where, and what was expected vs. observed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Failure Classification</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7</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Concurrent safety determination is documented in the operator header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Concurrent Safety</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8</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If concurrent execution is unsafe, a concurrency limit or lock control is in place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Concurrent Safety</w:t>
            </w:r>
          </w:p>
        </w:tc>
      </w:tr>
    </w:tbl>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10.3 Secured by Design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480"/>
        <w:gridCol w:w="2160"/>
      </w:tblGrid>
      <w:t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Review Checklist Item</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Standard</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1</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Automation identity is scoped to only the permissions required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Least Privilege</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2</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Separate identities are used for production and non-production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Least Privilege</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3</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All credentials are stored in CyberArk or Azure Key Vault only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Secret Management</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4</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All credentials are retrieved dynamically at runtime — no embedded values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Secret Management</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5</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No secret values appear in any execution output including verbose mode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Secret Management</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6</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If high-risk, a second reviewer has approved the change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Separation of Duties</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7</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No execution output contains PII or regulated data content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Sensitive Data</w:t>
            </w:r>
          </w:p>
        </w:tc>
      </w:tr>
    </w:tbl>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10.4 Idempotency and Re-runnable Behavior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480"/>
        <w:gridCol w:w="2160"/>
      </w:tblGrid>
      <w:t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Review Checklist Item</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Standard</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1</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Automation run twice against same target — second run completes without errors or changes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Idempotency</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2</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All create/add operations check for pre-existing state before acting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Idempotency</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3</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All delete/remove operations check for existence before acting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Idempotency</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4</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Every retry block defines a maximum attempt count and a backoff interval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Bounded Retries</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5</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Retries are limited to idempotent operations only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Bounded Retries</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6</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Every network call, service wait, and polling loop has an explicit timeout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Explicit Timeouts</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7</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Every polling loop logs its current state at each interval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Explicit Timeouts</w:t>
            </w:r>
          </w:p>
        </w:tc>
      </w:tr>
    </w:tbl>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10.5 Automatic Backout and Recovery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480"/>
        <w:gridCol w:w="2160"/>
      </w:tblGrid>
      <w:t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Review Checklist Item</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Standard</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1</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All seven stages of the backout pattern are present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Seven-Stage Pattern</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2</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Post-execution check validates actual system state, not just task completion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Seven-Stage Pattern</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3</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Rollback triggers automatically on validation failure — no human intervention required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Seven-Stage Pattern</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4</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Rollback verifies recovery completed successfully (Stage 6)</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Seven-Stage Pattern</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5</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Rollback creates an incident ticket automatically with correlation data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Seven-Stage Pattern</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6</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Backout path tested by intentionally triggering a failure in non-production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Backout Testing</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7</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All irreversible actions are identified and have a recovery strategy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Irreversible Actions</w:t>
            </w:r>
          </w:p>
        </w:tc>
      </w:tr>
    </w:tbl>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10.6 Tested Before Production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480"/>
        <w:gridCol w:w="2160"/>
      </w:tblGrid>
      <w:t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Review Checklist Item</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Standard</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1</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Manual baseline is documented and reviewed by the procedure owner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Pre-Test Prep</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2</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Individual steps were validated in isolation before full end-to-end testing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Step-Level Validation</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3</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Full end-to-end execution completed successfully in non-production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Non-Production Execution</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4</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Test was run against the same type of target system as production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Non-Production Execution</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5</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Idempotency test evidenced — second run, same target, no errors, no changes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Non-Production Execution</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6</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Failure and backout test evidenced — system returned to pre-change state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Non-Production Execution</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7</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All six parity dimensions documented — each difference has a risk acceptance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Environmental Parity</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8</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Linting passed with no unexplained errors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Quality Gates</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9</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Security scan passed — no unreviewed critical or high findings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Quality Gates</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10</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Standards compliance check passed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Quality Gates</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11</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Operational runbook updated to reflect the automated procedure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Operational Docs</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12</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Test evidence linked to the current revision in the change record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Evidence Retention</w:t>
            </w:r>
          </w:p>
        </w:tc>
      </w:tr>
    </w:tbl>
    <w:p>
      <w:pPr>
        <w:spacing w:after="60"/>
      </w:pPr>
      <w:r>
        <w:t xml:space="preserve"/>
      </w:r>
    </w:p>
    <w:p>
      <w:pPr>
        <w:pStyle w:val="Heading2"/>
        <w:pBdr>
          <w:bottom w:val="single" w:color="2E75B6" w:sz="4"/>
        </w:pBdr>
        <w:spacing w:after="80" w:before="240"/>
      </w:pPr>
      <w:r>
        <w:rPr>
          <w:rFonts w:ascii="Arial" w:cs="Arial" w:eastAsia="Arial" w:hAnsi="Arial"/>
          <w:b/>
          <w:bCs/>
          <w:color w:val="1F4E79"/>
          <w:sz w:val="26"/>
          <w:szCs w:val="26"/>
        </w:rPr>
        <w:t xml:space="preserve">10.7 Observability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480"/>
        <w:gridCol w:w="2160"/>
      </w:tblGrid>
      <w:t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Review Checklist Item</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Standard</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1</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Run-level summary fields are all present in the execution log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Structured Output</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2</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Task-level output present for all state-changing tasks (target, action, result, timestamp)</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Structured Output</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3</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Completion record includes final outcome, change summary, and failure classification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Structured Output</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4</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Field names match the aggregation schema — deviations justified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Structured Output</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5</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Log messages describe actions in plain language — no internal code jargon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Operator-Readable Logs</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6</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Error messages are specific about what failed, where, and why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Operator-Readable Logs</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7</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All five reportability questions answerable from the log alone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Reportability</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8</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All secret values masked in all output including error messages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Sensitive Output</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9</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No PII in any execution output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5B6"/>
                <w:sz w:val="18"/>
                <w:szCs w:val="18"/>
              </w:rPr>
              <w:t xml:space="preserve">Sensitive Output</w:t>
            </w:r>
          </w:p>
        </w:tc>
      </w:tr>
    </w:tbl>
    <w:p>
      <w:r>
        <w:br w:type="page"/>
      </w:r>
    </w:p>
    <w:p>
      <w:pPr>
        <w:pStyle w:val="Heading1"/>
        <w:pBdr>
          <w:bottom w:val="single" w:color="2E75B6" w:sz="6"/>
        </w:pBdr>
        <w:shd w:fill="1F4E79" w:val="clear"/>
        <w:spacing w:after="120" w:before="360"/>
      </w:pPr>
      <w:r>
        <w:rPr>
          <w:rFonts w:ascii="Arial" w:cs="Arial" w:eastAsia="Arial" w:hAnsi="Arial"/>
          <w:b/>
          <w:bCs/>
          <w:color w:val="FFFFFF"/>
          <w:sz w:val="32"/>
          <w:szCs w:val="32"/>
        </w:rP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AAP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Ansible Automation Platform — Red Hat's enterprise automation product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Active Directory — Microsoft's directory service used for identity and access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Automatic Recovery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Recovery initiated without human action — failure detection, rollback execution, and verification all triggered automatically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Backout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Used interchangeably with rollback in this document — the automated reversal of a change to restore a known good state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CMDB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Configuration Management Database — ServiceNow's asset and configuration record store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CoE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Centre of Excellence — the Automation Centre of Excellence, owner of the Automation Standards Framework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Control Node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AAP server responsible for job dispatch, UI, and API handling. Load balanced across 3 nodes.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CyberArk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Approved privileged access management and secret storage system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Execution Node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AAP server that runs automation jobs. Scoped per organization.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High-Risk Automation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Automation meeting any of five criteria: production-wide scope, destructive operations, security policy changes, identity/access changes, network perimeter changes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Idempotency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The property of producing the same outcome whether run once or multiple times against the same target in the same state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Job Template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 reusable automation definition in AAP combining a playbook, inventory, credentials, and configuration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Known Good State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 system state that has been previously observed, verified as stable and operational, and proven restorable through automation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Layer 4 Standards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The seven automation standards defined in this document that govern how automation is designed, built, tested, and operated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Operator Header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 mandatory structured block at the top of every production automation entrypoint that provides operational context without requiring review of the code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RBAC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Role-Based Access Control — access permissions assigned via roles rather than to individuals directly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Rollback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The automated restoration of a system to its verified pre-change state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Satellite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Red Hat Satellite — patch and configuration management platform, used as a primary AAP inventory source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SLA Binding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 classification attribute indicating whether an automation asset contributes to a formal service level commitment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Separation of Duties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The requirement that the author of a change is not the sole approver, applied to high-risk automation</w:t>
            </w:r>
          </w:p>
        </w:tc>
      </w:tr>
    </w:tbl>
    <w:p>
      <w:r>
        <w:br w:type="page"/>
      </w:r>
    </w:p>
    <w:p>
      <w:pPr>
        <w:pStyle w:val="Heading1"/>
        <w:pBdr>
          <w:bottom w:val="single" w:color="2E75B6" w:sz="6"/>
        </w:pBdr>
        <w:shd w:fill="1F4E79" w:val="clear"/>
        <w:spacing w:after="120" w:before="360"/>
      </w:pPr>
      <w:r>
        <w:rPr>
          <w:rFonts w:ascii="Arial" w:cs="Arial" w:eastAsia="Arial" w:hAnsi="Arial"/>
          <w:b/>
          <w:bCs/>
          <w:color w:val="FFFFFF"/>
          <w:sz w:val="32"/>
          <w:szCs w:val="32"/>
        </w:rPr>
        <w:t xml:space="preserve">12.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 / Resource</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AAP High-Level Architecture Diagram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[Link to source file in Azure DevOps]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AAP Firewall Traffic Diagram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[Link to source file in Azure DevOps]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Automation Standards Template Repository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https://dev.azure.com/MetLife-Global/AIOPS/_git/13731_Automation_Reference_Implementations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Naming, Metadata, and Classification Standard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naming-metadata-and-classification.md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Safe Execution Standard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safe-execution.md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Secured by Design Standard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secured-by-design.md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Idempotency and Re-runnable Behavior Standard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idempotency-and-re-runnable-behavior.md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Automatic Backout and Recovery Standard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automatic-backout-and-recovery.md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Tested Before Production Standard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tested-before-production.md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Observability, Logging, and Reportability Standard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observability-logging-and-reportability.md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Red Hat AAP Official Documentation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https://docs.redhat.com/en/documentation/red_hat_ansible_automation_platform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AAP Infrastructure Server List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[Link to CMDB record / runbook]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Azure DevOps Repository Structure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[Link to AAP org in Azure DevOps]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Exception Request Template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../templates/exception-request-template.md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Operator Header Template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../templates/operator-header-template.md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80"/>
    </w:pPr>
    <w:r>
      <w:rPr>
        <w:rFonts w:ascii="Arial" w:cs="Arial" w:eastAsia="Arial" w:hAnsi="Arial"/>
        <w:color w:val="888888"/>
        <w:sz w:val="18"/>
        <w:szCs w:val="18"/>
      </w:rPr>
      <w:t xml:space="preserve">Automation Centre of Excellence | MetLife Infrastructure Engineering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0"/>
    </w:pPr>
    <w:r>
      <w:rPr>
        <w:rFonts w:ascii="Arial" w:cs="Arial" w:eastAsia="Arial" w:hAnsi="Arial"/>
        <w:color w:val="888888"/>
        <w:sz w:val="18"/>
        <w:szCs w:val="18"/>
      </w:rPr>
      <w:t xml:space="preserve">Enterprise Architecture Document — Automation Platform &amp; Standards Framework</w:t>
    </w:r>
    <w:r>
      <w:rPr>
        <w:rFonts w:ascii="Arial" w:cs="Arial" w:eastAsia="Arial" w:hAnsi="Arial"/>
        <w:b/>
        <w:bCs/>
        <w:color w:val="1F4E79"/>
        <w:sz w:val="18"/>
        <w:szCs w:val="18"/>
      </w:rPr>
      <w:t xml:space="preserve">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720" w:hanging="360"/>
      </w:pPr>
    </w:lvl>
  </w:abstractNum>
  <w:abstractNum w:abstractNumId="3" w15:restartNumberingAfterBreak="0">
    <w:multiLevelType w:val="hybridMultilevel"/>
    <w:lvl w:ilvl="0" w15:tentative="1">
      <w:start w:val="1"/>
      <w:numFmt w:val="bullet"/>
      <w:lvlText w:val="–"/>
      <w:lvlJc w:val="left"/>
      <w:pPr>
        <w:spacing w:after="40"/>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6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2026-04-03T04:14:34.565Z</dcterms:created>
  <dcterms:modified xsi:type="dcterms:W3CDTF">2026-04-03T04:14:34.566Z</dcterms:modified>
</cp:coreProperties>
</file>

<file path=docProps/custom.xml><?xml version="1.0" encoding="utf-8"?>
<Properties xmlns="http://schemas.openxmlformats.org/officeDocument/2006/custom-properties" xmlns:vt="http://schemas.openxmlformats.org/officeDocument/2006/docPropsVTypes"/>
</file>