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rPr>
          <w:rFonts w:ascii="Arial" w:cs="Arial" w:eastAsia="Arial" w:hAnsi="Arial"/>
          <w:b/>
          <w:bCs/>
          <w:color w:val="1F3864"/>
          <w:sz w:val="52"/>
          <w:szCs w:val="52"/>
        </w:rPr>
        <w:t xml:space="preserve">AUTOMATION STANDARDS FRAMEWORK</w:t>
      </w:r>
    </w:p>
    <w:p>
      <w:pPr>
        <w:spacing w:after="200"/>
      </w:pPr>
      <w:r>
        <w:rPr>
          <w:rFonts w:ascii="Arial" w:cs="Arial" w:eastAsia="Arial" w:hAnsi="Arial"/>
          <w:b w:val="false"/>
          <w:bCs w:val="false"/>
          <w:color w:val="2E75B6"/>
          <w:sz w:val="36"/>
          <w:szCs w:val="36"/>
        </w:rPr>
        <w:t xml:space="preserve">Engineer's Guide — v2.0</w:t>
      </w:r>
    </w:p>
    <w:p>
      <w:pPr>
        <w:pBdr>
          <w:bottom w:val="single" w:color="2E75B6" w:sz="6" w:space="1"/>
        </w:pBdr>
        <w:spacing w:after="200" w:before="200"/>
      </w:pPr>
      <w:r>
        <w:t xml:space="preserve"/>
      </w:r>
    </w:p>
    <w:p>
      <w:pPr>
        <w:spacing w:after="120" w:before="240"/>
      </w:pPr>
      <w:r>
        <w:rPr>
          <w:rFonts w:ascii="Arial" w:cs="Arial" w:eastAsia="Arial" w:hAnsi="Arial"/>
          <w:color w:val="595959"/>
          <w:sz w:val="24"/>
          <w:szCs w:val="24"/>
        </w:rPr>
        <w:t xml:space="preserve">Automation Centre of Excellence</w:t>
      </w:r>
    </w:p>
    <w:p>
      <w:pPr>
        <w:spacing w:after="120"/>
      </w:pPr>
      <w:r>
        <w:rPr>
          <w:rFonts w:ascii="Arial" w:cs="Arial" w:eastAsia="Arial" w:hAnsi="Arial"/>
          <w:color w:val="595959"/>
          <w:sz w:val="22"/>
          <w:szCs w:val="22"/>
        </w:rPr>
        <w:t xml:space="preserve">Layer 4 Standards — Draft</w:t>
      </w:r>
    </w:p>
    <w:p>
      <w:pPr>
        <w:spacing w:after="120"/>
      </w:pPr>
      <w:r>
        <w:rPr>
          <w:rFonts w:ascii="Arial" w:cs="Arial" w:eastAsia="Arial" w:hAnsi="Arial"/>
          <w:color w:val="595959"/>
          <w:sz w:val="22"/>
          <w:szCs w:val="22"/>
        </w:rPr>
        <w:t xml:space="preserve">Last reviewed: 2026-03-17</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F" w:val="clear"/>
            <w:tcMar>
              <w:top w:type="dxa" w:w="60"/>
              <w:left w:type="dxa" w:w="200"/>
              <w:bottom w:type="dxa" w:w="60"/>
              <w:right w:type="dxa" w:w="160"/>
            </w:tcMar>
          </w:tcPr>
          <w:p>
            <w:r>
              <w:rPr>
                <w:rFonts w:ascii="Arial" w:cs="Arial" w:eastAsia="Arial" w:hAnsi="Arial"/>
                <w:b/>
                <w:bCs/>
                <w:color w:val="4B0082"/>
                <w:sz w:val="20"/>
                <w:szCs w:val="20"/>
              </w:rPr>
              <w:t xml:space="preserve">What's new in v2.0</w:t>
            </w:r>
          </w:p>
        </w:tc>
      </w:tr>
    </w:tbl>
    <w:p>
      <w:pPr>
        <w:spacing w:after="80"/>
      </w:pPr>
      <w:r>
        <w:t xml:space="preserve"/>
      </w:r>
    </w:p>
    <w:p>
      <w:pPr>
        <w:pStyle w:val="ListParagraph"/>
        <w:numPr>
          <w:ilvl w:val="0"/>
          <w:numId w:val="2"/>
        </w:numPr>
        <w:spacing w:after="80"/>
      </w:pPr>
      <w:r>
        <w:rPr>
          <w:rFonts w:ascii="Arial" w:cs="Arial" w:eastAsia="Arial" w:hAnsi="Arial"/>
          <w:color w:val="2C2C2C"/>
          <w:sz w:val="22"/>
          <w:szCs w:val="22"/>
        </w:rPr>
        <w:t xml:space="preserve">Value definition now mandatory — every asset must declare its operational problem, measurable outcome, and baseline before catalog registration.</w:t>
      </w:r>
    </w:p>
    <w:p>
      <w:pPr>
        <w:pStyle w:val="ListParagraph"/>
        <w:numPr>
          <w:ilvl w:val="0"/>
          <w:numId w:val="2"/>
        </w:numPr>
        <w:spacing w:after="80"/>
      </w:pPr>
      <w:r>
        <w:rPr>
          <w:rFonts w:ascii="Arial" w:cs="Arial" w:eastAsia="Arial" w:hAnsi="Arial"/>
          <w:color w:val="2C2C2C"/>
          <w:sz w:val="22"/>
          <w:szCs w:val="22"/>
        </w:rPr>
        <w:t xml:space="preserve">KPI output required — hours_saved and hosts_processed are now required structured fields in every execution completion record.</w:t>
      </w:r>
    </w:p>
    <w:p>
      <w:pPr>
        <w:pStyle w:val="ListParagraph"/>
        <w:numPr>
          <w:ilvl w:val="0"/>
          <w:numId w:val="2"/>
        </w:numPr>
        <w:spacing w:after="80"/>
      </w:pPr>
      <w:r>
        <w:rPr>
          <w:rFonts w:ascii="Arial" w:cs="Arial" w:eastAsia="Arial" w:hAnsi="Arial"/>
          <w:color w:val="2C2C2C"/>
          <w:sz w:val="22"/>
          <w:szCs w:val="22"/>
        </w:rPr>
        <w:t xml:space="preserve">Quality assessment sign-off gates added to production promotion — three sections of automation_quality_assessment.md must meet minimum scores.</w:t>
      </w:r>
    </w:p>
    <w:p>
      <w:pPr>
        <w:pStyle w:val="ListParagraph"/>
        <w:numPr>
          <w:ilvl w:val="0"/>
          <w:numId w:val="2"/>
        </w:numPr>
        <w:spacing w:after="80"/>
      </w:pPr>
      <w:r>
        <w:rPr>
          <w:rFonts w:ascii="Arial" w:cs="Arial" w:eastAsia="Arial" w:hAnsi="Arial"/>
          <w:color w:val="2C2C2C"/>
          <w:sz w:val="22"/>
          <w:szCs w:val="22"/>
        </w:rPr>
        <w:t xml:space="preserve">Non-AAP execution platform guidance added to Safe Execution and the Navigator.</w:t>
      </w:r>
    </w:p>
    <w:p>
      <w:pPr>
        <w:pStyle w:val="ListParagraph"/>
        <w:numPr>
          <w:ilvl w:val="0"/>
          <w:numId w:val="2"/>
        </w:numPr>
        <w:spacing w:after="80"/>
      </w:pPr>
      <w:r>
        <w:rPr>
          <w:rFonts w:ascii="Arial" w:cs="Arial" w:eastAsia="Arial" w:hAnsi="Arial"/>
          <w:color w:val="2C2C2C"/>
          <w:sz w:val="22"/>
          <w:szCs w:val="22"/>
        </w:rPr>
        <w:t xml:space="preserve">Composability fields added to catalog entry — reusable assets must declare their interface.</w:t>
      </w:r>
    </w:p>
    <w:p>
      <w:pPr>
        <w:pStyle w:val="ListParagraph"/>
        <w:numPr>
          <w:ilvl w:val="0"/>
          <w:numId w:val="2"/>
        </w:numPr>
        <w:spacing w:after="80"/>
      </w:pPr>
      <w:r>
        <w:rPr>
          <w:rFonts w:ascii="Arial" w:cs="Arial" w:eastAsia="Arial" w:hAnsi="Arial"/>
          <w:color w:val="2C2C2C"/>
          <w:sz w:val="22"/>
          <w:szCs w:val="22"/>
        </w:rPr>
        <w:t xml:space="preserve">Dependency version pinning now an explicit approval gate failure condition.</w:t>
      </w:r>
    </w:p>
    <w:p>
      <w:pPr>
        <w:pStyle w:val="ListParagraph"/>
        <w:numPr>
          <w:ilvl w:val="0"/>
          <w:numId w:val="2"/>
        </w:numPr>
        <w:spacing w:after="80"/>
      </w:pPr>
      <w:r>
        <w:rPr>
          <w:rFonts w:ascii="Arial" w:cs="Arial" w:eastAsia="Arial" w:hAnsi="Arial"/>
          <w:color w:val="2C2C2C"/>
          <w:sz w:val="22"/>
          <w:szCs w:val="22"/>
        </w:rPr>
        <w:t xml:space="preserve">Navigator expanded with AAP Onboarding path (F) and Quality Assessment path (G).</w:t>
      </w:r>
    </w:p>
    <w:p>
      <w:pPr>
        <w:pStyle w:val="ListParagraph"/>
        <w:numPr>
          <w:ilvl w:val="0"/>
          <w:numId w:val="2"/>
        </w:numPr>
        <w:spacing w:after="80"/>
      </w:pPr>
      <w:r>
        <w:rPr>
          <w:rFonts w:ascii="Arial" w:cs="Arial" w:eastAsia="Arial" w:hAnsi="Arial"/>
          <w:color w:val="2C2C2C"/>
          <w:sz w:val="22"/>
          <w:szCs w:val="22"/>
        </w:rPr>
        <w:t xml:space="preserve">All supporting materials cross-referenced from each standard.</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4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In one sentence</w:t>
            </w:r>
          </w:p>
        </w:tc>
        <w:tc>
          <w:tcPr>
            <w:tcW w:type="dxa" w:w="2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Primarily affects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00 — Navigator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Your starting point for every automation task</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Always</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01 — Automatic Backout and Recovery</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Design recovery before you design the change</w:t>
            </w:r>
          </w:p>
        </w:tc>
        <w:tc>
          <w:tcPr>
            <w:tcW w:type="dxa" w:w="2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Design phase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02 — Naming, Metadata &amp; Classification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Make automation findable, understandable, and governable — value-defined</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Design, lifecycle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03 — Idempotency &amp; Re-runnable</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Running twice must produce the same outcome as running once</w:t>
            </w:r>
          </w:p>
        </w:tc>
        <w:tc>
          <w:tcPr>
            <w:tcW w:type="dxa" w:w="2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04 — Safe Execution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Limit scope, validate inputs, classify failures — on any platform</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05 — Observability &amp; Reportability</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Every execution feeds incident response AND the KPI pipeline</w:t>
            </w:r>
          </w:p>
        </w:tc>
        <w:tc>
          <w:tcPr>
            <w:tcW w:type="dxa" w:w="2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06 — Secured by Design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Least privilege, no hardcoded secrets, separation of duties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07 — Tested Before Production</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Evidence + quality assessment sign-off before production approval</w:t>
            </w:r>
          </w:p>
        </w:tc>
        <w:tc>
          <w:tcPr>
            <w:tcW w:type="dxa" w:w="2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 phase</w:t>
            </w:r>
          </w:p>
        </w:tc>
      </w:tr>
    </w:tbl>
    <w:p>
      <w:r>
        <w:br w:type="page"/>
      </w:r>
    </w:p>
    <w:p>
      <w:pPr>
        <w:pStyle w:val="Heading1"/>
        <w:spacing w:after="200" w:before="480"/>
      </w:pPr>
      <w:r>
        <w:rPr>
          <w:rFonts w:ascii="Arial" w:cs="Arial" w:eastAsia="Arial" w:hAnsi="Arial"/>
          <w:b/>
          <w:bCs/>
          <w:color w:val="1F3864"/>
          <w:sz w:val="40"/>
          <w:szCs w:val="40"/>
        </w:rPr>
        <w:t xml:space="preserve">Engineer's Navigator</w:t>
      </w:r>
    </w:p>
    <w:p>
      <w:pPr>
        <w:pBdr>
          <w:left w:val="single" w:color="2E75B6" w:sz="24" w:space="12"/>
        </w:pBdr>
        <w:spacing w:after="280" w:before="80"/>
        <w:ind w:left="360"/>
      </w:pPr>
      <w:r>
        <w:rPr>
          <w:rFonts w:ascii="Arial" w:cs="Arial" w:eastAsia="Arial" w:hAnsi="Arial"/>
          <w:b/>
          <w:bCs/>
          <w:color w:val="2E75B6"/>
          <w:sz w:val="24"/>
          <w:szCs w:val="24"/>
        </w:rPr>
        <w:t xml:space="preserve">You have automation to write. Start here.</w:t>
      </w:r>
    </w:p>
    <w:p>
      <w:pPr>
        <w:spacing w:after="140"/>
      </w:pPr>
      <w:r>
        <w:rPr>
          <w:rFonts w:ascii="Arial" w:cs="Arial" w:eastAsia="Arial" w:hAnsi="Arial"/>
          <w:b w:val="false"/>
          <w:bCs w:val="false"/>
          <w:color w:val="2C2C2C"/>
          <w:sz w:val="22"/>
          <w:szCs w:val="22"/>
        </w:rPr>
        <w:t xml:space="preserve">This navigator tells you which standards apply to your situation, in what order to work through them, and what to produce. Two new paths are added in v2.0: AAP Onboarding (Path F) for teams needing platform access, and Quality Assessment (Path G) for assessing existing automation against the quality framework.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I am…</w:t>
            </w:r>
          </w:p>
        </w:tc>
        <w:tc>
          <w:tcPr>
            <w:tcW w:type="dxa" w:w="5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Go to</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Starting new automation from scratch</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A — New Automation</w:t>
            </w:r>
          </w:p>
        </w:tc>
      </w:tr>
      <w:tr>
        <w:tc>
          <w:tcPr>
            <w:tcW w:type="dxa" w:w="3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Retrofitting or improving existing automation</w:t>
            </w:r>
          </w:p>
        </w:tc>
        <w:tc>
          <w:tcPr>
            <w:tcW w:type="dxa" w:w="5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Path B — Retrofitting</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Preparing automation for production promotion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C — Production Checklist</w:t>
            </w:r>
          </w:p>
        </w:tc>
      </w:tr>
      <w:tr>
        <w:tc>
          <w:tcPr>
            <w:tcW w:type="dxa" w:w="3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Responding to an incident involving automation</w:t>
            </w:r>
          </w:p>
        </w:tc>
        <w:tc>
          <w:tcPr>
            <w:tcW w:type="dxa" w:w="5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Path D — Incident and Recovery</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Reviewing someone else's automation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E — Reviewer Checklist</w:t>
            </w:r>
          </w:p>
        </w:tc>
      </w:tr>
      <w:tr>
        <w:tc>
          <w:tcPr>
            <w:tcW w:type="dxa" w:w="3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New to AAP and need platform access</w:t>
            </w:r>
          </w:p>
        </w:tc>
        <w:tc>
          <w:tcPr>
            <w:tcW w:type="dxa" w:w="5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Path F — AAP Onboarding (NEW)</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Assessing the quality of existing automation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G — Quality Assessment (NEW)</w:t>
            </w:r>
          </w:p>
        </w:tc>
      </w:tr>
    </w:tbl>
    <w:p>
      <w:pPr>
        <w:spacing w:after="160"/>
      </w:pPr>
      <w:r>
        <w:t xml:space="preserve"/>
      </w:r>
    </w:p>
    <w:p>
      <w:pPr>
        <w:pStyle w:val="Heading2"/>
        <w:spacing w:after="160" w:before="360"/>
      </w:pPr>
      <w:r>
        <w:rPr>
          <w:rFonts w:ascii="Arial" w:cs="Arial" w:eastAsia="Arial" w:hAnsi="Arial"/>
          <w:b/>
          <w:bCs/>
          <w:color w:val="2E75B6"/>
          <w:sz w:val="30"/>
          <w:szCs w:val="30"/>
        </w:rPr>
        <w:t xml:space="preserve">Path A — New automation (8 steps)</w:t>
      </w:r>
    </w:p>
    <w:p>
      <w:pPr>
        <w:spacing w:after="140"/>
      </w:pPr>
      <w:r>
        <w:rPr>
          <w:rFonts w:ascii="Arial" w:cs="Arial" w:eastAsia="Arial" w:hAnsi="Arial"/>
          <w:b w:val="false"/>
          <w:bCs w:val="false"/>
          <w:color w:val="2C2C2C"/>
          <w:sz w:val="22"/>
          <w:szCs w:val="22"/>
        </w:rPr>
        <w:t xml:space="preserve">Work through these steps in order. Each feeds the next. Step 2 is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Step</w:t>
            </w:r>
          </w:p>
        </w:tc>
        <w:tc>
          <w:tcPr>
            <w:tcW w:type="dxa" w:w="3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5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Output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 Metadata &amp; Classification (02)</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Operator header + catalog entry stub + value hypothesis</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 (NEW)</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Value definition — before code</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hours_saved_per_run, outcome_kpi, baseline fields complete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Backout design template complete</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Scope selector, input validation, failure classification built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Second run produces changed=0</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Run-level summary, task output, KPI fields: hours_saved + hosts_processed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Secured by Design (06)</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Security header section complete, secrets dynamic</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Tested Before Production (07)</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Full evidence package + quality assessment sign-off gates passed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Why Step 2 is new</w:t>
            </w:r>
          </w:p>
          <w:p>
            <w:r>
              <w:rPr>
                <w:rFonts w:ascii="Arial" w:cs="Arial" w:eastAsia="Arial" w:hAnsi="Arial"/>
                <w:color w:val="2C2C2C"/>
                <w:sz w:val="20"/>
                <w:szCs w:val="20"/>
              </w:rPr>
              <w:t xml:space="preserve">Before designing the change logic, define what operational outcome this automation is expected to produce and how you will know it delivered. If you cannot answer this, the business case is undefined. The quality assessment (automation_quality_assessment.md) Section 7 provides the framework.</w:t>
            </w:r>
          </w:p>
        </w:tc>
      </w:tr>
    </w:tbl>
    <w:p>
      <w:pPr>
        <w:spacing w:after="160"/>
      </w:pPr>
      <w:r>
        <w:t xml:space="preserve"/>
      </w:r>
    </w:p>
    <w:p>
      <w:pPr>
        <w:pStyle w:val="Heading2"/>
        <w:spacing w:after="160" w:before="360"/>
      </w:pPr>
      <w:r>
        <w:rPr>
          <w:rFonts w:ascii="Arial" w:cs="Arial" w:eastAsia="Arial" w:hAnsi="Arial"/>
          <w:b/>
          <w:bCs/>
          <w:color w:val="2E75B6"/>
          <w:sz w:val="30"/>
          <w:szCs w:val="30"/>
        </w:rPr>
        <w:t xml:space="preserve">Path B — Retrofitting existing automation</w:t>
      </w:r>
    </w:p>
    <w:p>
      <w:pPr>
        <w:spacing w:after="140"/>
      </w:pPr>
      <w:r>
        <w:rPr>
          <w:rFonts w:ascii="Arial" w:cs="Arial" w:eastAsia="Arial" w:hAnsi="Arial"/>
          <w:b w:val="false"/>
          <w:bCs w:val="false"/>
          <w:color w:val="2C2C2C"/>
          <w:sz w:val="22"/>
          <w:szCs w:val="22"/>
        </w:rPr>
        <w:t xml:space="preserve">Read in this order. Start with a quality assessment baseline score before making changes.</w:t>
      </w:r>
    </w:p>
    <w:p>
      <w:pPr>
        <w:pStyle w:val="ListParagraph"/>
        <w:numPr>
          <w:ilvl w:val="0"/>
          <w:numId w:val="2"/>
        </w:numPr>
        <w:spacing w:after="80"/>
      </w:pPr>
      <w:r>
        <w:rPr>
          <w:rFonts w:ascii="Arial" w:cs="Arial" w:eastAsia="Arial" w:hAnsi="Arial"/>
          <w:color w:val="2C2C2C"/>
          <w:sz w:val="22"/>
          <w:szCs w:val="22"/>
        </w:rPr>
        <w:t xml:space="preserve">1. Naming, Metadata &amp; Classification (02) — correct operator header and catalog entry first</w:t>
      </w:r>
    </w:p>
    <w:p>
      <w:pPr>
        <w:pStyle w:val="ListParagraph"/>
        <w:numPr>
          <w:ilvl w:val="0"/>
          <w:numId w:val="2"/>
        </w:numPr>
        <w:spacing w:after="80"/>
      </w:pPr>
      <w:r>
        <w:rPr>
          <w:rFonts w:ascii="Arial" w:cs="Arial" w:eastAsia="Arial" w:hAnsi="Arial"/>
          <w:color w:val="2C2C2C"/>
          <w:sz w:val="22"/>
          <w:szCs w:val="22"/>
        </w:rPr>
        <w:t xml:space="preserve">2. Complete automation_quality_assessment.md — establish baseline score before making changes</w:t>
      </w:r>
    </w:p>
    <w:p>
      <w:pPr>
        <w:pStyle w:val="ListParagraph"/>
        <w:numPr>
          <w:ilvl w:val="0"/>
          <w:numId w:val="2"/>
        </w:numPr>
        <w:spacing w:after="80"/>
      </w:pPr>
      <w:r>
        <w:rPr>
          <w:rFonts w:ascii="Arial" w:cs="Arial" w:eastAsia="Arial" w:hAnsi="Arial"/>
          <w:color w:val="2C2C2C"/>
          <w:sz w:val="22"/>
          <w:szCs w:val="22"/>
        </w:rPr>
        <w:t xml:space="preserve">3. Idempotency (03) — most common gap in legacy automation</w:t>
      </w:r>
    </w:p>
    <w:p>
      <w:pPr>
        <w:pStyle w:val="ListParagraph"/>
        <w:numPr>
          <w:ilvl w:val="0"/>
          <w:numId w:val="2"/>
        </w:numPr>
        <w:spacing w:after="80"/>
      </w:pPr>
      <w:r>
        <w:rPr>
          <w:rFonts w:ascii="Arial" w:cs="Arial" w:eastAsia="Arial" w:hAnsi="Arial"/>
          <w:color w:val="2C2C2C"/>
          <w:sz w:val="22"/>
          <w:szCs w:val="22"/>
        </w:rPr>
        <w:t xml:space="preserve">4. Observability (05) — add structured KPI output without breaking existing behavior</w:t>
      </w:r>
    </w:p>
    <w:p>
      <w:pPr>
        <w:pStyle w:val="ListParagraph"/>
        <w:numPr>
          <w:ilvl w:val="0"/>
          <w:numId w:val="2"/>
        </w:numPr>
        <w:spacing w:after="80"/>
      </w:pPr>
      <w:r>
        <w:rPr>
          <w:rFonts w:ascii="Arial" w:cs="Arial" w:eastAsia="Arial" w:hAnsi="Arial"/>
          <w:color w:val="2C2C2C"/>
          <w:sz w:val="22"/>
          <w:szCs w:val="22"/>
        </w:rPr>
        <w:t xml:space="preserve">5. Secured by Design (06) — credential and permission audit</w:t>
      </w:r>
    </w:p>
    <w:p>
      <w:pPr>
        <w:pStyle w:val="ListParagraph"/>
        <w:numPr>
          <w:ilvl w:val="0"/>
          <w:numId w:val="2"/>
        </w:numPr>
        <w:spacing w:after="80"/>
      </w:pPr>
      <w:r>
        <w:rPr>
          <w:rFonts w:ascii="Arial" w:cs="Arial" w:eastAsia="Arial" w:hAnsi="Arial"/>
          <w:color w:val="2C2C2C"/>
          <w:sz w:val="22"/>
          <w:szCs w:val="22"/>
        </w:rPr>
        <w:t xml:space="preserve">6. Safe Execution (04) — scope and input validation</w:t>
      </w:r>
    </w:p>
    <w:p>
      <w:pPr>
        <w:pStyle w:val="ListParagraph"/>
        <w:numPr>
          <w:ilvl w:val="0"/>
          <w:numId w:val="2"/>
        </w:numPr>
        <w:spacing w:after="80"/>
      </w:pPr>
      <w:r>
        <w:rPr>
          <w:rFonts w:ascii="Arial" w:cs="Arial" w:eastAsia="Arial" w:hAnsi="Arial"/>
          <w:color w:val="2C2C2C"/>
          <w:sz w:val="22"/>
          <w:szCs w:val="22"/>
        </w:rPr>
        <w:t xml:space="preserve">7. Automatic Backout and Recovery (01) — recovery path (may be significant rework)</w:t>
      </w:r>
    </w:p>
    <w:p>
      <w:pPr>
        <w:pStyle w:val="ListParagraph"/>
        <w:numPr>
          <w:ilvl w:val="0"/>
          <w:numId w:val="2"/>
        </w:numPr>
        <w:spacing w:after="80"/>
      </w:pPr>
      <w:r>
        <w:rPr>
          <w:rFonts w:ascii="Arial" w:cs="Arial" w:eastAsia="Arial" w:hAnsi="Arial"/>
          <w:color w:val="2C2C2C"/>
          <w:sz w:val="22"/>
          <w:szCs w:val="22"/>
        </w:rPr>
        <w:t xml:space="preserve">8. Tested Before Production (07) — re-test after any substantive change</w:t>
      </w:r>
    </w:p>
    <w:p>
      <w:pPr>
        <w:spacing w:after="160"/>
      </w:pPr>
      <w:r>
        <w:t xml:space="preserve"/>
      </w:r>
    </w:p>
    <w:p>
      <w:pPr>
        <w:pStyle w:val="Heading2"/>
        <w:spacing w:after="160" w:before="360"/>
      </w:pPr>
      <w:r>
        <w:rPr>
          <w:rFonts w:ascii="Arial" w:cs="Arial" w:eastAsia="Arial" w:hAnsi="Arial"/>
          <w:b/>
          <w:bCs/>
          <w:color w:val="2E75B6"/>
          <w:sz w:val="30"/>
          <w:szCs w:val="30"/>
        </w:rPr>
        <w:t xml:space="preserve">Path C — Production promotion checklist</w:t>
      </w:r>
    </w:p>
    <w:p>
      <w:pPr>
        <w:spacing w:after="140"/>
      </w:pPr>
      <w:r>
        <w:rPr>
          <w:rFonts w:ascii="Arial" w:cs="Arial" w:eastAsia="Arial" w:hAnsi="Arial"/>
          <w:b w:val="false"/>
          <w:bCs w:val="false"/>
          <w:color w:val="2C2C2C"/>
          <w:sz w:val="22"/>
          <w:szCs w:val="22"/>
        </w:rPr>
        <w:t xml:space="preserve">Every item must have evidence. A statement is not evidence. Package evidence using approval-evidence-template.md.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Asset name follows [domain]-[action]-[target] per naming-conventions-syntax.md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Naming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mandatory operator header fields present per operator-header-template.md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Naming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Value definition complete: operational problem, measurable outcome, baseline, hours_saved_per_run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Value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four classification dimensions assigned in header and catalog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Catalog entry exists before promotion (catalog-entry-template.md)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Catalog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dependency versions pinned in catalog entry</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Dependencies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Scope selector present and defaults narrow — fail-closed evidenced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Safe Exec</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Input validation covers all execution-affecting parameters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Safe Exec</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Concurrent safety determination documented in operator header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Safe Exec</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Second run produces changed=0 (idempotency log provided)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Idempotency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 seven backout stages present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Backout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Rollback test evidenced — rollback-test-record-template.md complete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Backout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Run-level summary fields present including hours_saved and hosts_processed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KPIs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secret values in any output including verbose mode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Observability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Automation identity scoped to minimum permissions — prod/nonprod separate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Security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credentials from CyberArk or Azure Key Vault, dynamic retrieval</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Security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If high-risk: second approver on record who did not author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Security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Quality assessment Section 4 score &gt;= 4.0/5</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Quality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Quality assessment Section 5 score &gt;= 3.5/5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Quality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Quality assessment Section 6 score &gt;= 3.5/5</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Quality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21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Full evidence package submitted via approval-evidence-template.md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Evidence</w:t>
            </w:r>
          </w:p>
        </w:tc>
      </w:tr>
    </w:tbl>
    <w:p>
      <w:pPr>
        <w:spacing w:after="160"/>
      </w:pPr>
      <w:r>
        <w:t xml:space="preserve"/>
      </w:r>
    </w:p>
    <w:p>
      <w:pPr>
        <w:pStyle w:val="Heading2"/>
        <w:spacing w:after="160" w:before="360"/>
      </w:pPr>
      <w:r>
        <w:rPr>
          <w:rFonts w:ascii="Arial" w:cs="Arial" w:eastAsia="Arial" w:hAnsi="Arial"/>
          <w:b/>
          <w:bCs/>
          <w:color w:val="2E75B6"/>
          <w:sz w:val="30"/>
          <w:szCs w:val="30"/>
        </w:rPr>
        <w:t xml:space="preserve">Path D — Incident and recovery</w:t>
      </w:r>
    </w:p>
    <w:p>
      <w:pPr>
        <w:spacing w:after="140"/>
      </w:pPr>
      <w:r>
        <w:rPr>
          <w:rFonts w:ascii="Arial" w:cs="Arial" w:eastAsia="Arial" w:hAnsi="Arial"/>
          <w:b w:val="false"/>
          <w:bCs w:val="false"/>
          <w:color w:val="2C2C2C"/>
          <w:sz w:val="22"/>
          <w:szCs w:val="22"/>
        </w:rPr>
        <w:t xml:space="preserve">Read: Standard 01 (Backout) and Standard 05 (Observability). Five questions to answer immediately from the execution log:</w:t>
      </w:r>
    </w:p>
    <w:p>
      <w:pPr>
        <w:pStyle w:val="ListParagraph"/>
        <w:numPr>
          <w:ilvl w:val="0"/>
          <w:numId w:val="2"/>
        </w:numPr>
        <w:spacing w:after="80"/>
      </w:pPr>
      <w:r>
        <w:rPr>
          <w:rFonts w:ascii="Arial" w:cs="Arial" w:eastAsia="Arial" w:hAnsi="Arial"/>
          <w:color w:val="2C2C2C"/>
          <w:sz w:val="22"/>
          <w:szCs w:val="22"/>
        </w:rPr>
        <w:t xml:space="preserve">1. What did the automation target? (target_scope field)</w:t>
      </w:r>
    </w:p>
    <w:p>
      <w:pPr>
        <w:pStyle w:val="ListParagraph"/>
        <w:numPr>
          <w:ilvl w:val="0"/>
          <w:numId w:val="2"/>
        </w:numPr>
        <w:spacing w:after="80"/>
      </w:pPr>
      <w:r>
        <w:rPr>
          <w:rFonts w:ascii="Arial" w:cs="Arial" w:eastAsia="Arial" w:hAnsi="Arial"/>
          <w:color w:val="2C2C2C"/>
          <w:sz w:val="22"/>
          <w:szCs w:val="22"/>
        </w:rPr>
        <w:t xml:space="preserve">2. What did it change before failing? (task-level output, result: changed)</w:t>
      </w:r>
    </w:p>
    <w:p>
      <w:pPr>
        <w:pStyle w:val="ListParagraph"/>
        <w:numPr>
          <w:ilvl w:val="0"/>
          <w:numId w:val="2"/>
        </w:numPr>
        <w:spacing w:after="80"/>
      </w:pPr>
      <w:r>
        <w:rPr>
          <w:rFonts w:ascii="Arial" w:cs="Arial" w:eastAsia="Arial" w:hAnsi="Arial"/>
          <w:color w:val="2C2C2C"/>
          <w:sz w:val="22"/>
          <w:szCs w:val="22"/>
        </w:rPr>
        <w:t xml:space="preserve">3. Was rollback triggered? (rescue/undo block executing)</w:t>
      </w:r>
    </w:p>
    <w:p>
      <w:pPr>
        <w:pStyle w:val="ListParagraph"/>
        <w:numPr>
          <w:ilvl w:val="0"/>
          <w:numId w:val="2"/>
        </w:numPr>
        <w:spacing w:after="80"/>
      </w:pPr>
      <w:r>
        <w:rPr>
          <w:rFonts w:ascii="Arial" w:cs="Arial" w:eastAsia="Arial" w:hAnsi="Arial"/>
          <w:color w:val="2C2C2C"/>
          <w:sz w:val="22"/>
          <w:szCs w:val="22"/>
        </w:rPr>
        <w:t xml:space="preserve">4. Did rollback verification pass? (verify-undo task result)</w:t>
      </w:r>
    </w:p>
    <w:p>
      <w:pPr>
        <w:pStyle w:val="ListParagraph"/>
        <w:numPr>
          <w:ilvl w:val="0"/>
          <w:numId w:val="2"/>
        </w:numPr>
        <w:spacing w:after="80"/>
      </w:pPr>
      <w:r>
        <w:rPr>
          <w:rFonts w:ascii="Arial" w:cs="Arial" w:eastAsia="Arial" w:hAnsi="Arial"/>
          <w:color w:val="2C2C2C"/>
          <w:sz w:val="22"/>
          <w:szCs w:val="22"/>
        </w:rPr>
        <w:t xml:space="preserve">5. Was an incident ticket created? (SNOW create-incident task)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If rollback verification failed</w:t>
            </w:r>
          </w:p>
          <w:p>
            <w:r>
              <w:rPr>
                <w:rFonts w:ascii="Arial" w:cs="Arial" w:eastAsia="Arial" w:hAnsi="Arial"/>
                <w:color w:val="2C2C2C"/>
                <w:sz w:val="20"/>
                <w:szCs w:val="20"/>
              </w:rPr>
              <w:t xml:space="preserve">Escalation is required. See the Incident contact field in the operator header. Every rollback event requires a completed RCA before the incident can be closed.</w:t>
            </w:r>
          </w:p>
        </w:tc>
      </w:tr>
    </w:tbl>
    <w:p>
      <w:pPr>
        <w:spacing w:after="160"/>
      </w:pPr>
      <w:r>
        <w:t xml:space="preserve"/>
      </w:r>
    </w:p>
    <w:p>
      <w:pPr>
        <w:pStyle w:val="Heading2"/>
        <w:spacing w:after="160" w:before="360"/>
      </w:pPr>
      <w:r>
        <w:rPr>
          <w:rFonts w:ascii="Arial" w:cs="Arial" w:eastAsia="Arial" w:hAnsi="Arial"/>
          <w:b/>
          <w:bCs/>
          <w:color w:val="2E75B6"/>
          <w:sz w:val="30"/>
          <w:szCs w:val="30"/>
        </w:rPr>
        <w:t xml:space="preserve">Path E — Reviewer checklist</w:t>
      </w:r>
    </w:p>
    <w:p>
      <w:pPr>
        <w:spacing w:after="140"/>
      </w:pPr>
      <w:r>
        <w:rPr>
          <w:rFonts w:ascii="Arial" w:cs="Arial" w:eastAsia="Arial" w:hAnsi="Arial"/>
          <w:b w:val="false"/>
          <w:bCs w:val="false"/>
          <w:color w:val="2C2C2C"/>
          <w:sz w:val="22"/>
          <w:szCs w:val="22"/>
        </w:rPr>
        <w:t xml:space="preserve">Verify evidence in this order. Return without approval if any item cannot be confirmed from submitted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Check</w:t>
            </w:r>
          </w:p>
        </w:tc>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If not satisfied</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Operator header complete per operator-header-template.md — value hypothesis fields populated?</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header incomplete</w:t>
            </w:r>
          </w:p>
        </w:tc>
      </w:tr>
      <w:tr>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Quality assessment submitted — all three sign-off gates meeting minimum scores?</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quality gates not met</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Classification — all four dimensions present and internally consistent?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classification incomplete</w:t>
            </w:r>
          </w:p>
        </w:tc>
      </w:tr>
      <w:tr>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 evidence complete and linked to current revision?</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stale or missing</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Backout evidence — rollback-test-record-template.md complete?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backout not evidenced</w:t>
            </w:r>
          </w:p>
        </w:tc>
      </w:tr>
      <w:tr>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 — second-run log showing changed=0?</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idempotency not proven</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KPI fields present in completion record — hours_saved + hosts_processed numeric?</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KPI output missing</w:t>
            </w:r>
          </w:p>
        </w:tc>
      </w:tr>
      <w:tr>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Security — no secrets in code, dynamic retrieval, second approver if high-risk?</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security requirements unmet</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Quality gates — linting, security scan, compliance check all passed?</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gate failures present</w:t>
            </w:r>
          </w:p>
        </w:tc>
      </w:tr>
      <w:tr>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Anti-patterns reviewed — anti-patterns-catalogue.md checked for applicable standards?</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anti-patterns present</w:t>
            </w:r>
          </w:p>
        </w:tc>
      </w:tr>
    </w:tbl>
    <w:p>
      <w:pPr>
        <w:spacing w:after="160"/>
      </w:pPr>
      <w:r>
        <w:t xml:space="preserve"/>
      </w:r>
    </w:p>
    <w:p>
      <w:pPr>
        <w:pStyle w:val="Heading2"/>
        <w:spacing w:after="160" w:before="360"/>
      </w:pPr>
      <w:r>
        <w:rPr>
          <w:rFonts w:ascii="Arial" w:cs="Arial" w:eastAsia="Arial" w:hAnsi="Arial"/>
          <w:b/>
          <w:bCs/>
          <w:color w:val="2E75B6"/>
          <w:sz w:val="30"/>
          <w:szCs w:val="30"/>
        </w:rPr>
        <w:t xml:space="preserve">Path F — AAP onboarding (new in v2.0)</w:t>
      </w:r>
    </w:p>
    <w:p>
      <w:pPr>
        <w:spacing w:after="140"/>
      </w:pPr>
      <w:r>
        <w:rPr>
          <w:rFonts w:ascii="Arial" w:cs="Arial" w:eastAsia="Arial" w:hAnsi="Arial"/>
          <w:b w:val="false"/>
          <w:bCs w:val="false"/>
          <w:color w:val="2C2C2C"/>
          <w:sz w:val="22"/>
          <w:szCs w:val="22"/>
        </w:rPr>
        <w:t xml:space="preserve">You are a new team that needs access to the Ansible Automation Platform. The platform is team-based — individuals cannot onboard independently.</w:t>
      </w:r>
    </w:p>
    <w:p>
      <w:pPr>
        <w:spacing w:after="140"/>
      </w:pPr>
      <w:r>
        <w:rPr>
          <w:rFonts w:ascii="Arial" w:cs="Arial" w:eastAsia="Arial" w:hAnsi="Arial"/>
          <w:b/>
          <w:bCs/>
          <w:color w:val="2C2C2C"/>
          <w:sz w:val="22"/>
          <w:szCs w:val="22"/>
        </w:rPr>
        <w:t xml:space="preserve">What you need before starting:</w:t>
      </w:r>
    </w:p>
    <w:p>
      <w:pPr>
        <w:pStyle w:val="ListParagraph"/>
        <w:numPr>
          <w:ilvl w:val="0"/>
          <w:numId w:val="2"/>
        </w:numPr>
        <w:spacing w:after="80"/>
      </w:pPr>
      <w:r>
        <w:rPr>
          <w:rFonts w:ascii="Arial" w:cs="Arial" w:eastAsia="Arial" w:hAnsi="Arial"/>
          <w:color w:val="2C2C2C"/>
          <w:sz w:val="22"/>
          <w:szCs w:val="22"/>
        </w:rPr>
        <w:t xml:space="preserve">Your team name and mission statement</w:t>
      </w:r>
    </w:p>
    <w:p>
      <w:pPr>
        <w:pStyle w:val="ListParagraph"/>
        <w:numPr>
          <w:ilvl w:val="0"/>
          <w:numId w:val="2"/>
        </w:numPr>
        <w:spacing w:after="80"/>
      </w:pPr>
      <w:r>
        <w:rPr>
          <w:rFonts w:ascii="Arial" w:cs="Arial" w:eastAsia="Arial" w:hAnsi="Arial"/>
          <w:color w:val="2C2C2C"/>
          <w:sz w:val="22"/>
          <w:szCs w:val="22"/>
        </w:rPr>
        <w:t xml:space="preserve">List of target operating systems your automation will manage</w:t>
      </w:r>
    </w:p>
    <w:p>
      <w:pPr>
        <w:pStyle w:val="ListParagraph"/>
        <w:numPr>
          <w:ilvl w:val="0"/>
          <w:numId w:val="2"/>
        </w:numPr>
        <w:spacing w:after="80"/>
      </w:pPr>
      <w:r>
        <w:rPr>
          <w:rFonts w:ascii="Arial" w:cs="Arial" w:eastAsia="Arial" w:hAnsi="Arial"/>
          <w:color w:val="2C2C2C"/>
          <w:sz w:val="22"/>
          <w:szCs w:val="22"/>
        </w:rPr>
        <w:t xml:space="preserve">List of target regions where your managed hosts reside</w:t>
      </w:r>
    </w:p>
    <w:p>
      <w:pPr>
        <w:pStyle w:val="ListParagraph"/>
        <w:numPr>
          <w:ilvl w:val="0"/>
          <w:numId w:val="2"/>
        </w:numPr>
        <w:spacing w:after="80"/>
      </w:pPr>
      <w:r>
        <w:rPr>
          <w:rFonts w:ascii="Arial" w:cs="Arial" w:eastAsia="Arial" w:hAnsi="Arial"/>
          <w:color w:val="2C2C2C"/>
          <w:sz w:val="22"/>
          <w:szCs w:val="22"/>
        </w:rPr>
        <w:t xml:space="preserve">Names of your intended Org Admins and Trusted Committers</w:t>
      </w:r>
    </w:p>
    <w:p>
      <w:pPr>
        <w:spacing w:after="80"/>
      </w:pPr>
      <w:r>
        <w:t xml:space="preserve"/>
      </w:r>
    </w:p>
    <w:p>
      <w:pPr>
        <w:spacing w:after="140"/>
      </w:pPr>
      <w:r>
        <w:rPr>
          <w:rFonts w:ascii="Arial" w:cs="Arial" w:eastAsia="Arial" w:hAnsi="Arial"/>
          <w:b/>
          <w:bCs/>
          <w:color w:val="2C2C2C"/>
          <w:sz w:val="22"/>
          <w:szCs w:val="22"/>
        </w:rPr>
        <w:t xml:space="preserve">How to onboard:</w:t>
      </w:r>
    </w:p>
    <w:p>
      <w:pPr>
        <w:pStyle w:val="ListParagraph"/>
        <w:numPr>
          <w:ilvl w:val="0"/>
          <w:numId w:val="2"/>
        </w:numPr>
        <w:spacing w:after="80"/>
      </w:pPr>
      <w:r>
        <w:rPr>
          <w:rFonts w:ascii="Arial" w:cs="Arial" w:eastAsia="Arial" w:hAnsi="Arial"/>
          <w:color w:val="2C2C2C"/>
          <w:sz w:val="22"/>
          <w:szCs w:val="22"/>
        </w:rPr>
        <w:t xml:space="preserve">1. Submit a ServiceNow Generic Request — CI: 13731 – Ansible Automation Platform, Assignment Group: GITO-ASE-L3-GLOB</w:t>
      </w:r>
    </w:p>
    <w:p>
      <w:pPr>
        <w:pStyle w:val="ListParagraph"/>
        <w:numPr>
          <w:ilvl w:val="0"/>
          <w:numId w:val="2"/>
        </w:numPr>
        <w:spacing w:after="80"/>
      </w:pPr>
      <w:r>
        <w:rPr>
          <w:rFonts w:ascii="Arial" w:cs="Arial" w:eastAsia="Arial" w:hAnsi="Arial"/>
          <w:color w:val="2C2C2C"/>
          <w:sz w:val="22"/>
          <w:szCs w:val="22"/>
        </w:rPr>
        <w:t xml:space="preserve">2. Describe your team, mission, and intended AAP use cases in the request</w:t>
      </w:r>
    </w:p>
    <w:p>
      <w:pPr>
        <w:pStyle w:val="ListParagraph"/>
        <w:numPr>
          <w:ilvl w:val="0"/>
          <w:numId w:val="2"/>
        </w:numPr>
        <w:spacing w:after="80"/>
      </w:pPr>
      <w:r>
        <w:rPr>
          <w:rFonts w:ascii="Arial" w:cs="Arial" w:eastAsia="Arial" w:hAnsi="Arial"/>
          <w:color w:val="2C2C2C"/>
          <w:sz w:val="22"/>
          <w:szCs w:val="22"/>
        </w:rPr>
        <w:t xml:space="preserve">3. ASE team schedules intake meeting and creates your AAP organisation and AD groups</w:t>
      </w:r>
    </w:p>
    <w:p>
      <w:pPr>
        <w:pStyle w:val="ListParagraph"/>
        <w:numPr>
          <w:ilvl w:val="0"/>
          <w:numId w:val="2"/>
        </w:numPr>
        <w:spacing w:after="80"/>
      </w:pPr>
      <w:r>
        <w:rPr>
          <w:rFonts w:ascii="Arial" w:cs="Arial" w:eastAsia="Arial" w:hAnsi="Arial"/>
          <w:color w:val="2C2C2C"/>
          <w:sz w:val="22"/>
          <w:szCs w:val="22"/>
        </w:rPr>
        <w:t xml:space="preserve">4. After creation: populate AD group memberships, verify AAP login, confirm AzDo repo access</w:t>
      </w:r>
    </w:p>
    <w:p>
      <w:pPr>
        <w:pStyle w:val="ListParagraph"/>
        <w:numPr>
          <w:ilvl w:val="0"/>
          <w:numId w:val="2"/>
        </w:numPr>
        <w:spacing w:after="80"/>
      </w:pPr>
      <w:r>
        <w:rPr>
          <w:rFonts w:ascii="Arial" w:cs="Arial" w:eastAsia="Arial" w:hAnsi="Arial"/>
          <w:color w:val="2C2C2C"/>
          <w:sz w:val="22"/>
          <w:szCs w:val="22"/>
        </w:rPr>
        <w:t xml:space="preserve">5. Review these standards before building your first automation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If AAP is not the right platform for your domain</w:t>
            </w:r>
          </w:p>
          <w:p>
            <w:r>
              <w:rPr>
                <w:rFonts w:ascii="Arial" w:cs="Arial" w:eastAsia="Arial" w:hAnsi="Arial"/>
                <w:color w:val="2C2C2C"/>
                <w:sz w:val="20"/>
                <w:szCs w:val="20"/>
              </w:rPr>
              <w:t xml:space="preserve">Speak to the ASE team during the intake meeting. The standards in this framework apply regardless of execution platform. The ASE team can advise on approved alternatives and how the standards map to them. See also: Safe Execution Standard 04 — non-AAP platform section.</w:t>
            </w:r>
          </w:p>
        </w:tc>
      </w:tr>
    </w:tbl>
    <w:p>
      <w:pPr>
        <w:spacing w:after="140"/>
      </w:pPr>
      <w:r>
        <w:rPr>
          <w:rFonts w:ascii="Arial" w:cs="Arial" w:eastAsia="Arial" w:hAnsi="Arial"/>
          <w:b w:val="false"/>
          <w:bCs w:val="false"/>
          <w:color w:val="595959"/>
          <w:sz w:val="22"/>
          <w:szCs w:val="22"/>
        </w:rPr>
        <w:t xml:space="preserve">Full onboarding details, RACI matrix, and role descriptions: aap_onboarding.md</w:t>
      </w:r>
    </w:p>
    <w:p>
      <w:pPr>
        <w:spacing w:after="160"/>
      </w:pPr>
      <w:r>
        <w:t xml:space="preserve"/>
      </w:r>
    </w:p>
    <w:p>
      <w:pPr>
        <w:pStyle w:val="Heading2"/>
        <w:spacing w:after="160" w:before="360"/>
      </w:pPr>
      <w:r>
        <w:rPr>
          <w:rFonts w:ascii="Arial" w:cs="Arial" w:eastAsia="Arial" w:hAnsi="Arial"/>
          <w:b/>
          <w:bCs/>
          <w:color w:val="2E75B6"/>
          <w:sz w:val="30"/>
          <w:szCs w:val="30"/>
        </w:rPr>
        <w:t xml:space="preserve">Path G — Quality assessment (new in v2.0)</w:t>
      </w:r>
    </w:p>
    <w:p>
      <w:pPr>
        <w:spacing w:after="140"/>
      </w:pPr>
      <w:r>
        <w:rPr>
          <w:rFonts w:ascii="Arial" w:cs="Arial" w:eastAsia="Arial" w:hAnsi="Arial"/>
          <w:b w:val="false"/>
          <w:bCs w:val="false"/>
          <w:color w:val="2C2C2C"/>
          <w:sz w:val="22"/>
          <w:szCs w:val="22"/>
        </w:rPr>
        <w:t xml:space="preserve">Use automation_quality_assessment.md to score automation quality across ten dimensions. Three sections are mandatory sign-off gates for production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Section</w:t>
            </w:r>
          </w:p>
        </w:tc>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Minimum score required</w:t>
            </w:r>
          </w:p>
        </w:tc>
        <w:tc>
          <w:tcPr>
            <w:tcW w:type="dxa" w:w="3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What it covers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Section 4 — Safety, Testing &amp; Backout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4.0 / 5 (SIGN-OFF GATE)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Pre-production testing, automatic backout, post-validation</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Section 5 — Idempotency &amp; Reliability</w:t>
            </w:r>
          </w:p>
        </w:tc>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3.5 / 5 (SIGN-OFF GATE)</w:t>
            </w:r>
          </w:p>
        </w:tc>
        <w:tc>
          <w:tcPr>
            <w:tcW w:type="dxa" w:w="3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Idempotent design, re-run safety, partial failure handling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Section 6 — Observability &amp; Feedback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3.5 / 5 (SIGN-OFF GATE)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Success/failure signalling, usable logs, cross-team visibility</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Sections 1–3, 7–10</w:t>
            </w:r>
          </w:p>
        </w:tc>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No minimum — informational</w:t>
            </w:r>
          </w:p>
        </w:tc>
        <w:tc>
          <w:tcPr>
            <w:tcW w:type="dxa" w:w="3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Problem definition, value, maintainability, continuous improvement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The final sign-off question</w:t>
            </w:r>
          </w:p>
          <w:p>
            <w:r>
              <w:rPr>
                <w:rFonts w:ascii="Arial" w:cs="Arial" w:eastAsia="Arial" w:hAnsi="Arial"/>
                <w:color w:val="2C2C2C"/>
                <w:sz w:val="20"/>
                <w:szCs w:val="20"/>
              </w:rPr>
              <w:t xml:space="preserve">"If another team inherited this tomorrow, would they trust it, understand it, and operate it safely?" A "No" at this stage means the automation is not ready for production regardless of checklist compliance. This is the core test for the illusion-of-automation problem: automation that passes gate checks but would not be trusted by another team has not truly met the quality standard.</w:t>
            </w:r>
          </w:p>
        </w:tc>
      </w:tr>
    </w:tbl>
    <w:p>
      <w:pPr>
        <w:spacing w:after="160"/>
      </w:pPr>
      <w:r>
        <w:t xml:space="preserve"/>
      </w:r>
    </w:p>
    <w:p>
      <w:pPr>
        <w:pStyle w:val="Heading2"/>
        <w:spacing w:after="160" w:before="360"/>
      </w:pPr>
      <w:r>
        <w:rPr>
          <w:rFonts w:ascii="Arial" w:cs="Arial" w:eastAsia="Arial" w:hAnsi="Arial"/>
          <w:b/>
          <w:bCs/>
          <w:color w:val="2E75B6"/>
          <w:sz w:val="30"/>
          <w:szCs w:val="30"/>
        </w:rPr>
        <w:t xml:space="preserve">Supporting materials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operator-header-template.md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The canonical header template — copy into every automation asset</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catalog-entry-template.md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Register every asset before production promotion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approval-evidence-template.md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Package and present all promotion evidence</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rollback-test-record-template.md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Document and evidence backout testing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automation_quality_assessment.md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Score quality across 10 dimensions — 3 sign-off gates required</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kpi-taxonomy-and-metrics.md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KPI definitions and aggregation rules for execution output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naming-conventions-syntax.md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Full naming patterns for assets, variables, and output fields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Named anti-patterns by standard — use during review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aap_onboarding.md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Team onboarding process for AAP access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exception-request-template.md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Request a formal exception to a standard requirement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glossary.md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Definitions for terms used across all standards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solid-principles-reference.md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Design principles behind modularity and scope-control obligations</w:t>
            </w:r>
          </w:p>
        </w:tc>
      </w:tr>
    </w:tbl>
    <w:p>
      <w:r>
        <w:br w:type="page"/>
      </w:r>
    </w:p>
    <w:p>
      <w:pPr>
        <w:pStyle w:val="Heading1"/>
        <w:spacing w:after="200" w:before="480"/>
      </w:pPr>
      <w:r>
        <w:rPr>
          <w:rFonts w:ascii="Arial" w:cs="Arial" w:eastAsia="Arial" w:hAnsi="Arial"/>
          <w:b/>
          <w:bCs/>
          <w:color w:val="1F3864"/>
          <w:sz w:val="40"/>
          <w:szCs w:val="40"/>
        </w:rPr>
        <w:t xml:space="preserve">01 — Automatic Backout and Recovery</w:t>
      </w:r>
    </w:p>
    <w:p>
      <w:pPr>
        <w:pBdr>
          <w:left w:val="single" w:color="2E75B6" w:sz="24" w:space="12"/>
        </w:pBdr>
        <w:spacing w:after="280" w:before="80"/>
        <w:ind w:left="360"/>
      </w:pPr>
      <w:r>
        <w:rPr>
          <w:rFonts w:ascii="Arial" w:cs="Arial" w:eastAsia="Arial" w:hAnsi="Arial"/>
          <w:b/>
          <w:bCs/>
          <w:color w:val="2E75B6"/>
          <w:sz w:val="24"/>
          <w:szCs w:val="24"/>
        </w:rPr>
        <w:t xml:space="preserve">Design your recovery path before you write a single state-changing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Automation moves faster than any human can react. A failure that a manual operator would catch in seconds can propagate across hundreds of systems before anyone is aware it started. This standard ensures every state-changing automation detects its own failures and restores systems to a known good state automatically — without waiting for human intervention.</w:t>
      </w:r>
    </w:p>
    <w:p>
      <w:pPr>
        <w:pStyle w:val="Heading2"/>
        <w:spacing w:after="160" w:before="360"/>
      </w:pPr>
      <w:r>
        <w:rPr>
          <w:rFonts w:ascii="Arial" w:cs="Arial" w:eastAsia="Arial" w:hAnsi="Arial"/>
          <w:b/>
          <w:bCs/>
          <w:color w:val="2E75B6"/>
          <w:sz w:val="30"/>
          <w:szCs w:val="30"/>
        </w:rPr>
        <w:t xml:space="preserve">The Seven-Stage Pattern</w:t>
      </w:r>
    </w:p>
    <w:p>
      <w:pPr>
        <w:spacing w:after="140"/>
      </w:pPr>
      <w:r>
        <w:rPr>
          <w:rFonts w:ascii="Arial" w:cs="Arial" w:eastAsia="Arial" w:hAnsi="Arial"/>
          <w:b w:val="false"/>
          <w:bCs w:val="false"/>
          <w:color w:val="2C2C2C"/>
          <w:sz w:val="22"/>
          <w:szCs w:val="22"/>
        </w:rPr>
        <w:t xml:space="preserve">Every state-changing automation must implement all seven stages as executable logic — not comments or linked runbooks.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Stage</w:t>
            </w:r>
          </w:p>
        </w:tc>
        <w:tc>
          <w:tcPr>
            <w:tcW w:type="dxa" w:w="69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What happens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1 — Before Running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Capture current state. Define rollback target. Validate backup is usable.</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 — Running</w:t>
            </w:r>
          </w:p>
        </w:tc>
        <w:tc>
          <w:tcPr>
            <w:tcW w:type="dxa" w:w="6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Execute the intended change.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3 — Check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Validate actual system state after the change — not just task exit codes.</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4 — Problem Detected</w:t>
            </w:r>
          </w:p>
        </w:tc>
        <w:tc>
          <w:tcPr>
            <w:tcW w:type="dxa" w:w="6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If Check fails: mark change unsuccessful, trigger rollback.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5 — Undo</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Restore the pre-change state automatically.</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6 — Verify Undo</w:t>
            </w:r>
          </w:p>
        </w:tc>
        <w:tc>
          <w:tcPr>
            <w:tcW w:type="dxa" w:w="6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Confirm the system is back in a known good state.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7 — Alert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Create ServiceNow incident automatically. Send notification to defined contacts.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Stage 4 is not a task you write</w:t>
            </w:r>
          </w:p>
          <w:p>
            <w:r>
              <w:rPr>
                <w:rFonts w:ascii="Arial" w:cs="Arial" w:eastAsia="Arial" w:hAnsi="Arial"/>
                <w:color w:val="2C2C2C"/>
                <w:sz w:val="20"/>
                <w:szCs w:val="20"/>
              </w:rPr>
              <w:t xml:space="preserve">Stage 4 is what happens when any block task fails — Ansible immediately abandons remaining block tasks and jumps to rescue. That jump IS Stage 4. The variables ansible_failed_task.name and ansible_failed_result.msg are set automatically for you to classify the failure.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Stage 7 always fires after a rollback event</w:t>
            </w:r>
          </w:p>
          <w:p>
            <w:r>
              <w:rPr>
                <w:rFonts w:ascii="Arial" w:cs="Arial" w:eastAsia="Arial" w:hAnsi="Arial"/>
                <w:color w:val="2C2C2C"/>
                <w:sz w:val="20"/>
                <w:szCs w:val="20"/>
              </w:rPr>
              <w:t xml:space="preserve">Whether rollback succeeded or failed, Stage 7 creates a ticket and sends notification. If Stage 6 (Verify Undo) fails, Stage 7 still fires — but at elevated severity and routed to the escalation group.</w:t>
            </w:r>
          </w:p>
        </w:tc>
      </w:tr>
    </w:tbl>
    <w:p>
      <w:pPr>
        <w:pStyle w:val="Heading2"/>
        <w:spacing w:after="160" w:before="360"/>
      </w:pPr>
      <w:r>
        <w:rPr>
          <w:rFonts w:ascii="Arial" w:cs="Arial" w:eastAsia="Arial" w:hAnsi="Arial"/>
          <w:b/>
          <w:bCs/>
          <w:color w:val="2E75B6"/>
          <w:sz w:val="30"/>
          <w:szCs w:val="30"/>
        </w:rPr>
        <w:t xml:space="preserve">Author obligations summary</w:t>
      </w:r>
    </w:p>
    <w:p>
      <w:pPr>
        <w:pStyle w:val="ListParagraph"/>
        <w:numPr>
          <w:ilvl w:val="0"/>
          <w:numId w:val="2"/>
        </w:numPr>
        <w:spacing w:after="80"/>
      </w:pPr>
      <w:r>
        <w:rPr>
          <w:rFonts w:ascii="Arial" w:cs="Arial" w:eastAsia="Arial" w:hAnsi="Arial"/>
          <w:color w:val="2C2C2C"/>
          <w:sz w:val="22"/>
          <w:szCs w:val="22"/>
        </w:rPr>
        <w:t xml:space="preserve">Design recovery before the change path — recovery path must exist before the first state-changing task is written</w:t>
      </w:r>
    </w:p>
    <w:p>
      <w:pPr>
        <w:pStyle w:val="ListParagraph"/>
        <w:numPr>
          <w:ilvl w:val="0"/>
          <w:numId w:val="2"/>
        </w:numPr>
        <w:spacing w:after="80"/>
      </w:pPr>
      <w:r>
        <w:rPr>
          <w:rFonts w:ascii="Arial" w:cs="Arial" w:eastAsia="Arial" w:hAnsi="Arial"/>
          <w:color w:val="2C2C2C"/>
          <w:sz w:val="22"/>
          <w:szCs w:val="22"/>
        </w:rPr>
        <w:t xml:space="preserve">Capture and validate pre-change state — backup must be readable and match source before proceeding</w:t>
      </w:r>
    </w:p>
    <w:p>
      <w:pPr>
        <w:pStyle w:val="ListParagraph"/>
        <w:numPr>
          <w:ilvl w:val="0"/>
          <w:numId w:val="2"/>
        </w:numPr>
        <w:spacing w:after="80"/>
      </w:pPr>
      <w:r>
        <w:rPr>
          <w:rFonts w:ascii="Arial" w:cs="Arial" w:eastAsia="Arial" w:hAnsi="Arial"/>
          <w:color w:val="2C2C2C"/>
          <w:sz w:val="22"/>
          <w:szCs w:val="22"/>
        </w:rPr>
        <w:t xml:space="preserve">Identify and handle every irreversible action — document recovery strategy or obtain formal risk acceptance</w:t>
      </w:r>
    </w:p>
    <w:p>
      <w:pPr>
        <w:pStyle w:val="ListParagraph"/>
        <w:numPr>
          <w:ilvl w:val="0"/>
          <w:numId w:val="2"/>
        </w:numPr>
        <w:spacing w:after="80"/>
      </w:pPr>
      <w:r>
        <w:rPr>
          <w:rFonts w:ascii="Arial" w:cs="Arial" w:eastAsia="Arial" w:hAnsi="Arial"/>
          <w:color w:val="2C2C2C"/>
          <w:sz w:val="22"/>
          <w:szCs w:val="22"/>
        </w:rPr>
        <w:t xml:space="preserve">Implement automated rollback — no human decision in the rollback path</w:t>
      </w:r>
    </w:p>
    <w:p>
      <w:pPr>
        <w:pStyle w:val="ListParagraph"/>
        <w:numPr>
          <w:ilvl w:val="0"/>
          <w:numId w:val="2"/>
        </w:numPr>
        <w:spacing w:after="80"/>
      </w:pPr>
      <w:r>
        <w:rPr>
          <w:rFonts w:ascii="Arial" w:cs="Arial" w:eastAsia="Arial" w:hAnsi="Arial"/>
          <w:color w:val="2C2C2C"/>
          <w:sz w:val="22"/>
          <w:szCs w:val="22"/>
        </w:rPr>
        <w:t xml:space="preserve">Verify rollback success — not just that rollback tasks ran, but that the system is actually restored</w:t>
      </w:r>
    </w:p>
    <w:p>
      <w:pPr>
        <w:pStyle w:val="ListParagraph"/>
        <w:numPr>
          <w:ilvl w:val="0"/>
          <w:numId w:val="2"/>
        </w:numPr>
        <w:spacing w:after="80"/>
      </w:pPr>
      <w:r>
        <w:rPr>
          <w:rFonts w:ascii="Arial" w:cs="Arial" w:eastAsia="Arial" w:hAnsi="Arial"/>
          <w:color w:val="2C2C2C"/>
          <w:sz w:val="22"/>
          <w:szCs w:val="22"/>
        </w:rPr>
        <w:t xml:space="preserve">Create the incident and notify automatically — Stage 7 is part of the automation, not a post-execution human task</w:t>
      </w:r>
    </w:p>
    <w:p>
      <w:pPr>
        <w:pStyle w:val="ListParagraph"/>
        <w:numPr>
          <w:ilvl w:val="0"/>
          <w:numId w:val="2"/>
        </w:numPr>
        <w:spacing w:after="80"/>
      </w:pPr>
      <w:r>
        <w:rPr>
          <w:rFonts w:ascii="Arial" w:cs="Arial" w:eastAsia="Arial" w:hAnsi="Arial"/>
          <w:color w:val="2C2C2C"/>
          <w:sz w:val="22"/>
          <w:szCs w:val="22"/>
        </w:rPr>
        <w:t xml:space="preserve">Test rollback before production promotion — deliberate failure injection is mandatory evidence</w:t>
      </w:r>
    </w:p>
    <w:p>
      <w:pPr>
        <w:pStyle w:val="ListParagraph"/>
        <w:numPr>
          <w:ilvl w:val="0"/>
          <w:numId w:val="2"/>
        </w:numPr>
        <w:spacing w:after="80"/>
      </w:pPr>
      <w:r>
        <w:rPr>
          <w:rFonts w:ascii="Arial" w:cs="Arial" w:eastAsia="Arial" w:hAnsi="Arial"/>
          <w:color w:val="2C2C2C"/>
          <w:sz w:val="22"/>
          <w:szCs w:val="22"/>
        </w:rPr>
        <w:t xml:space="preserve">Perform root cause analysis after every production rollback — "rollback succeeded" is not a complete RCA</w:t>
      </w:r>
    </w:p>
    <w:p>
      <w:pPr>
        <w:pStyle w:val="Heading2"/>
        <w:spacing w:after="160" w:before="360"/>
      </w:pPr>
      <w:r>
        <w:rPr>
          <w:rFonts w:ascii="Arial" w:cs="Arial" w:eastAsia="Arial" w:hAnsi="Arial"/>
          <w:b/>
          <w:bCs/>
          <w:color w:val="2E75B6"/>
          <w:sz w:val="30"/>
          <w:szCs w:val="30"/>
        </w:rPr>
        <w:t xml:space="preserve">Backout testing — how to inject a deliberate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Add to your playbook for non-production backout testing.</w:t>
            </w:r>
          </w:p>
          <w:p>
            <w:pPr>
              <w:spacing w:after="0"/>
            </w:pPr>
            <w:r>
              <w:rPr>
                <w:rFonts w:ascii="Courier New" w:cs="Courier New" w:eastAsia="Courier New" w:hAnsi="Courier New"/>
                <w:color w:val="1A1A2E"/>
                <w:sz w:val="18"/>
                <w:szCs w:val="18"/>
              </w:rPr>
              <w:t xml:space="preserve"># Remove this task before production promotion.</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name: "TEST ONLY — inject failure to exercise backout path"</w:t>
            </w:r>
          </w:p>
          <w:p>
            <w:pPr>
              <w:spacing w:after="0"/>
            </w:pPr>
            <w:r>
              <w:rPr>
                <w:rFonts w:ascii="Courier New" w:cs="Courier New" w:eastAsia="Courier New" w:hAnsi="Courier New"/>
                <w:color w:val="1A1A2E"/>
                <w:sz w:val="18"/>
                <w:szCs w:val="18"/>
              </w:rPr>
              <w:t xml:space="preserve">  ansible.builtin.fail:</w:t>
            </w:r>
          </w:p>
          <w:p>
            <w:pPr>
              <w:spacing w:after="0"/>
            </w:pPr>
            <w:r>
              <w:rPr>
                <w:rFonts w:ascii="Courier New" w:cs="Courier New" w:eastAsia="Courier New" w:hAnsi="Courier New"/>
                <w:color w:val="1A1A2E"/>
                <w:sz w:val="18"/>
                <w:szCs w:val="18"/>
              </w:rPr>
              <w:t xml:space="preserve">    msg: "Intentional failure injected for rollback testing"</w:t>
            </w:r>
          </w:p>
          <w:p>
            <w:pPr>
              <w:spacing w:after="0"/>
            </w:pPr>
            <w:r>
              <w:rPr>
                <w:rFonts w:ascii="Courier New" w:cs="Courier New" w:eastAsia="Courier New" w:hAnsi="Courier New"/>
                <w:color w:val="1A1A2E"/>
                <w:sz w:val="18"/>
                <w:szCs w:val="18"/>
              </w:rPr>
              <w:t xml:space="preserve">  when:</w:t>
            </w:r>
          </w:p>
          <w:p>
            <w:pPr>
              <w:spacing w:after="0"/>
            </w:pPr>
            <w:r>
              <w:rPr>
                <w:rFonts w:ascii="Courier New" w:cs="Courier New" w:eastAsia="Courier New" w:hAnsi="Courier New"/>
                <w:color w:val="1A1A2E"/>
                <w:sz w:val="18"/>
                <w:szCs w:val="18"/>
              </w:rPr>
              <w:t xml:space="preserve">    - test_failure_injection | default(false) | bool</w:t>
            </w:r>
          </w:p>
          <w:p>
            <w:pPr>
              <w:spacing w:after="0"/>
            </w:pPr>
            <w:r>
              <w:rPr>
                <w:rFonts w:ascii="Courier New" w:cs="Courier New" w:eastAsia="Courier New" w:hAnsi="Courier New"/>
                <w:color w:val="1A1A2E"/>
                <w:sz w:val="18"/>
                <w:szCs w:val="18"/>
              </w:rPr>
              <w:t xml:space="preserve">    - target_env != 'production'   # Safety guard — never inject in production</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Run with: -e "test_failure_injection=true"</w:t>
            </w:r>
          </w:p>
          <w:p>
            <w:pPr>
              <w:spacing w:after="0"/>
            </w:pPr>
            <w:r>
              <w:rPr>
                <w:rFonts w:ascii="Courier New" w:cs="Courier New" w:eastAsia="Courier New" w:hAnsi="Courier New"/>
                <w:color w:val="1A1A2E"/>
                <w:sz w:val="18"/>
                <w:szCs w:val="18"/>
              </w:rPr>
              <w:t xml:space="preserve"># Save complete log as run-3-backout-test.log</w:t>
            </w:r>
          </w:p>
          <w:p>
            <w:pPr>
              <w:spacing w:after="0"/>
            </w:pPr>
            <w:r>
              <w:rPr>
                <w:rFonts w:ascii="Courier New" w:cs="Courier New" w:eastAsia="Courier New" w:hAnsi="Courier New"/>
                <w:color w:val="1A1A2E"/>
                <w:sz w:val="18"/>
                <w:szCs w:val="18"/>
              </w:rPr>
              <w:t xml:space="preserve"># Complete rollback-test-record-template.md and attach to promotion request</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Are all seven backout stages present and executable?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Does Stage 3 (Check) validate actual system state — not just exit codes?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Does Stage 4 trigger rollback automatically without human action?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Does Stage 6 (Verify Undo) confirm the system is in known good state?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Does Stage 7 create a ServiceNow incident automatically?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Does Stage 7 send notification to defined contacts automatically?</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Has rollback been tested by deliberately injecting a failure in non-production?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Testing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Is rollback-test-record-template.md completed and attached to the evidence?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Testing (NEW)</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Does the test evidence show the system returning to pre-change 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Testing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Are all irreversible actions identified with documented recovery strategies?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Irreversible Actions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Are pre-change backups verified before any irreversible action executes?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Irreversible Actions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Is the RCA-responsible team identified in the operator header?</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Post-Rollback Analysis</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ends at "failure classified". Backout takes over from there. Sequential.</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The rollback procedure itself must be idempotent. A non-idempotent rollback compounds the incident.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Tested Before Production (07)</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Rollback testing is mandatory before promotion. rollback-test-record-template.md is required evidence.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Every rollback event must appear in structured output. Completion record must reference backout evidence.</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rollback-test-record-template.md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Document and evidence all backout testing — required before production promotion</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Named anti-patterns for backout and recovery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exception-request-template.md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Request formal exceptions to automatic recovery requirements</w:t>
            </w:r>
          </w:p>
        </w:tc>
      </w:tr>
    </w:tbl>
    <w:p>
      <w:r>
        <w:br w:type="page"/>
      </w:r>
    </w:p>
    <w:p>
      <w:pPr>
        <w:pStyle w:val="Heading1"/>
        <w:spacing w:after="200" w:before="480"/>
      </w:pPr>
      <w:r>
        <w:rPr>
          <w:rFonts w:ascii="Arial" w:cs="Arial" w:eastAsia="Arial" w:hAnsi="Arial"/>
          <w:b/>
          <w:bCs/>
          <w:color w:val="1F3864"/>
          <w:sz w:val="40"/>
          <w:szCs w:val="40"/>
        </w:rPr>
        <w:t xml:space="preserve">02 — Naming, Metadata, and Classification</w:t>
      </w:r>
    </w:p>
    <w:p>
      <w:pPr>
        <w:pBdr>
          <w:left w:val="single" w:color="2E75B6" w:sz="24" w:space="12"/>
        </w:pBdr>
        <w:spacing w:after="280" w:before="80"/>
        <w:ind w:left="360"/>
      </w:pPr>
      <w:r>
        <w:rPr>
          <w:rFonts w:ascii="Arial" w:cs="Arial" w:eastAsia="Arial" w:hAnsi="Arial"/>
          <w:b/>
          <w:bCs/>
          <w:color w:val="2E75B6"/>
          <w:sz w:val="24"/>
          <w:szCs w:val="24"/>
        </w:rPr>
        <w:t xml:space="preserve">Make your automation findable, understandable, and governable — with a defined value that proves it is delivering.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At the scale of an estate spanning fifteen technology domains, automation that cannot be found, understood, or governed creates risk. This standard makes five things true for every asset: it is findable by anyone who knows the domain and action; understandable without reading the code; carries complete classification; has a governed lifecycle with a named owner; and — new in v2.0 — carries a value definition that states what outcome it is expected to deliver and how that outcome will be measured.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F" w:val="clear"/>
            <w:tcMar>
              <w:top w:type="dxa" w:w="60"/>
              <w:left w:type="dxa" w:w="200"/>
              <w:bottom w:type="dxa" w:w="60"/>
              <w:right w:type="dxa" w:w="160"/>
            </w:tcMar>
          </w:tcPr>
          <w:p>
            <w:r>
              <w:rPr>
                <w:rFonts w:ascii="Arial" w:cs="Arial" w:eastAsia="Arial" w:hAnsi="Arial"/>
                <w:b/>
                <w:bCs/>
                <w:color w:val="4B0082"/>
                <w:sz w:val="20"/>
                <w:szCs w:val="20"/>
              </w:rPr>
              <w:t xml:space="preserve">What's new in v2.0: value definition is now a required classification dimension</w:t>
            </w:r>
          </w:p>
        </w:tc>
      </w:tr>
    </w:tbl>
    <w:p>
      <w:pPr>
        <w:pStyle w:val="Heading2"/>
        <w:spacing w:after="160" w:before="360"/>
      </w:pPr>
      <w:r>
        <w:rPr>
          <w:rFonts w:ascii="Arial" w:cs="Arial" w:eastAsia="Arial" w:hAnsi="Arial"/>
          <w:b/>
          <w:bCs/>
          <w:color w:val="2E75B6"/>
          <w:sz w:val="30"/>
          <w:szCs w:val="30"/>
        </w:rPr>
        <w:t xml:space="preserve">Asset naming structure: [domain]-[action]-[target]</w:t>
      </w:r>
    </w:p>
    <w:p>
      <w:pPr>
        <w:spacing w:after="140"/>
      </w:pPr>
      <w:r>
        <w:rPr>
          <w:rFonts w:ascii="Arial" w:cs="Arial" w:eastAsia="Arial" w:hAnsi="Arial"/>
          <w:b w:val="false"/>
          <w:bCs w:val="false"/>
          <w:color w:val="2C2C2C"/>
          <w:sz w:val="22"/>
          <w:szCs w:val="22"/>
        </w:rPr>
        <w:t xml:space="preserve">Use the patterns in naming-conventions-syntax.md. 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Rule</w:t>
            </w:r>
          </w:p>
        </w:tc>
        <w:tc>
          <w:tcPr>
            <w:tcW w:type="dxa" w:w="32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Compliant</w:t>
            </w:r>
          </w:p>
        </w:tc>
        <w:tc>
          <w:tcPr>
            <w:tcW w:type="dxa" w:w="328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Non-Compliant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Lowercase only</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db-backup-instance</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DB_Backup_Instance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Hyphens for asset names</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linux-restart-service</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linux_restart_service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Underscores for variables</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target_host</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target-host</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Action before target</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firewall-update-ruleset</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firewall-ruleset-update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No personal identifiers</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db-backup-instance</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johns-backup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Canonical variable names</w:t>
            </w:r>
          </w:p>
          <w:p>
            <w:r>
              <w:rPr>
                <w:rFonts w:ascii="Arial" w:cs="Arial" w:eastAsia="Arial" w:hAnsi="Arial"/>
                <w:color w:val="2C2C2C"/>
                <w:sz w:val="20"/>
                <w:szCs w:val="20"/>
              </w:rPr>
              <w:t xml:space="preserve">The same concept must have the same name everywhere. Target host: always target_host. Environment: always target_env. Change record: always change_ref. Exit code: always exit_code. Exit classification: always exit_classification. See naming-conventions-syntax.md for the full list.</w:t>
            </w:r>
          </w:p>
        </w:tc>
      </w:tr>
    </w:tbl>
    <w:p>
      <w:pPr>
        <w:pStyle w:val="Heading2"/>
        <w:spacing w:after="160" w:before="360"/>
      </w:pPr>
      <w:r>
        <w:rPr>
          <w:rFonts w:ascii="Arial" w:cs="Arial" w:eastAsia="Arial" w:hAnsi="Arial"/>
          <w:b/>
          <w:bCs/>
          <w:color w:val="2E75B6"/>
          <w:sz w:val="30"/>
          <w:szCs w:val="30"/>
        </w:rPr>
        <w:t xml:space="preserve">The five classification dimensions</w:t>
      </w:r>
    </w:p>
    <w:p>
      <w:pPr>
        <w:spacing w:after="140"/>
      </w:pPr>
      <w:r>
        <w:rPr>
          <w:rFonts w:ascii="Arial" w:cs="Arial" w:eastAsia="Arial" w:hAnsi="Arial"/>
          <w:b w:val="false"/>
          <w:bCs w:val="false"/>
          <w:color w:val="2C2C2C"/>
          <w:sz w:val="22"/>
          <w:szCs w:val="22"/>
        </w:rPr>
        <w:t xml:space="preserve">All five must be assigned before catalog registration. They are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Dimension</w:t>
            </w:r>
          </w:p>
        </w:tc>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What it captures</w:t>
            </w:r>
          </w:p>
        </w:tc>
        <w:tc>
          <w:tcPr>
            <w:tcW w:type="dxa" w:w="49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Key rule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1 — Automation type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Primary operational function</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Assign exactly one of 8 types. Misclassifying to avoid scrutiny is a governance violation.</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 — Risk classification</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Scope and reversibility of impact</w:t>
            </w:r>
          </w:p>
        </w:tc>
        <w:tc>
          <w:tcPr>
            <w:tcW w:type="dxa" w:w="4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High-Risk requires a second approver who did not author the change.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3 — SLA binding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Whether execution contributes to an SLA commitment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SLA-Bound must name the SLA, the metric, and the failover plan.</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4 — Compliance status</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Standing against current standards</w:t>
            </w:r>
          </w:p>
        </w:tc>
        <w:tc>
          <w:tcPr>
            <w:tcW w:type="dxa" w:w="4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Binary and factual. Non-compliant requires exception-request-template.md.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5 — Value definition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Stated operational outcome and how it is measured</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NEW in v2.0. Required before catalog registration.</w:t>
            </w:r>
          </w:p>
        </w:tc>
      </w:tr>
    </w:tbl>
    <w:p>
      <w:pPr>
        <w:pStyle w:val="Heading2"/>
        <w:spacing w:after="160" w:before="360"/>
      </w:pPr>
      <w:r>
        <w:rPr>
          <w:rFonts w:ascii="Arial" w:cs="Arial" w:eastAsia="Arial" w:hAnsi="Arial"/>
          <w:b/>
          <w:bCs/>
          <w:color w:val="2E75B6"/>
          <w:sz w:val="30"/>
          <w:szCs w:val="30"/>
        </w:rPr>
        <w:t xml:space="preserve">Value definition — the fifth dimension (new in v2.0)</w:t>
      </w:r>
    </w:p>
    <w:p>
      <w:pPr>
        <w:spacing w:after="140"/>
      </w:pPr>
      <w:r>
        <w:rPr>
          <w:rFonts w:ascii="Arial" w:cs="Arial" w:eastAsia="Arial" w:hAnsi="Arial"/>
          <w:b w:val="false"/>
          <w:bCs w:val="false"/>
          <w:color w:val="2C2C2C"/>
          <w:sz w:val="22"/>
          <w:szCs w:val="22"/>
        </w:rPr>
        <w:t xml:space="preserve">Every automation asset must carry a value definition. This is not commentary — it is a required catalog field and a required operator header section.</w:t>
      </w:r>
    </w:p>
    <w:p>
      <w:pPr>
        <w:spacing w:after="140"/>
      </w:pPr>
      <w:r>
        <w:rPr>
          <w:rFonts w:ascii="Arial" w:cs="Arial" w:eastAsia="Arial" w:hAnsi="Arial"/>
          <w:b/>
          <w:bCs/>
          <w:color w:val="2C2C2C"/>
          <w:sz w:val="22"/>
          <w:szCs w:val="22"/>
        </w:rPr>
        <w:t xml:space="preserve">Three required parts:</w:t>
      </w:r>
    </w:p>
    <w:p>
      <w:pPr>
        <w:pStyle w:val="ListParagraph"/>
        <w:numPr>
          <w:ilvl w:val="0"/>
          <w:numId w:val="2"/>
        </w:numPr>
        <w:spacing w:after="80"/>
      </w:pPr>
      <w:r>
        <w:rPr>
          <w:rFonts w:ascii="Arial" w:cs="Arial" w:eastAsia="Arial" w:hAnsi="Arial"/>
          <w:color w:val="2C2C2C"/>
          <w:sz w:val="22"/>
          <w:szCs w:val="22"/>
        </w:rPr>
        <w:t xml:space="preserve">The operational problem being solved — specific, not "improves efficiency".</w:t>
      </w:r>
    </w:p>
    <w:p>
      <w:pPr>
        <w:pStyle w:val="ListParagraph"/>
        <w:numPr>
          <w:ilvl w:val="0"/>
          <w:numId w:val="2"/>
        </w:numPr>
        <w:spacing w:after="80"/>
      </w:pPr>
      <w:r>
        <w:rPr>
          <w:rFonts w:ascii="Arial" w:cs="Arial" w:eastAsia="Arial" w:hAnsi="Arial"/>
          <w:color w:val="2C2C2C"/>
          <w:sz w:val="22"/>
          <w:szCs w:val="22"/>
        </w:rPr>
        <w:t xml:space="preserve">The measurable outcome — hours saved per execution, MTTR reduction, compliance percentage, change records eliminated.</w:t>
      </w:r>
    </w:p>
    <w:p>
      <w:pPr>
        <w:pStyle w:val="ListParagraph"/>
        <w:numPr>
          <w:ilvl w:val="0"/>
          <w:numId w:val="2"/>
        </w:numPr>
        <w:spacing w:after="80"/>
      </w:pPr>
      <w:r>
        <w:rPr>
          <w:rFonts w:ascii="Arial" w:cs="Arial" w:eastAsia="Arial" w:hAnsi="Arial"/>
          <w:color w:val="2C2C2C"/>
          <w:sz w:val="22"/>
          <w:szCs w:val="22"/>
        </w:rPr>
        <w:t xml:space="preserve">The baseline — pre-automation state without which the outcome cannot be measured.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Why value definition is mandatory</w:t>
            </w:r>
          </w:p>
          <w:p>
            <w:r>
              <w:rPr>
                <w:rFonts w:ascii="Arial" w:cs="Arial" w:eastAsia="Arial" w:hAnsi="Arial"/>
                <w:color w:val="2C2C2C"/>
                <w:sz w:val="20"/>
                <w:szCs w:val="20"/>
              </w:rPr>
              <w:t xml:space="preserve">The "illusion of automation" — teams believing systems are highly automated while the business still experiences poor change quality and high manual toil — exists because automation has been measured in execution counts rather than operational outcomes. An automation that runs 500 times per month but produces no measurable improvement in MTTR, change quality, or manual effort reduction is not delivering value regardless of execution frequency.</w:t>
            </w:r>
          </w:p>
        </w:tc>
      </w:tr>
    </w:tbl>
    <w:p>
      <w:pPr>
        <w:spacing w:after="80"/>
      </w:pPr>
      <w:r>
        <w:t xml:space="preserve"/>
      </w:r>
    </w:p>
    <w:p>
      <w:pPr>
        <w:spacing w:after="140"/>
      </w:pPr>
      <w:r>
        <w:rPr>
          <w:rFonts w:ascii="Arial" w:cs="Arial" w:eastAsia="Arial" w:hAnsi="Arial"/>
          <w:b/>
          <w:bCs/>
          <w:color w:val="2C2C2C"/>
          <w:sz w:val="22"/>
          <w:szCs w:val="22"/>
        </w:rPr>
        <w:t xml:space="preserve">Required operator header fields (value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value:</w:t>
            </w:r>
          </w:p>
          <w:p>
            <w:pPr>
              <w:spacing w:after="0"/>
            </w:pPr>
            <w:r>
              <w:rPr>
                <w:rFonts w:ascii="Courier New" w:cs="Courier New" w:eastAsia="Courier New" w:hAnsi="Courier New"/>
                <w:color w:val="1A1A2E"/>
                <w:sz w:val="18"/>
                <w:szCs w:val="18"/>
              </w:rPr>
              <w:t xml:space="preserve">  operational_problem:  "[REQUIRED] What problem does this solve?"</w:t>
            </w:r>
          </w:p>
          <w:p>
            <w:pPr>
              <w:spacing w:after="0"/>
            </w:pPr>
            <w:r>
              <w:rPr>
                <w:rFonts w:ascii="Courier New" w:cs="Courier New" w:eastAsia="Courier New" w:hAnsi="Courier New"/>
                <w:color w:val="1A1A2E"/>
                <w:sz w:val="18"/>
                <w:szCs w:val="18"/>
              </w:rPr>
              <w:t xml:space="preserve">  measurable_outcome:   "[REQUIRED] How is success measured? e.g., hours saved, MTTR reduction"</w:t>
            </w:r>
          </w:p>
          <w:p>
            <w:pPr>
              <w:spacing w:after="0"/>
            </w:pPr>
            <w:r>
              <w:rPr>
                <w:rFonts w:ascii="Courier New" w:cs="Courier New" w:eastAsia="Courier New" w:hAnsi="Courier New"/>
                <w:color w:val="1A1A2E"/>
                <w:sz w:val="18"/>
                <w:szCs w:val="18"/>
              </w:rPr>
              <w:t xml:space="preserve">  baseline:             "[REQUIRED] Pre-automation state — what was happening before?"</w:t>
            </w:r>
          </w:p>
          <w:p>
            <w:pPr>
              <w:spacing w:after="0"/>
            </w:pPr>
            <w:r>
              <w:rPr>
                <w:rFonts w:ascii="Courier New" w:cs="Courier New" w:eastAsia="Courier New" w:hAnsi="Courier New"/>
                <w:color w:val="1A1A2E"/>
                <w:sz w:val="18"/>
                <w:szCs w:val="18"/>
              </w:rPr>
              <w:t xml:space="preserve">  hours_saved_per_run:  "[REQUIRED] Estimated hours of manual effort saved per execution"</w:t>
            </w:r>
          </w:p>
          <w:p>
            <w:pPr>
              <w:spacing w:after="0"/>
            </w:pPr>
            <w:r>
              <w:rPr>
                <w:rFonts w:ascii="Courier New" w:cs="Courier New" w:eastAsia="Courier New" w:hAnsi="Courier New"/>
                <w:color w:val="1A1A2E"/>
                <w:sz w:val="18"/>
                <w:szCs w:val="18"/>
              </w:rPr>
              <w:t xml:space="preserve">  outcome_kpi:          "[REQUIRED] KPI from kpi-taxonomy-and-metrics.md this contributes to"</w:t>
            </w:r>
          </w:p>
        </w:tc>
      </w:tr>
    </w:tbl>
    <w:p>
      <w:pPr>
        <w:pStyle w:val="Heading2"/>
        <w:spacing w:after="160" w:before="360"/>
      </w:pPr>
      <w:r>
        <w:rPr>
          <w:rFonts w:ascii="Arial" w:cs="Arial" w:eastAsia="Arial" w:hAnsi="Arial"/>
          <w:b/>
          <w:bCs/>
          <w:color w:val="2E75B6"/>
          <w:sz w:val="30"/>
          <w:szCs w:val="30"/>
        </w:rPr>
        <w:t xml:space="preserve">Composability and reusability (new in v2.0)</w:t>
      </w:r>
    </w:p>
    <w:p>
      <w:pPr>
        <w:spacing w:after="140"/>
      </w:pPr>
      <w:r>
        <w:rPr>
          <w:rFonts w:ascii="Arial" w:cs="Arial" w:eastAsia="Arial" w:hAnsi="Arial"/>
          <w:b w:val="false"/>
          <w:bCs w:val="false"/>
          <w:color w:val="2C2C2C"/>
          <w:sz w:val="22"/>
          <w:szCs w:val="22"/>
        </w:rPr>
        <w:t xml:space="preserve">Assets designed to be called from other automation — roles, shared modules, workflow components — must declare their interface in the catalog entry. This enables cross-team reuse and prevents duplication.</w:t>
      </w:r>
    </w:p>
    <w:p>
      <w:pPr>
        <w:spacing w:after="140"/>
      </w:pPr>
      <w:r>
        <w:rPr>
          <w:rFonts w:ascii="Arial" w:cs="Arial" w:eastAsia="Arial" w:hAnsi="Arial"/>
          <w:b/>
          <w:bCs/>
          <w:color w:val="2C2C2C"/>
          <w:sz w:val="22"/>
          <w:szCs w:val="22"/>
        </w:rPr>
        <w:t xml:space="preserve">For reusable assets, additionally document in the catalog:</w:t>
      </w:r>
    </w:p>
    <w:p>
      <w:pPr>
        <w:pStyle w:val="ListParagraph"/>
        <w:numPr>
          <w:ilvl w:val="0"/>
          <w:numId w:val="2"/>
        </w:numPr>
        <w:spacing w:after="80"/>
      </w:pPr>
      <w:r>
        <w:rPr>
          <w:rFonts w:ascii="Arial" w:cs="Arial" w:eastAsia="Arial" w:hAnsi="Arial"/>
          <w:color w:val="2C2C2C"/>
          <w:sz w:val="22"/>
          <w:szCs w:val="22"/>
        </w:rPr>
        <w:t xml:space="preserve">Expected input parameters and their types</w:t>
      </w:r>
    </w:p>
    <w:p>
      <w:pPr>
        <w:pStyle w:val="ListParagraph"/>
        <w:numPr>
          <w:ilvl w:val="0"/>
          <w:numId w:val="2"/>
        </w:numPr>
        <w:spacing w:after="80"/>
      </w:pPr>
      <w:r>
        <w:rPr>
          <w:rFonts w:ascii="Arial" w:cs="Arial" w:eastAsia="Arial" w:hAnsi="Arial"/>
          <w:color w:val="2C2C2C"/>
          <w:sz w:val="22"/>
          <w:szCs w:val="22"/>
        </w:rPr>
        <w:t xml:space="preserve">Output schema — what facts or structured data are returned</w:t>
      </w:r>
    </w:p>
    <w:p>
      <w:pPr>
        <w:pStyle w:val="ListParagraph"/>
        <w:numPr>
          <w:ilvl w:val="0"/>
          <w:numId w:val="2"/>
        </w:numPr>
        <w:spacing w:after="80"/>
      </w:pPr>
      <w:r>
        <w:rPr>
          <w:rFonts w:ascii="Arial" w:cs="Arial" w:eastAsia="Arial" w:hAnsi="Arial"/>
          <w:color w:val="2C2C2C"/>
          <w:sz w:val="22"/>
          <w:szCs w:val="22"/>
        </w:rPr>
        <w:t xml:space="preserve">Side effects — shared resources or services the caller needs to account for</w:t>
      </w:r>
    </w:p>
    <w:p>
      <w:pPr>
        <w:pStyle w:val="ListParagraph"/>
        <w:numPr>
          <w:ilvl w:val="0"/>
          <w:numId w:val="2"/>
        </w:numPr>
        <w:spacing w:after="80"/>
      </w:pPr>
      <w:r>
        <w:rPr>
          <w:rFonts w:ascii="Arial" w:cs="Arial" w:eastAsia="Arial" w:hAnsi="Arial"/>
          <w:color w:val="2C2C2C"/>
          <w:sz w:val="22"/>
          <w:szCs w:val="22"/>
        </w:rPr>
        <w:t xml:space="preserve">Related assets — other automation in the catalog that currently uses this asset</w:t>
      </w:r>
    </w:p>
    <w:p>
      <w:pPr>
        <w:pStyle w:val="Heading2"/>
        <w:spacing w:after="160" w:before="360"/>
      </w:pPr>
      <w:r>
        <w:rPr>
          <w:rFonts w:ascii="Arial" w:cs="Arial" w:eastAsia="Arial" w:hAnsi="Arial"/>
          <w:b/>
          <w:bCs/>
          <w:color w:val="2E75B6"/>
          <w:sz w:val="30"/>
          <w:szCs w:val="30"/>
        </w:rPr>
        <w:t xml:space="preserve">Dependency version pinning (new as an approval gate)</w:t>
      </w:r>
    </w:p>
    <w:p>
      <w:pPr>
        <w:spacing w:after="140"/>
      </w:pPr>
      <w:r>
        <w:rPr>
          <w:rFonts w:ascii="Arial" w:cs="Arial" w:eastAsia="Arial" w:hAnsi="Arial"/>
          <w:b w:val="false"/>
          <w:bCs w:val="false"/>
          <w:color w:val="2C2C2C"/>
          <w:sz w:val="22"/>
          <w:szCs w:val="22"/>
        </w:rPr>
        <w:t xml:space="preserve">All external dependencies — Ansible collections, Python libraries, modules, APIs — must be pinned with explicit version numbers in the catalog entry. Unpinned dependencies are an upgrade and lifecycle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NON-COMPLIANT — unpinned</w:t>
            </w:r>
          </w:p>
          <w:p>
            <w:pPr>
              <w:spacing w:after="0"/>
            </w:pPr>
            <w:r>
              <w:rPr>
                <w:rFonts w:ascii="Courier New" w:cs="Courier New" w:eastAsia="Courier New" w:hAnsi="Courier New"/>
                <w:color w:val="1A1A2E"/>
                <w:sz w:val="18"/>
                <w:szCs w:val="18"/>
              </w:rPr>
              <w:t xml:space="preserve">dependencies:</w:t>
            </w:r>
          </w:p>
          <w:p>
            <w:pPr>
              <w:spacing w:after="0"/>
            </w:pPr>
            <w:r>
              <w:rPr>
                <w:rFonts w:ascii="Courier New" w:cs="Courier New" w:eastAsia="Courier New" w:hAnsi="Courier New"/>
                <w:color w:val="1A1A2E"/>
                <w:sz w:val="18"/>
                <w:szCs w:val="18"/>
              </w:rPr>
              <w:t xml:space="preserve">  - ansible.builtin</w:t>
            </w:r>
          </w:p>
          <w:p>
            <w:pPr>
              <w:spacing w:after="0"/>
            </w:pPr>
            <w:r>
              <w:rPr>
                <w:rFonts w:ascii="Courier New" w:cs="Courier New" w:eastAsia="Courier New" w:hAnsi="Courier New"/>
                <w:color w:val="1A1A2E"/>
                <w:sz w:val="18"/>
                <w:szCs w:val="18"/>
              </w:rPr>
              <w:t xml:space="preserve">  - community.general</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COMPLIANT — pinned</w:t>
            </w:r>
          </w:p>
          <w:p>
            <w:pPr>
              <w:spacing w:after="0"/>
            </w:pPr>
            <w:r>
              <w:rPr>
                <w:rFonts w:ascii="Courier New" w:cs="Courier New" w:eastAsia="Courier New" w:hAnsi="Courier New"/>
                <w:color w:val="1A1A2E"/>
                <w:sz w:val="18"/>
                <w:szCs w:val="18"/>
              </w:rPr>
              <w:t xml:space="preserve">dependencies:</w:t>
            </w:r>
          </w:p>
          <w:p>
            <w:pPr>
              <w:spacing w:after="0"/>
            </w:pPr>
            <w:r>
              <w:rPr>
                <w:rFonts w:ascii="Courier New" w:cs="Courier New" w:eastAsia="Courier New" w:hAnsi="Courier New"/>
                <w:color w:val="1A1A2E"/>
                <w:sz w:val="18"/>
                <w:szCs w:val="18"/>
              </w:rPr>
              <w:t xml:space="preserve">  - name: ansible.builtin</w:t>
            </w:r>
          </w:p>
          <w:p>
            <w:pPr>
              <w:spacing w:after="0"/>
            </w:pPr>
            <w:r>
              <w:rPr>
                <w:rFonts w:ascii="Courier New" w:cs="Courier New" w:eastAsia="Courier New" w:hAnsi="Courier New"/>
                <w:color w:val="1A1A2E"/>
                <w:sz w:val="18"/>
                <w:szCs w:val="18"/>
              </w:rPr>
              <w:t xml:space="preserve">    version: "&gt;=2.15"</w:t>
            </w:r>
          </w:p>
          <w:p>
            <w:pPr>
              <w:spacing w:after="0"/>
            </w:pPr>
            <w:r>
              <w:rPr>
                <w:rFonts w:ascii="Courier New" w:cs="Courier New" w:eastAsia="Courier New" w:hAnsi="Courier New"/>
                <w:color w:val="1A1A2E"/>
                <w:sz w:val="18"/>
                <w:szCs w:val="18"/>
              </w:rPr>
              <w:t xml:space="preserve">  - name: community.general</w:t>
            </w:r>
          </w:p>
          <w:p>
            <w:pPr>
              <w:spacing w:after="0"/>
            </w:pPr>
            <w:r>
              <w:rPr>
                <w:rFonts w:ascii="Courier New" w:cs="Courier New" w:eastAsia="Courier New" w:hAnsi="Courier New"/>
                <w:color w:val="1A1A2E"/>
                <w:sz w:val="18"/>
                <w:szCs w:val="18"/>
              </w:rPr>
              <w:t xml:space="preserve">    version: "8.1.0"</w:t>
            </w:r>
          </w:p>
        </w:tc>
      </w:tr>
    </w:tbl>
    <w:p>
      <w:pPr>
        <w:pStyle w:val="Heading2"/>
        <w:spacing w:after="160" w:before="360"/>
      </w:pPr>
      <w:r>
        <w:rPr>
          <w:rFonts w:ascii="Arial" w:cs="Arial" w:eastAsia="Arial" w:hAnsi="Arial"/>
          <w:b/>
          <w:bCs/>
          <w:color w:val="2E75B6"/>
          <w:sz w:val="30"/>
          <w:szCs w:val="30"/>
        </w:rPr>
        <w:t xml:space="preserve">Classification interaction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Combination</w:t>
            </w:r>
          </w:p>
        </w:tc>
        <w:tc>
          <w:tcPr>
            <w:tcW w:type="dxa" w:w="61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Governance implication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SLA-Bound + Non-Compliant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Highest urgency. Escalate to domain lead and COE within 5 business days.</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High-Risk + Legacy</w:t>
            </w:r>
          </w:p>
        </w:tc>
        <w:tc>
          <w:tcPr>
            <w:tcW w:type="dxa" w:w="6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Execution restrictions on grace period expiry. Remediation plan required before grace period begins.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SLA Management type + Standard risk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Risk must be reviewed — SLA Management almost always qualifies as High-Risk.</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One-Time Execution + Active &gt; 6 months</w:t>
            </w:r>
          </w:p>
        </w:tc>
        <w:tc>
          <w:tcPr>
            <w:tcW w:type="dxa" w:w="6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Review for retirement. Likely mis-typed or orphaned.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Value definition missing + any type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Asset is not eligible for production promotion.</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Asset name follows [domain]-[action]-[target] per naming-conventions-syntax.md?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Naming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Variable names use canonical concept-level names per naming-conventions-syntax.md?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Naming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 mandatory operator header fields present per operator-header-template.md?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Operator Header</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Value definition complete: problem, outcome, and baseline all specific and non-empty?</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Value</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hours_saved_per_run and outcome_kpi fields populated?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Value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five classification dimensions assigned and consistent between header and catalog?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Risk classification correct against objective criteria — not under-classified?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If High-Risk, second approver identified in change record?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 dependencies listed and version-pinned in catalog entry?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Dependencies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Catalog entry exists with all five dimensions populated before promotion?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Catalog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Owner is a named, active team — not an individual?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Lifecycle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review_cycle and next_review_date defined in catalog?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Lifecycle</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Composability fields completed if asset is intended for reuse?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Composability</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Operator header carries backout reference. This standard defines where; Backout defines what.</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Risk classification from this standard determines which Safe Execution controls apply.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Value KPI fields declared in the catalog (this standard) must be emitted as structured output on every execution (Standard 05).</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Tested Before Production (07)</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Value definition established here is validated during testing — KPI fields must appear in the execution log.</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operator-header-template.md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Canonical header template — copy into every asset</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catalog-entry-template.md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Register every asset before promotion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naming-conventions-syntax.md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Full naming patterns for assets, variables, and output fields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kpi-taxonomy-and-metrics.md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KPI definitions that map to value definition outcome fields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exception-request-template.md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Request formal exceptions to promotion gate requirements</w:t>
            </w:r>
          </w:p>
        </w:tc>
      </w:tr>
    </w:tbl>
    <w:p>
      <w:r>
        <w:br w:type="page"/>
      </w:r>
    </w:p>
    <w:p>
      <w:pPr>
        <w:pStyle w:val="Heading1"/>
        <w:spacing w:after="200" w:before="480"/>
      </w:pPr>
      <w:r>
        <w:rPr>
          <w:rFonts w:ascii="Arial" w:cs="Arial" w:eastAsia="Arial" w:hAnsi="Arial"/>
          <w:b/>
          <w:bCs/>
          <w:color w:val="1F3864"/>
          <w:sz w:val="40"/>
          <w:szCs w:val="40"/>
        </w:rPr>
        <w:t xml:space="preserve">03 — Idempotency and Re-runnable Behavior</w:t>
      </w:r>
    </w:p>
    <w:p>
      <w:pPr>
        <w:pBdr>
          <w:left w:val="single" w:color="2E75B6" w:sz="24" w:space="12"/>
        </w:pBdr>
        <w:spacing w:after="280" w:before="80"/>
        <w:ind w:left="360"/>
      </w:pPr>
      <w:r>
        <w:rPr>
          <w:rFonts w:ascii="Arial" w:cs="Arial" w:eastAsia="Arial" w:hAnsi="Arial"/>
          <w:b/>
          <w:bCs/>
          <w:color w:val="2E75B6"/>
          <w:sz w:val="24"/>
          <w:szCs w:val="24"/>
        </w:rPr>
        <w:t xml:space="preserve">Running your automation twice must produce exactly the same outcome as running it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When automation fails partway through a change, recovery almost always involves re-running it. Non-idempotent automation compounds the original failure. This is an operational safety requirement, not a quality preference.</w:t>
      </w:r>
    </w:p>
    <w:p>
      <w:pPr>
        <w:pStyle w:val="Heading2"/>
        <w:spacing w:after="160" w:before="360"/>
      </w:pPr>
      <w:r>
        <w:rPr>
          <w:rFonts w:ascii="Arial" w:cs="Arial" w:eastAsia="Arial" w:hAnsi="Arial"/>
          <w:b/>
          <w:bCs/>
          <w:color w:val="2E75B6"/>
          <w:sz w:val="30"/>
          <w:szCs w:val="30"/>
        </w:rPr>
        <w:t xml:space="preserve">Key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color w:val="2C2C2C"/>
                <w:sz w:val="20"/>
                <w:szCs w:val="20"/>
              </w:rPr>
              <w:t xml:space="preserve">Idempotency test is mandatory evidence. Run twice against same target, no reset. Second run must show changed=0. Save as run-2-idempotency.log. Composability note: if your asset is called from other automation, idempotency is also a composability requirement — callers cannot safely compose non-idempotent automation.</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Automation run twice against same target — zero errors and zero changes on second run?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create/add operations check pre-existing state before acting?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 delete/remove operations check existence before acting?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Supporting scripts confirmed idempotent or guarded by compensating pre-check?</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Every retry block defines maximum attempt 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retry block defines a pause or backoff interval?</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Retries limited to idempotent operations only?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network call, service wait, and polling loop has an explicit timeout?</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Explicit Timeouts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Every polling loop logs current state at each interval?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Explicit Timeouts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timeout expiry results in classified failure — not silent continuation?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Explicit Timeouts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If asset is reusable: idempotency guarantee declared in catalog interface section?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Composability</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defines how the automation stops. Idempotency defines whether restarting is safe.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The rollback procedure itself must be idempotent.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Tested Before Production (07)</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The idempotency second-run test log is mandatory testing evidence.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Retry attempts and timeout events must appear in structured output.</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AP-S2-01 (overwrite without state check) and AP-S2-02 (unbounded retries)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naming-conventions-syntax.md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Canonical output field names for idempotency test results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catalog-entry-template.md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Declare idempotency guarantee in the interface section for reusable assets</w:t>
            </w:r>
          </w:p>
        </w:tc>
      </w:tr>
    </w:tbl>
    <w:p>
      <w:pPr>
        <w:spacing w:after="80"/>
      </w:pPr>
      <w:r>
        <w:t xml:space="preserve"/>
      </w:r>
    </w:p>
    <w:p>
      <w:pPr>
        <w:spacing w:after="160"/>
      </w:pPr>
      <w:r>
        <w:rPr>
          <w:rFonts w:ascii="Arial" w:cs="Arial" w:eastAsia="Arial" w:hAnsi="Arial"/>
          <w:color w:val="595959"/>
          <w:sz w:val="20"/>
          <w:szCs w:val="20"/>
        </w:rPr>
        <w:t xml:space="preserve">Full implementation patterns and code examples: 03-idempotency-and-re-runnable-behavior.md</w:t>
      </w:r>
    </w:p>
    <w:p>
      <w:r>
        <w:br w:type="page"/>
      </w:r>
    </w:p>
    <w:p>
      <w:pPr>
        <w:pStyle w:val="Heading1"/>
        <w:spacing w:after="200" w:before="480"/>
      </w:pPr>
      <w:r>
        <w:rPr>
          <w:rFonts w:ascii="Arial" w:cs="Arial" w:eastAsia="Arial" w:hAnsi="Arial"/>
          <w:b/>
          <w:bCs/>
          <w:color w:val="1F3864"/>
          <w:sz w:val="40"/>
          <w:szCs w:val="40"/>
        </w:rPr>
        <w:t xml:space="preserve">04 — Safe Execution</w:t>
      </w:r>
    </w:p>
    <w:p>
      <w:pPr>
        <w:pBdr>
          <w:left w:val="single" w:color="2E75B6" w:sz="24" w:space="12"/>
        </w:pBdr>
        <w:spacing w:after="280" w:before="80"/>
        <w:ind w:left="360"/>
      </w:pPr>
      <w:r>
        <w:rPr>
          <w:rFonts w:ascii="Arial" w:cs="Arial" w:eastAsia="Arial" w:hAnsi="Arial"/>
          <w:b/>
          <w:bCs/>
          <w:color w:val="2E75B6"/>
          <w:sz w:val="24"/>
          <w:szCs w:val="24"/>
        </w:rPr>
        <w:t xml:space="preserve">Your automation must know exactly what it is allowed to touch, validate every input before acting, and fail in a way that tells an operator exactly what went wrong — on any execution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Uncontrolled automation causes incidents that are hard to stop, hard to diagnose, and hard to recover from. Four properties make automation genuinely safe: scope control, input validation, failure classification, and concurrent safety.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F" w:val="clear"/>
            <w:tcMar>
              <w:top w:type="dxa" w:w="60"/>
              <w:left w:type="dxa" w:w="200"/>
              <w:bottom w:type="dxa" w:w="60"/>
              <w:right w:type="dxa" w:w="160"/>
            </w:tcMar>
          </w:tcPr>
          <w:p>
            <w:r>
              <w:rPr>
                <w:rFonts w:ascii="Arial" w:cs="Arial" w:eastAsia="Arial" w:hAnsi="Arial"/>
                <w:b/>
                <w:bCs/>
                <w:color w:val="4B0082"/>
                <w:sz w:val="20"/>
                <w:szCs w:val="20"/>
              </w:rPr>
              <w:t xml:space="preserve">What's new in v2.0: Non-AAP platform guidance added. All four obligations apply regardless of execution platform — CI/CD, Kubernetes, cron, or event-driven scripts. Concurrency controls differ for non-AAP contexts.</w:t>
            </w:r>
          </w:p>
        </w:tc>
      </w:tr>
    </w:tbl>
    <w:p>
      <w:pPr>
        <w:pStyle w:val="Heading2"/>
        <w:spacing w:after="160" w:before="360"/>
      </w:pPr>
      <w:r>
        <w:rPr>
          <w:rFonts w:ascii="Arial" w:cs="Arial" w:eastAsia="Arial" w:hAnsi="Arial"/>
          <w:b/>
          <w:bCs/>
          <w:color w:val="2E75B6"/>
          <w:sz w:val="30"/>
          <w:szCs w:val="30"/>
        </w:rPr>
        <w:t xml:space="preserve">Key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color w:val="2C2C2C"/>
                <w:sz w:val="20"/>
                <w:szCs w:val="20"/>
              </w:rPr>
              <w:t xml:space="preserve">The five failure categories must be distinguishable from a single execution log without reading source code: (1) Input or validation failure, (2) Dependency or service unavailable, (3) Authorization or permission failure, (4) Execution error, (5) Post-execution validation failure. For non-AAP execution: concurrency control uses platform-level locking mechanisms appropriate to your execution environment rather than AAP job template limits. Speak to the ASE team (aap_onboarding.md) if uncertain.</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Explicit scope selector required before executing?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Scope Control</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Missing or empty scope selector causes fail-closed before any change?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Scope Control</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Scope logged before first state-changing action?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Scope Control</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execution-affecting inputs validated before any change begins?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Input Validation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Invalid input produces clear rejection message stating what failed and what expected?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Input Validation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Destructive operations require explicit confirmation signal?</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Input Validation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Failure category surfaced in execution output for every failure path?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Failure 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failure message: what failed, where, expected vs observed?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Failure 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Non-zero exit status on failure?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Failure 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Author identified shared resources this automation modifies?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Concurrent Safety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Concurrent safety determination documented in operator header?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Concurrent Safety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If concurrent execution unsafe, control in place — appropriate to execution platform?</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Non-AAP</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defines how automation stops. Idempotency defines whether restarting is safe.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 ends at failure classified. Backout defines what happens next.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Failure classification and scope logging must appear in structured output per naming-conventions-syntax.md.</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Secured by Design (06)</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Where scope qualifies as high-risk, Secured by Design approval requirements also apply.</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naming-conventions-syntax.md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Canonical names: target_host, target_env, exit_code, exit_classification</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AP-S1-01 through AP-S1-03 — scope and validation anti-patterns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aap_onboarding.md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Non-AAP platform guidance and ASE team contacts</w:t>
            </w:r>
          </w:p>
        </w:tc>
      </w:tr>
    </w:tbl>
    <w:p>
      <w:pPr>
        <w:spacing w:after="80"/>
      </w:pPr>
      <w:r>
        <w:t xml:space="preserve"/>
      </w:r>
    </w:p>
    <w:p>
      <w:pPr>
        <w:spacing w:after="160"/>
      </w:pPr>
      <w:r>
        <w:rPr>
          <w:rFonts w:ascii="Arial" w:cs="Arial" w:eastAsia="Arial" w:hAnsi="Arial"/>
          <w:color w:val="595959"/>
          <w:sz w:val="20"/>
          <w:szCs w:val="20"/>
        </w:rPr>
        <w:t xml:space="preserve">Full implementation patterns and code examples: 04-safe-execution.md</w:t>
      </w:r>
    </w:p>
    <w:p>
      <w:r>
        <w:br w:type="page"/>
      </w:r>
    </w:p>
    <w:p>
      <w:pPr>
        <w:pStyle w:val="Heading1"/>
        <w:spacing w:after="200" w:before="480"/>
      </w:pPr>
      <w:r>
        <w:rPr>
          <w:rFonts w:ascii="Arial" w:cs="Arial" w:eastAsia="Arial" w:hAnsi="Arial"/>
          <w:b/>
          <w:bCs/>
          <w:color w:val="1F3864"/>
          <w:sz w:val="40"/>
          <w:szCs w:val="40"/>
        </w:rPr>
        <w:t xml:space="preserve">05 — Observability, Logging, and Reportability</w:t>
      </w:r>
    </w:p>
    <w:p>
      <w:pPr>
        <w:pBdr>
          <w:left w:val="single" w:color="2E75B6" w:sz="24" w:space="12"/>
        </w:pBdr>
        <w:spacing w:after="280" w:before="80"/>
        <w:ind w:left="360"/>
      </w:pPr>
      <w:r>
        <w:rPr>
          <w:rFonts w:ascii="Arial" w:cs="Arial" w:eastAsia="Arial" w:hAnsi="Arial"/>
          <w:b/>
          <w:bCs/>
          <w:color w:val="2E75B6"/>
          <w:sz w:val="24"/>
          <w:szCs w:val="24"/>
        </w:rPr>
        <w:t xml:space="preserve">Every execution must be reconstructable from its own output AND must feed the enterprise KPI pipeline with structured evidence that automation is delivering its stated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During an incident, the operations team must determine from the output alone what happened, to what targets, and with what outcome. This is the operational reason. The second reason — new in v2.0 — is that the same execution output is the mechanism by which automation proves it is delivering business value. Hours saved, hosts processed, and outcome classifications must be structured numeric fields, not prose.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F" w:val="clear"/>
            <w:tcMar>
              <w:top w:type="dxa" w:w="60"/>
              <w:left w:type="dxa" w:w="200"/>
              <w:bottom w:type="dxa" w:w="60"/>
              <w:right w:type="dxa" w:w="160"/>
            </w:tcMar>
          </w:tcPr>
          <w:p>
            <w:r>
              <w:rPr>
                <w:rFonts w:ascii="Arial" w:cs="Arial" w:eastAsia="Arial" w:hAnsi="Arial"/>
                <w:b/>
                <w:bCs/>
                <w:color w:val="4B0082"/>
                <w:sz w:val="20"/>
                <w:szCs w:val="20"/>
              </w:rPr>
              <w:t xml:space="preserve">What's new in v2.0: hours_saved and hosts_processed are now mandatory structured numeric fields in every completion record. Non-AAP execution environments addressed — same structured output obligation applies regardless of platform. KPI aggregation rules from kpi-taxonomy-and-metrics.md are now normative.</w:t>
            </w:r>
          </w:p>
        </w:tc>
      </w:tr>
    </w:tbl>
    <w:p>
      <w:pPr>
        <w:pStyle w:val="Heading2"/>
        <w:spacing w:after="160" w:before="360"/>
      </w:pPr>
      <w:r>
        <w:rPr>
          <w:rFonts w:ascii="Arial" w:cs="Arial" w:eastAsia="Arial" w:hAnsi="Arial"/>
          <w:b/>
          <w:bCs/>
          <w:color w:val="2E75B6"/>
          <w:sz w:val="30"/>
          <w:szCs w:val="30"/>
        </w:rPr>
        <w:t xml:space="preserve">Key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color w:val="2C2C2C"/>
                <w:sz w:val="20"/>
                <w:szCs w:val="20"/>
              </w:rPr>
              <w:t xml:space="preserve">Every completion record must include hours_saved (numeric) and hosts_processed (numeric) — not prose. These feed the enterprise KPI aggregation pipeline (kpi-taxonomy-and-metrics.md). For non-AAP execution: emit structured output to an approved log sink — if none exists for your environment, raise with the platform team before promoting to production. The obligation is not conditional on execution platform.</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Every execution produces run-level summary with all required fields?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state-changing task produces task-level output with target, action, result, timestamp?</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Completion record includes hours_saved as a numeric field — not prose?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KPI Output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Completion record includes hosts_processed as a numeric field?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KPI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KPI field names match those declared in the catalog value definition?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KPI Output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Output field names consistent with naming-conventions-syntax.md?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Task names describe actions — not code structure (no "include_vars" etc.)?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Operator-Readable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Error messages specific: classification, failure point, expected vs observed?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Operator-Readable</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Five reportability questions answerable from execution log alone?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Reportability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secret values masked in all output including verbose mode?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Sensitive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If non-AAP execution: log sink confirmed and approved before promotion?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Non-AAP</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Failure classification from Safe Execution surfaces in execution output here. Two standards, one data flow.</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Rollback events must appear in structured output. Completion record must reference backout evidence.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Secured by Design (06)</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Secured by Design governs secret retrieval. This standard governs that secrets do not appear in output.</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 Metadata &amp; Classification (02)</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Value KPIs declared in the catalog must be emitted as structured fields on every execution.</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kpi-taxonomy-and-metrics.md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Full KPI taxonomy, aggregation rules, and dashboard design guidance</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naming-conventions-syntax.md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Canonical field names — target_host, exit_code, hours_saved, hosts_processed</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AP-S5-01 (done as sole output) and AP-S5-02 (different schemas for success/failure)</w:t>
            </w:r>
          </w:p>
        </w:tc>
      </w:tr>
    </w:tbl>
    <w:p>
      <w:pPr>
        <w:spacing w:after="80"/>
      </w:pPr>
      <w:r>
        <w:t xml:space="preserve"/>
      </w:r>
    </w:p>
    <w:p>
      <w:pPr>
        <w:spacing w:after="160"/>
      </w:pPr>
      <w:r>
        <w:rPr>
          <w:rFonts w:ascii="Arial" w:cs="Arial" w:eastAsia="Arial" w:hAnsi="Arial"/>
          <w:color w:val="595959"/>
          <w:sz w:val="20"/>
          <w:szCs w:val="20"/>
        </w:rPr>
        <w:t xml:space="preserve">Full implementation patterns and code examples: 05-observability-logging-and-reportability.md</w:t>
      </w:r>
    </w:p>
    <w:p>
      <w:r>
        <w:br w:type="page"/>
      </w:r>
    </w:p>
    <w:p>
      <w:pPr>
        <w:pStyle w:val="Heading1"/>
        <w:spacing w:after="200" w:before="480"/>
      </w:pPr>
      <w:r>
        <w:rPr>
          <w:rFonts w:ascii="Arial" w:cs="Arial" w:eastAsia="Arial" w:hAnsi="Arial"/>
          <w:b/>
          <w:bCs/>
          <w:color w:val="1F3864"/>
          <w:sz w:val="40"/>
          <w:szCs w:val="40"/>
        </w:rPr>
        <w:t xml:space="preserve">06 — Secured by Design</w:t>
      </w:r>
    </w:p>
    <w:p>
      <w:pPr>
        <w:pBdr>
          <w:left w:val="single" w:color="2E75B6" w:sz="24" w:space="12"/>
        </w:pBdr>
        <w:spacing w:after="280" w:before="80"/>
        <w:ind w:left="360"/>
      </w:pPr>
      <w:r>
        <w:rPr>
          <w:rFonts w:ascii="Arial" w:cs="Arial" w:eastAsia="Arial" w:hAnsi="Arial"/>
          <w:b/>
          <w:bCs/>
          <w:color w:val="2E75B6"/>
          <w:sz w:val="24"/>
          <w:szCs w:val="24"/>
        </w:rPr>
        <w:t xml:space="preserve">Your automation must request only the permissions it needs, never hardcode a credential, and require a second approver for changes with high security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Automation typically runs with elevated permissions, accesses sensitive systems, handles credentials, and acts at a scale no human can match. A single over-broad identity, or a single credential leak into a log, creates an exposure that persists long after execution. Security must be built into every design decision — not reviewed as an afterthought.</w:t>
      </w:r>
    </w:p>
    <w:p>
      <w:pPr>
        <w:pStyle w:val="Heading2"/>
        <w:spacing w:after="160" w:before="360"/>
      </w:pPr>
      <w:r>
        <w:rPr>
          <w:rFonts w:ascii="Arial" w:cs="Arial" w:eastAsia="Arial" w:hAnsi="Arial"/>
          <w:b/>
          <w:bCs/>
          <w:color w:val="2E75B6"/>
          <w:sz w:val="30"/>
          <w:szCs w:val="30"/>
        </w:rPr>
        <w:t xml:space="preserve">Key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color w:val="2C2C2C"/>
                <w:sz w:val="20"/>
                <w:szCs w:val="20"/>
              </w:rPr>
              <w:t xml:space="preserve">Approved secret management systems: CyberArk and Azure Key Vault only. No other storage location is compliant — including environment variables, base64 YAML values, or extra variables at launch. All secrets must be retrieved dynamically at runtime on every execution. Hard-referencing a version-pinned secret value is non-compliant because it breaks on rotation.</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Automation identity scoped to only the permissions required?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Least Privilege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Separate identities used for production and non-production?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Least Privilege</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Permissions list documented as part of the approval record?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Least Privilege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credentials stored in CyberArk or Azure Key Vault?</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 credentials retrieved dynamically at runtime — no embedded or pinned values?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secret values anywhere in execution output including verbose output?</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Automation handles secret expiration with a classified failure?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If any high-risk criterion applies, second reviewer who is not the author approved?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Separation of Duties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If self-service workflow, approval node configured before execution?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Separation of Duties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Approval documented and retained in change record?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Separation of Duties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No execution output contains PII or regulated data content?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Sensitive Data</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Output artifacts with sensitive data stored in approved locations?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Sensitive Data</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Authorization/permission failure category fires when identity lacks permissions at runtime. Secured by Design ensures correct scoping.</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Secured by Design governs secret retrieval. Observability governs that secrets do not appear in output.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Rollback procedures use the same identity. Backout logic must not require permissions beyond what is already approved.</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 Metadata &amp; Classification (02)</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High-risk classification must be reflected in operator header and catalog entry.</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AP-S6-01 (credentials in variable files) and AP-S6-02 (missing no_log)</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operator-header-template.md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Security summary section — automation identity, permissions, vault paths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exception-request-template.md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Request formal exceptions to separation of duties requirements</w:t>
            </w:r>
          </w:p>
        </w:tc>
      </w:tr>
    </w:tbl>
    <w:p>
      <w:pPr>
        <w:spacing w:after="80"/>
      </w:pPr>
      <w:r>
        <w:t xml:space="preserve"/>
      </w:r>
    </w:p>
    <w:p>
      <w:pPr>
        <w:spacing w:after="160"/>
      </w:pPr>
      <w:r>
        <w:rPr>
          <w:rFonts w:ascii="Arial" w:cs="Arial" w:eastAsia="Arial" w:hAnsi="Arial"/>
          <w:color w:val="595959"/>
          <w:sz w:val="20"/>
          <w:szCs w:val="20"/>
        </w:rPr>
        <w:t xml:space="preserve">Full implementation patterns and code examples: 06-secured-by-design.md</w:t>
      </w:r>
    </w:p>
    <w:p>
      <w:r>
        <w:br w:type="page"/>
      </w:r>
    </w:p>
    <w:p>
      <w:pPr>
        <w:pStyle w:val="Heading1"/>
        <w:spacing w:after="200" w:before="480"/>
      </w:pPr>
      <w:r>
        <w:rPr>
          <w:rFonts w:ascii="Arial" w:cs="Arial" w:eastAsia="Arial" w:hAnsi="Arial"/>
          <w:b/>
          <w:bCs/>
          <w:color w:val="1F3864"/>
          <w:sz w:val="40"/>
          <w:szCs w:val="40"/>
        </w:rPr>
        <w:t xml:space="preserve">07 — Tested Before Production</w:t>
      </w:r>
    </w:p>
    <w:p>
      <w:pPr>
        <w:pBdr>
          <w:left w:val="single" w:color="2E75B6" w:sz="24" w:space="12"/>
        </w:pBdr>
        <w:spacing w:after="280" w:before="80"/>
        <w:ind w:left="360"/>
      </w:pPr>
      <w:r>
        <w:rPr>
          <w:rFonts w:ascii="Arial" w:cs="Arial" w:eastAsia="Arial" w:hAnsi="Arial"/>
          <w:b/>
          <w:bCs/>
          <w:color w:val="2E75B6"/>
          <w:sz w:val="24"/>
          <w:szCs w:val="24"/>
        </w:rPr>
        <w:t xml:space="preserve">Every automation must be successfully executed, validated, and evidenced in a representative non-production environment — with quality assessment sign-off — before production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Automation that has not been tested under conditions representative of production is untested regardless of how many times it ran in a non-representative environment. A second problem: the illusion of automation cannot be identified from execution counts alone. Quality must be assessed against a scored framework before promotion.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F" w:val="clear"/>
            <w:tcMar>
              <w:top w:type="dxa" w:w="60"/>
              <w:left w:type="dxa" w:w="200"/>
              <w:bottom w:type="dxa" w:w="60"/>
              <w:right w:type="dxa" w:w="160"/>
            </w:tcMar>
          </w:tcPr>
          <w:p>
            <w:r>
              <w:rPr>
                <w:rFonts w:ascii="Arial" w:cs="Arial" w:eastAsia="Arial" w:hAnsi="Arial"/>
                <w:b/>
                <w:bCs/>
                <w:color w:val="4B0082"/>
                <w:sz w:val="20"/>
                <w:szCs w:val="20"/>
              </w:rPr>
              <w:t xml:space="preserve">What's new in v2.0: Quality assessment sign-off gates are now mandatory for production promotion. Three sections of automation_quality_assessment.md must meet minimum scores. Test identity privilege is now an explicit gate — tests run as elevated personal accounts are non-compliant. approval-evidence-template.md and rollback-test-record-template.md are named as required submission artifacts.</w:t>
            </w:r>
          </w:p>
        </w:tc>
      </w:tr>
    </w:tbl>
    <w:p>
      <w:pPr>
        <w:pStyle w:val="Heading2"/>
        <w:spacing w:after="160" w:before="360"/>
      </w:pPr>
      <w:r>
        <w:rPr>
          <w:rFonts w:ascii="Arial" w:cs="Arial" w:eastAsia="Arial" w:hAnsi="Arial"/>
          <w:b/>
          <w:bCs/>
          <w:color w:val="2E75B6"/>
          <w:sz w:val="30"/>
          <w:szCs w:val="30"/>
        </w:rPr>
        <w:t xml:space="preserve">Key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color w:val="2C2C2C"/>
                <w:sz w:val="20"/>
                <w:szCs w:val="20"/>
              </w:rPr>
              <w:t xml:space="preserve">Nine things must be true and evidenced before promotion: (1) manual baseline documented; (2) steps validated in isolation; (3) full non-production execution; (4) idempotency test (changed=0); (5) failure and backout test; (6) environmental parity documented; (7) all quality gates passed; (8) quality assessment sign-off gates passed (Sections 4, 5, 6 minimum scores); (9) evidence packaged via approval-evidence-template.md and linked to change record.</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Manual baseline documented for the procedure being automated?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Pre-Test Preparation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Individual steps validated in isolation before full execution?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Step Validation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Automation run to completion in non-production without manual intervention?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Full Execution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 identity production-equivalent privilege — not elevated personal account?</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Test Identity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Test run against same type of target as production?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Full Execution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Idempotency test log provided showing changed=0 on second run?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Idempotency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Failure and backout test performed — rollback-test-record-template.md complete?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Evidence Template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Evidence linked to current revision being promoted?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Evidence Validity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 six parity dimensions documented — differences risk-accepted with named owner?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Environmental Parity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Linting passed with no unexplained errors?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Quality Gates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Security scanning passed with no unreviewed findings?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Quality Gates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Standards compliance check passed?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Quality Gates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Quality assessment Section 4 (Safety, Testing &amp; Backout) score &gt;= 4.0/5?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Quality Assessment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Quality assessment Section 5 (Idempotency &amp; Reliability) score &gt;= 3.5/5?</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Quality Assessment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Quality assessment Section 6 (Observability &amp; Feedback) score &gt;= 3.5/5?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Quality Assessment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16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 sign-off question answered — "another team would trust and operate it safely"?</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 Quality Assessment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17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Evidence package submitted via approval-evidence-template.md and linked to change record?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2C2C2C"/>
                <w:sz w:val="20"/>
                <w:szCs w:val="20"/>
              </w:rPr>
              <w:t xml:space="preserve">NEW — Evidence Package</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Scope, validation, and failure classification must be demonstrated working. Execution log is evidence.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 second-run test is part of the mandatory testing cycle.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Backout testing is required. rollback-test-record-template.md is mandatory evidence.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 logs are also primary evidence that KPI output including hours_saved is correct.</w:t>
            </w:r>
          </w:p>
        </w:tc>
      </w:tr>
    </w:tbl>
    <w:p>
      <w:pPr>
        <w:pStyle w:val="Heading2"/>
        <w:spacing w:after="160" w:before="360"/>
      </w:pPr>
      <w:r>
        <w:rPr>
          <w:rFonts w:ascii="Arial" w:cs="Arial" w:eastAsia="Arial" w:hAnsi="Arial"/>
          <w:b/>
          <w:bCs/>
          <w:color w:val="2E75B6"/>
          <w:sz w:val="30"/>
          <w:szCs w:val="30"/>
        </w:rPr>
        <w:t xml:space="preserve">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Use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approval-evidence-template.md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Package and present all promotion evidence — required submission artifact</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rollback-test-record-template.md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Document and evidence backout testing — required submission artifact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automation_quality_assessment.md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Score quality — three sign-off gate sections have minimum scores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anti-patterns-catalogue.md</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AP-S3-01 (elevated test credentials) and AP-S3-02 (happy-path-only testing)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exception-request-template.md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Request formal exceptions to testing gate requirements</w:t>
            </w:r>
          </w:p>
        </w:tc>
      </w:tr>
    </w:tbl>
    <w:p>
      <w:pPr>
        <w:spacing w:after="80"/>
      </w:pPr>
      <w:r>
        <w:t xml:space="preserve"/>
      </w:r>
    </w:p>
    <w:p>
      <w:pPr>
        <w:spacing w:after="160"/>
      </w:pPr>
      <w:r>
        <w:rPr>
          <w:rFonts w:ascii="Arial" w:cs="Arial" w:eastAsia="Arial" w:hAnsi="Arial"/>
          <w:color w:val="595959"/>
          <w:sz w:val="20"/>
          <w:szCs w:val="20"/>
        </w:rPr>
        <w:t xml:space="preserve">Full implementation patterns and code examples: 07-tested-before-production.md</w:t>
      </w:r>
    </w:p>
    <w:p>
      <w:r>
        <w:br w:type="pag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Arial" w:cs="Arial" w:eastAsia="Arial" w:hAnsi="Arial"/>
        <w:color w:val="595959"/>
        <w:sz w:val="18"/>
        <w:szCs w:val="18"/>
      </w:rPr>
      <w:t xml:space="preserve">Last reviewed: 2026-03-17   |   Owner: Automation Centre of Excellence   |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595959"/>
        <w:sz w:val="18"/>
        <w:szCs w:val="18"/>
      </w:rPr>
      <w:t xml:space="preserve">Automation Standards Framework — Engineer's Guide v2.0</w:t>
    </w:r>
    <w:r>
      <w:rPr>
        <w:rFonts w:ascii="Arial" w:cs="Arial" w:eastAsia="Arial" w:hAnsi="Arial"/>
        <w:color w:val="595959"/>
        <w:sz w:val="18"/>
        <w:szCs w:val="18"/>
      </w:rPr>
      <w:t xml:space="preserve">   |   Draft — Automation Centre of Excellence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8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2026-04-11T17:23:24.373Z</dcterms:created>
  <dcterms:modified xsi:type="dcterms:W3CDTF">2026-04-11T17:23:24.376Z</dcterms:modified>
</cp:coreProperties>
</file>

<file path=docProps/custom.xml><?xml version="1.0" encoding="utf-8"?>
<Properties xmlns="http://schemas.openxmlformats.org/officeDocument/2006/custom-properties" xmlns:vt="http://schemas.openxmlformats.org/officeDocument/2006/docPropsVTypes"/>
</file>