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center"/>
            </w:pPr>
            <w:r>
              <w:rPr>
                <w:rFonts w:ascii="Arial" w:cs="Arial" w:eastAsia="Arial" w:hAnsi="Arial"/>
                <w:b/>
                <w:bCs/>
                <w:color w:val="FFFFFF"/>
                <w:sz w:val="48"/>
                <w:szCs w:val="48"/>
              </w:rPr>
              <w:t xml:space="preserve">AUTOMATION STANDARDS FRAMEWORK</w:t>
            </w:r>
          </w:p>
          <w:p>
            <w:pPr>
              <w:spacing w:before="120"/>
              <w:jc w:val="center"/>
            </w:pPr>
            <w:r>
              <w:rPr>
                <w:rFonts w:ascii="Arial" w:cs="Arial" w:eastAsia="Arial" w:hAnsi="Arial"/>
                <w:i/>
                <w:iCs/>
                <w:color w:val="A7C7E7"/>
                <w:sz w:val="24"/>
                <w:szCs w:val="24"/>
              </w:rPr>
              <w:t xml:space="preserve">Architecture Design Document  |  Enterprise Requirements &amp; Governance Policy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Design Document (ADD)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Automation Services Team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18,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for Leadership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ASE@metlife.com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bl>
    <w:p>
      <w:pPr>
        <w:spacing w:before="30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Architecture Design Document (ADD) Overview</w:t>
      </w:r>
    </w:p>
    <w:p>
      <w:pPr>
        <w:spacing w:before="80" w:after="80"/>
      </w:pPr>
      <w:r>
        <w:rPr>
          <w:rFonts w:ascii="Arial" w:cs="Arial" w:eastAsia="Arial" w:hAnsi="Arial"/>
          <w:sz w:val="22"/>
          <w:szCs w:val="22"/>
        </w:rPr>
        <w:t xml:space="preserve">This document follows the Architecture Design Document (ADD) format to provide a structured, traceable record of the enterprise automation standards framework. It defines the architectural context, governing decisions, and supporting requirements that all automation must satisfy prior to production deployment.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Business Impact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Strategic Alignment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2"/>
              </w:numPr>
              <w:spacing w:before="40" w:after="40"/>
            </w:pPr>
            <w:r>
              <w:rPr>
                <w:rFonts w:ascii="Arial" w:cs="Arial" w:eastAsia="Arial" w:hAnsi="Arial"/>
                <w:sz w:val="22"/>
                <w:szCs w:val="22"/>
              </w:rPr>
              <w:t xml:space="preserve">Reduces risk of failed changes impacting production</w:t>
            </w:r>
          </w:p>
          <w:p>
            <w:pPr>
              <w:pStyle w:val="ListParagraph"/>
              <w:numPr>
                <w:ilvl w:val="0"/>
                <w:numId w:val="2"/>
              </w:numPr>
              <w:spacing w:before="40" w:after="40"/>
            </w:pPr>
            <w:r>
              <w:rPr>
                <w:rFonts w:ascii="Arial" w:cs="Arial" w:eastAsia="Arial" w:hAnsi="Arial"/>
                <w:sz w:val="22"/>
                <w:szCs w:val="22"/>
              </w:rPr>
              <w:t xml:space="preserve">Enables faster recovery during incidents</w:t>
            </w:r>
          </w:p>
          <w:p>
            <w:pPr>
              <w:pStyle w:val="ListParagraph"/>
              <w:numPr>
                <w:ilvl w:val="0"/>
                <w:numId w:val="2"/>
              </w:numPr>
              <w:spacing w:before="40" w:after="40"/>
            </w:pPr>
            <w:r>
              <w:rPr>
                <w:rFonts w:ascii="Arial" w:cs="Arial" w:eastAsia="Arial" w:hAnsi="Arial"/>
                <w:sz w:val="22"/>
                <w:szCs w:val="22"/>
              </w:rPr>
              <w:t xml:space="preserve">Provides audit trail and compliance support</w:t>
            </w:r>
          </w:p>
          <w:p>
            <w:pPr>
              <w:pStyle w:val="ListParagraph"/>
              <w:numPr>
                <w:ilvl w:val="0"/>
                <w:numId w:val="2"/>
              </w:numPr>
              <w:spacing w:before="40" w:after="40"/>
            </w:pPr>
            <w:r>
              <w:rPr>
                <w:rFonts w:ascii="Arial" w:cs="Arial" w:eastAsia="Arial" w:hAnsi="Arial"/>
                <w:sz w:val="22"/>
                <w:szCs w:val="22"/>
              </w:rPr>
              <w:t xml:space="preserve">Increases operational stability and confidence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2"/>
              </w:numPr>
              <w:spacing w:before="40" w:after="40"/>
            </w:pPr>
            <w:r>
              <w:rPr>
                <w:rFonts w:ascii="Arial" w:cs="Arial" w:eastAsia="Arial" w:hAnsi="Arial"/>
                <w:sz w:val="22"/>
                <w:szCs w:val="22"/>
              </w:rPr>
              <w:t xml:space="preserve">Supports the enterprise automation-first initiative</w:t>
            </w:r>
          </w:p>
          <w:p>
            <w:pPr>
              <w:pStyle w:val="ListParagraph"/>
              <w:numPr>
                <w:ilvl w:val="0"/>
                <w:numId w:val="2"/>
              </w:numPr>
              <w:spacing w:before="40" w:after="40"/>
            </w:pPr>
            <w:r>
              <w:rPr>
                <w:rFonts w:ascii="Arial" w:cs="Arial" w:eastAsia="Arial" w:hAnsi="Arial"/>
                <w:sz w:val="22"/>
                <w:szCs w:val="22"/>
              </w:rPr>
              <w:t xml:space="preserve">Establishes governance for enterprise-scale operations</w:t>
            </w:r>
          </w:p>
          <w:p>
            <w:pPr>
              <w:pStyle w:val="ListParagraph"/>
              <w:numPr>
                <w:ilvl w:val="0"/>
                <w:numId w:val="2"/>
              </w:numPr>
              <w:spacing w:before="40" w:after="40"/>
            </w:pPr>
            <w:r>
              <w:rPr>
                <w:rFonts w:ascii="Arial" w:cs="Arial" w:eastAsia="Arial" w:hAnsi="Arial"/>
                <w:sz w:val="22"/>
                <w:szCs w:val="22"/>
              </w:rPr>
              <w:t xml:space="preserve">Enables data-driven ROI visibility and decision making</w:t>
            </w:r>
          </w:p>
          <w:p>
            <w:pPr>
              <w:pStyle w:val="ListParagraph"/>
              <w:numPr>
                <w:ilvl w:val="0"/>
                <w:numId w:val="2"/>
              </w:numPr>
              <w:spacing w:before="40" w:after="40"/>
            </w:pPr>
            <w:r>
              <w:rPr>
                <w:rFonts w:ascii="Arial" w:cs="Arial" w:eastAsia="Arial" w:hAnsi="Arial"/>
                <w:sz w:val="22"/>
                <w:szCs w:val="22"/>
              </w:rPr>
              <w:t xml:space="preserve">Creates a shared quality baseline across all teams</w:t>
            </w:r>
          </w:p>
        </w:tc>
      </w:tr>
    </w:tbl>
    <w:p>
      <w:pPr>
        <w:spacing w:before="24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Architectural Context</w:t>
      </w:r>
    </w:p>
    <w:p>
      <w:pPr>
        <w:spacing w:before="80" w:after="80"/>
      </w:pPr>
      <w:r>
        <w:rPr>
          <w:rFonts w:ascii="Arial" w:cs="Arial" w:eastAsia="Arial" w:hAnsi="Arial"/>
          <w:sz w:val="22"/>
          <w:szCs w:val="22"/>
        </w:rPr>
        <w:t xml:space="preserve">As automation becomes central to enterprise operations, clear and enforceable standards are essential to ensure automation is safe, recoverable, and reliable at scale. This framework establishes three mandatory core requirements that all automation must satisfy before production deployment, supported by a comprehensive set of technical and governance standards.</w:t>
      </w:r>
    </w:p>
    <w:p>
      <w:pPr>
        <w:spacing w:before="120" w:after="0"/>
      </w:pPr>
      <w:r>
        <w:t xml:space="preserve"/>
      </w:r>
    </w:p>
    <w:p>
      <w:pPr>
        <w:spacing w:before="80" w:after="80"/>
      </w:pPr>
      <w:r>
        <w:rPr>
          <w:rFonts w:ascii="Arial" w:cs="Arial" w:eastAsia="Arial" w:hAnsi="Arial"/>
          <w:sz w:val="22"/>
          <w:szCs w:val="22"/>
        </w:rPr>
        <w:t xml:space="preserve">Without clear standards, the automation-first mandate introduces unacceptable operational and security risk. This framework provides the governance structure necessary to execute the mandate responsibly and at scale.</w:t>
      </w:r>
    </w:p>
    <w:p>
      <w:pPr>
        <w:spacing w:before="24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Core Architecture Decision Records (ADRs)</w:t>
      </w:r>
    </w:p>
    <w:p>
      <w:pPr>
        <w:spacing w:before="80" w:after="80"/>
      </w:pPr>
      <w:r>
        <w:rPr>
          <w:rFonts w:ascii="Arial" w:cs="Arial" w:eastAsia="Arial" w:hAnsi="Arial"/>
          <w:sz w:val="22"/>
          <w:szCs w:val="22"/>
        </w:rPr>
        <w:t xml:space="preserve">Each core requirement is documented as an Architecture Decision Record (ADR). ADRs capture the context, decision, status, and consequences of each architectural choice, providing a traceable governance record.</w:t>
      </w:r>
    </w:p>
    <w:p>
      <w:pPr>
        <w:spacing w:before="160" w:after="0"/>
      </w:pPr>
      <w:r>
        <w:t xml:space="preserve"/>
      </w:r>
    </w:p>
    <w:p>
      <w:pPr>
        <w:pStyle w:val="Heading2"/>
        <w:spacing w:before="280" w:after="100"/>
      </w:pPr>
      <w:r>
        <w:rPr>
          <w:rFonts w:ascii="Arial" w:cs="Arial" w:eastAsia="Arial" w:hAnsi="Arial"/>
          <w:b/>
          <w:bCs/>
          <w:color w:val="2E75B6"/>
          <w:sz w:val="24"/>
          <w:szCs w:val="24"/>
        </w:rPr>
        <w:t xml:space="preserve">ADR-001 — Automation-First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ADR-001 | Automation-First Approach</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Context</w:t>
            </w:r>
          </w:p>
        </w:tc>
      </w:tr>
    </w:tbl>
    <w:p>
      <w:pPr>
        <w:spacing w:before="80" w:after="80"/>
      </w:pPr>
      <w:r>
        <w:rPr>
          <w:rFonts w:ascii="Arial" w:cs="Arial" w:eastAsia="Arial" w:hAnsi="Arial"/>
          <w:sz w:val="22"/>
          <w:szCs w:val="22"/>
        </w:rPr>
        <w:t xml:space="preserve">All enterprise processes must be evaluated for automation suitability. Manual or hybrid approaches introduce delays, inconsistency, and human error. The organization has mandated an automation-first direction to enable scale and repeatability.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spacing w:before="80" w:after="80"/>
      </w:pPr>
      <w:r>
        <w:rPr>
          <w:rFonts w:ascii="Arial" w:cs="Arial" w:eastAsia="Arial" w:hAnsi="Arial"/>
          <w:sz w:val="22"/>
          <w:szCs w:val="22"/>
        </w:rPr>
        <w:t xml:space="preserve">All processes that are repetitive, routine, or predictable must be automated end-to-end. Partial automation is permitted only where human judgment is genuinely required, with written justification.</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Automation is required for: repetitive tasks, routine operations, predictable workflows, and redundant manual processes.</w:t>
      </w:r>
    </w:p>
    <w:p>
      <w:pPr>
        <w:pStyle w:val="ListParagraph"/>
        <w:numPr>
          <w:ilvl w:val="0"/>
          <w:numId w:val="2"/>
        </w:numPr>
        <w:spacing w:before="40" w:after="40"/>
      </w:pPr>
      <w:r>
        <w:rPr>
          <w:rFonts w:ascii="Arial" w:cs="Arial" w:eastAsia="Arial" w:hAnsi="Arial"/>
          <w:sz w:val="22"/>
          <w:szCs w:val="22"/>
        </w:rPr>
        <w:t xml:space="preserve">Hybrid approaches are appropriate for: complex workflows containing predictable steps alongside steps requiring human judgment.</w:t>
      </w:r>
    </w:p>
    <w:p>
      <w:pPr>
        <w:pStyle w:val="ListParagraph"/>
        <w:numPr>
          <w:ilvl w:val="0"/>
          <w:numId w:val="2"/>
        </w:numPr>
        <w:spacing w:before="40" w:after="40"/>
      </w:pPr>
      <w:r>
        <w:rPr>
          <w:rFonts w:ascii="Arial" w:cs="Arial" w:eastAsia="Arial" w:hAnsi="Arial"/>
          <w:sz w:val="22"/>
          <w:szCs w:val="22"/>
        </w:rPr>
        <w:t xml:space="preserve">Automation may not be appropriate for: tasks requiring critical human judgment, regulatory approvals, or unique situational analysis.</w:t>
      </w:r>
    </w:p>
    <w:p>
      <w:pPr>
        <w:pStyle w:val="ListParagraph"/>
        <w:numPr>
          <w:ilvl w:val="0"/>
          <w:numId w:val="2"/>
        </w:numPr>
        <w:spacing w:before="40" w:after="40"/>
      </w:pPr>
      <w:r>
        <w:rPr>
          <w:rFonts w:ascii="Arial" w:cs="Arial" w:eastAsia="Arial" w:hAnsi="Arial"/>
          <w:sz w:val="22"/>
          <w:szCs w:val="22"/>
        </w:rPr>
        <w:t xml:space="preserve">Manual or hybrid approaches require written justification including: why full automation is not appropriate, which steps are automated vs. manual, and any technical, business, regulatory, or operational constraints.</w:t>
      </w:r>
    </w:p>
    <w:p>
      <w:pPr>
        <w:pStyle w:val="ListParagraph"/>
        <w:numPr>
          <w:ilvl w:val="0"/>
          <w:numId w:val="2"/>
        </w:numPr>
        <w:spacing w:before="40" w:after="40"/>
      </w:pPr>
      <w:r>
        <w:rPr>
          <w:rFonts w:ascii="Arial" w:cs="Arial" w:eastAsia="Arial" w:hAnsi="Arial"/>
          <w:sz w:val="22"/>
          <w:szCs w:val="22"/>
        </w:rPr>
        <w:t xml:space="preserve">All automation — regardless of scope — must meet testing and backout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Status</w:t>
            </w:r>
          </w:p>
        </w:tc>
      </w:tr>
    </w:tbl>
    <w:p>
      <w:pPr>
        <w:spacing w:before="60" w:after="60"/>
      </w:pPr>
      <w:r>
        <w:rPr>
          <w:rFonts w:ascii="Arial" w:cs="Arial" w:eastAsia="Arial" w:hAnsi="Arial"/>
          <w:b/>
          <w:bCs/>
          <w:color w:val="375623"/>
          <w:sz w:val="22"/>
          <w:szCs w:val="22"/>
        </w:rPr>
        <w:t xml:space="preserve">Status: </w:t>
      </w:r>
      <w:r>
        <w:rPr>
          <w:rFonts w:ascii="Arial" w:cs="Arial" w:eastAsia="Arial" w:hAnsi="Arial"/>
          <w:sz w:val="22"/>
          <w:szCs w:val="22"/>
        </w:rPr>
        <w:t xml:space="preserve">Accepted — Mandatory for all automation</w:t>
      </w:r>
    </w:p>
    <w:p>
      <w:pPr>
        <w:spacing w:before="60" w:after="60"/>
      </w:pPr>
      <w:r>
        <w:rPr>
          <w:rFonts w:ascii="Arial" w:cs="Arial" w:eastAsia="Arial" w:hAnsi="Arial"/>
          <w:b/>
          <w:bCs/>
          <w:color w:val="2E75B6"/>
          <w:sz w:val="22"/>
          <w:szCs w:val="22"/>
        </w:rPr>
        <w:t xml:space="preserve">Decision Authority: </w:t>
      </w:r>
      <w:r>
        <w:rPr>
          <w:rFonts w:ascii="Arial" w:cs="Arial" w:eastAsia="Arial" w:hAnsi="Arial"/>
          <w:sz w:val="22"/>
          <w:szCs w:val="22"/>
        </w:rPr>
        <w:t xml:space="preserve">Automation Services Team / Leadership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Teams must evaluate all new and existing processes for automation suitability. Manual processes require formal justification. Non-compliant automation will be rejected from the production approval gate.</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Manual steps introduce delays, inconsistency, and human error. Full automation enables scale, repeatability, and supports the automation-first direction. Requiring documented justification for any manual approach ensures that teams genuinely evaluate automation potential rather than defaulting to manual processes out of convenience.</w:t>
            </w:r>
          </w:p>
        </w:tc>
      </w:tr>
    </w:tbl>
    <w:p>
      <w:pPr>
        <w:spacing w:before="280" w:after="0"/>
      </w:pPr>
      <w:r>
        <w:t xml:space="preserve"/>
      </w:r>
    </w:p>
    <w:p>
      <w:pPr>
        <w:pStyle w:val="Heading2"/>
        <w:spacing w:before="280" w:after="100"/>
      </w:pPr>
      <w:r>
        <w:rPr>
          <w:rFonts w:ascii="Arial" w:cs="Arial" w:eastAsia="Arial" w:hAnsi="Arial"/>
          <w:b/>
          <w:bCs/>
          <w:color w:val="2E75B6"/>
          <w:sz w:val="24"/>
          <w:szCs w:val="24"/>
        </w:rPr>
        <w:t xml:space="preserve">ADR-002 — Tested and Approved Before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ADR-002 | Tested and Approved Before Production</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Context</w:t>
            </w:r>
          </w:p>
        </w:tc>
      </w:tr>
    </w:tbl>
    <w:p>
      <w:pPr>
        <w:spacing w:before="80" w:after="80"/>
      </w:pPr>
      <w:r>
        <w:rPr>
          <w:rFonts w:ascii="Arial" w:cs="Arial" w:eastAsia="Arial" w:hAnsi="Arial"/>
          <w:sz w:val="22"/>
          <w:szCs w:val="22"/>
        </w:rPr>
        <w:t xml:space="preserve">Untested automation at scale amplifies risk exponentially. Without formal testing and peer review, unvalidated automation can cause significant business disruption. A consistent approval gate is required to ensure quality before production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spacing w:before="80" w:after="80"/>
      </w:pPr>
      <w:r>
        <w:rPr>
          <w:rFonts w:ascii="Arial" w:cs="Arial" w:eastAsia="Arial" w:hAnsi="Arial"/>
          <w:sz w:val="22"/>
          <w:szCs w:val="22"/>
        </w:rPr>
        <w:t xml:space="preserve">All automation must be fully tested in a non-production environment and pass all defined quality gates before receiving production approval.</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Automation must demonstrate successful execution in a non-production test environment.</w:t>
      </w:r>
    </w:p>
    <w:p>
      <w:pPr>
        <w:pStyle w:val="ListParagraph"/>
        <w:numPr>
          <w:ilvl w:val="0"/>
          <w:numId w:val="2"/>
        </w:numPr>
        <w:spacing w:before="40" w:after="40"/>
      </w:pPr>
      <w:r>
        <w:rPr>
          <w:rFonts w:ascii="Arial" w:cs="Arial" w:eastAsia="Arial" w:hAnsi="Arial"/>
          <w:sz w:val="22"/>
          <w:szCs w:val="22"/>
        </w:rPr>
        <w:t xml:space="preserve">All quality gates must be passed: linting, security scanning, and standards compliance checks.</w:t>
      </w:r>
    </w:p>
    <w:p>
      <w:pPr>
        <w:pStyle w:val="ListParagraph"/>
        <w:numPr>
          <w:ilvl w:val="0"/>
          <w:numId w:val="2"/>
        </w:numPr>
        <w:spacing w:before="40" w:after="40"/>
      </w:pPr>
      <w:r>
        <w:rPr>
          <w:rFonts w:ascii="Arial" w:cs="Arial" w:eastAsia="Arial" w:hAnsi="Arial"/>
          <w:sz w:val="22"/>
          <w:szCs w:val="22"/>
        </w:rPr>
        <w:t xml:space="preserve">Code must be peer-reviewed and formally approved prior to promotion to production.</w:t>
      </w:r>
    </w:p>
    <w:p>
      <w:pPr>
        <w:pStyle w:val="ListParagraph"/>
        <w:numPr>
          <w:ilvl w:val="0"/>
          <w:numId w:val="2"/>
        </w:numPr>
        <w:spacing w:before="40" w:after="40"/>
      </w:pPr>
      <w:r>
        <w:rPr>
          <w:rFonts w:ascii="Arial" w:cs="Arial" w:eastAsia="Arial" w:hAnsi="Arial"/>
          <w:sz w:val="22"/>
          <w:szCs w:val="22"/>
        </w:rPr>
        <w:t xml:space="preserve">Testing evidence must be documented and retained as part of the approval record.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Status</w:t>
            </w:r>
          </w:p>
        </w:tc>
      </w:tr>
    </w:tbl>
    <w:p>
      <w:pPr>
        <w:spacing w:before="60" w:after="60"/>
      </w:pPr>
      <w:r>
        <w:rPr>
          <w:rFonts w:ascii="Arial" w:cs="Arial" w:eastAsia="Arial" w:hAnsi="Arial"/>
          <w:b/>
          <w:bCs/>
          <w:color w:val="375623"/>
          <w:sz w:val="22"/>
          <w:szCs w:val="22"/>
        </w:rPr>
        <w:t xml:space="preserve">Status: </w:t>
      </w:r>
      <w:r>
        <w:rPr>
          <w:rFonts w:ascii="Arial" w:cs="Arial" w:eastAsia="Arial" w:hAnsi="Arial"/>
          <w:sz w:val="22"/>
          <w:szCs w:val="22"/>
        </w:rPr>
        <w:t xml:space="preserve">Accepted — Mandatory for all automation</w:t>
      </w:r>
    </w:p>
    <w:p>
      <w:pPr>
        <w:spacing w:before="60" w:after="60"/>
      </w:pPr>
      <w:r>
        <w:rPr>
          <w:rFonts w:ascii="Arial" w:cs="Arial" w:eastAsia="Arial" w:hAnsi="Arial"/>
          <w:b/>
          <w:bCs/>
          <w:color w:val="2E75B6"/>
          <w:sz w:val="22"/>
          <w:szCs w:val="22"/>
        </w:rPr>
        <w:t xml:space="preserve">Decision Authority: </w:t>
      </w:r>
      <w:r>
        <w:rPr>
          <w:rFonts w:ascii="Arial" w:cs="Arial" w:eastAsia="Arial" w:hAnsi="Arial"/>
          <w:sz w:val="22"/>
          <w:szCs w:val="22"/>
        </w:rPr>
        <w:t xml:space="preserve">Automation Services Team / Leadership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No automation may be deployed to production without passing all quality gates and receiving formal approval. Testing artifacts must be retained. Peer review is a prerequisite for promotion.</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Untested automation at scale amplifies risk exponentially. Testing catches issues before they impact production, and peer review ensures knowledge sharing while catching edge cases a single developer might miss. This requirement prevents unvalidated deployments that can cause significant business disruption.</w:t>
            </w:r>
          </w:p>
        </w:tc>
      </w:tr>
    </w:tbl>
    <w:p>
      <w:pPr>
        <w:spacing w:before="280" w:after="0"/>
      </w:pPr>
      <w:r>
        <w:t xml:space="preserve"/>
      </w:r>
    </w:p>
    <w:p>
      <w:pPr>
        <w:pStyle w:val="Heading2"/>
        <w:spacing w:before="280" w:after="100"/>
      </w:pPr>
      <w:r>
        <w:rPr>
          <w:rFonts w:ascii="Arial" w:cs="Arial" w:eastAsia="Arial" w:hAnsi="Arial"/>
          <w:b/>
          <w:bCs/>
          <w:color w:val="2E75B6"/>
          <w:sz w:val="24"/>
          <w:szCs w:val="24"/>
        </w:rPr>
        <w:t xml:space="preserve">ADR-003 — Automatic Backout with Post-Validation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ADR-003 | Automatic Backout with Post-Validation</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Context</w:t>
            </w:r>
          </w:p>
        </w:tc>
      </w:tr>
    </w:tbl>
    <w:p>
      <w:pPr>
        <w:spacing w:before="80" w:after="80"/>
      </w:pPr>
      <w:r>
        <w:rPr>
          <w:rFonts w:ascii="Arial" w:cs="Arial" w:eastAsia="Arial" w:hAnsi="Arial"/>
          <w:sz w:val="22"/>
          <w:szCs w:val="22"/>
        </w:rPr>
        <w:t xml:space="preserve">Automation introduces risk at scale. When automation fails, recovery speed is critical to minimizing business impact. Without automated backout, recovery is slow, inconsistent, and dependent on deep automation knowledge.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spacing w:before="80" w:after="80"/>
      </w:pPr>
      <w:r>
        <w:rPr>
          <w:rFonts w:ascii="Arial" w:cs="Arial" w:eastAsia="Arial" w:hAnsi="Arial"/>
          <w:sz w:val="22"/>
          <w:szCs w:val="22"/>
        </w:rPr>
        <w:t xml:space="preserve">Every automation that changes system state must include a tested, documented automatic backout mechanism and a post-execution validation step.</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Every state-changing automation must have a tested, documented backout mechanism.</w:t>
      </w:r>
    </w:p>
    <w:p>
      <w:pPr>
        <w:pStyle w:val="ListParagraph"/>
        <w:numPr>
          <w:ilvl w:val="0"/>
          <w:numId w:val="2"/>
        </w:numPr>
        <w:spacing w:before="40" w:after="40"/>
      </w:pPr>
      <w:r>
        <w:rPr>
          <w:rFonts w:ascii="Arial" w:cs="Arial" w:eastAsia="Arial" w:hAnsi="Arial"/>
          <w:sz w:val="22"/>
          <w:szCs w:val="22"/>
        </w:rPr>
        <w:t xml:space="preserve">Post-validation must automatically verify that the change achieved its intended outcome.</w:t>
      </w:r>
    </w:p>
    <w:p>
      <w:pPr>
        <w:pStyle w:val="ListParagraph"/>
        <w:numPr>
          <w:ilvl w:val="0"/>
          <w:numId w:val="2"/>
        </w:numPr>
        <w:spacing w:before="40" w:after="40"/>
      </w:pPr>
      <w:r>
        <w:rPr>
          <w:rFonts w:ascii="Arial" w:cs="Arial" w:eastAsia="Arial" w:hAnsi="Arial"/>
          <w:sz w:val="22"/>
          <w:szCs w:val="22"/>
        </w:rPr>
        <w:t xml:space="preserve">If validation fails or an unhandled error occurs, automatic backout must be triggered immediately.</w:t>
      </w:r>
    </w:p>
    <w:p>
      <w:pPr>
        <w:pStyle w:val="ListParagraph"/>
        <w:numPr>
          <w:ilvl w:val="0"/>
          <w:numId w:val="2"/>
        </w:numPr>
        <w:spacing w:before="40" w:after="40"/>
      </w:pPr>
      <w:r>
        <w:rPr>
          <w:rFonts w:ascii="Arial" w:cs="Arial" w:eastAsia="Arial" w:hAnsi="Arial"/>
          <w:sz w:val="22"/>
          <w:szCs w:val="22"/>
        </w:rPr>
        <w:t xml:space="preserve">Backout must be “single-button” and accessible to all authorized teams without requiring deep automation knowledge.</w:t>
      </w:r>
    </w:p>
    <w:p>
      <w:pPr>
        <w:pStyle w:val="ListParagraph"/>
        <w:numPr>
          <w:ilvl w:val="0"/>
          <w:numId w:val="2"/>
        </w:numPr>
        <w:spacing w:before="40" w:after="40"/>
      </w:pPr>
      <w:r>
        <w:rPr>
          <w:rFonts w:ascii="Arial" w:cs="Arial" w:eastAsia="Arial" w:hAnsi="Arial"/>
          <w:sz w:val="22"/>
          <w:szCs w:val="22"/>
        </w:rPr>
        <w:t xml:space="preserve">Exception: Read-only and informational actions (e.g., querying data, reading files) are exempt from backout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Status</w:t>
            </w:r>
          </w:p>
        </w:tc>
      </w:tr>
    </w:tbl>
    <w:p>
      <w:pPr>
        <w:spacing w:before="60" w:after="60"/>
      </w:pPr>
      <w:r>
        <w:rPr>
          <w:rFonts w:ascii="Arial" w:cs="Arial" w:eastAsia="Arial" w:hAnsi="Arial"/>
          <w:b/>
          <w:bCs/>
          <w:color w:val="375623"/>
          <w:sz w:val="22"/>
          <w:szCs w:val="22"/>
        </w:rPr>
        <w:t xml:space="preserve">Status: </w:t>
      </w:r>
      <w:r>
        <w:rPr>
          <w:rFonts w:ascii="Arial" w:cs="Arial" w:eastAsia="Arial" w:hAnsi="Arial"/>
          <w:sz w:val="22"/>
          <w:szCs w:val="22"/>
        </w:rPr>
        <w:t xml:space="preserve">Accepted — Mandatory for all state-changing automation</w:t>
      </w:r>
    </w:p>
    <w:p>
      <w:pPr>
        <w:spacing w:before="60" w:after="60"/>
      </w:pPr>
      <w:r>
        <w:rPr>
          <w:rFonts w:ascii="Arial" w:cs="Arial" w:eastAsia="Arial" w:hAnsi="Arial"/>
          <w:b/>
          <w:bCs/>
          <w:color w:val="2E75B6"/>
          <w:sz w:val="22"/>
          <w:szCs w:val="22"/>
        </w:rPr>
        <w:t xml:space="preserve">Decision Authority: </w:t>
      </w:r>
      <w:r>
        <w:rPr>
          <w:rFonts w:ascii="Arial" w:cs="Arial" w:eastAsia="Arial" w:hAnsi="Arial"/>
          <w:sz w:val="22"/>
          <w:szCs w:val="22"/>
        </w:rPr>
        <w:t xml:space="preserve">Automation Services Team / Leadership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All state-changing automation must implement and test backout procedures before production approval. Post-validation logic is a required component. The guiding principle is: when in doubt, back out.</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Automation introduces risk at scale. When automation fails, recovery speed is critical to minimizing business impact. Automated backout ensures rapid recovery, minimizes blast radius, and protects production systems from partial or failed changes. Post-validation prevents silent failures.</w:t>
            </w:r>
          </w:p>
        </w:tc>
      </w:tr>
    </w:tbl>
    <w:p>
      <w:pPr>
        <w:spacing w:before="280" w:after="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Production Approval Gate</w:t>
      </w:r>
    </w:p>
    <w:p>
      <w:pPr>
        <w:spacing w:before="80" w:after="80"/>
      </w:pPr>
      <w:r>
        <w:rPr>
          <w:rFonts w:ascii="Arial" w:cs="Arial" w:eastAsia="Arial" w:hAnsi="Arial"/>
          <w:sz w:val="22"/>
          <w:szCs w:val="22"/>
        </w:rPr>
        <w:t xml:space="preserve">Before any automation is approved for production deployment, it must satisfy all three core ADR requirements. A single “NO” answer results in automatic rejection.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Requirement (ADR)</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ADR-001: Is the process automated end-to-end (or partially with documented justification)?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ADR-002: Has it been tested and proven to work in a non-production environment?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ADR-003: Does it include automatic backout with post-validation?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9360"/>
            <w:tcBorders>
              <w:top w:val="single" w:color="C55A11" w:sz="1"/>
              <w:left w:val="single" w:color="C55A11" w:sz="1"/>
              <w:bottom w:val="single" w:color="C55A11" w:sz="1"/>
              <w:right w:val="single" w:color="C55A11"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  WARNING: If any answer is NO, the automation is REJECTED and must not be promoted to production.</w:t>
            </w:r>
          </w:p>
        </w:tc>
      </w:tr>
    </w:tbl>
    <w:p>
      <w:pPr>
        <w:spacing w:before="24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Supporting Architecture Decision Records — Technical Standards</w:t>
      </w:r>
    </w:p>
    <w:p>
      <w:pPr>
        <w:spacing w:before="80" w:after="80"/>
      </w:pPr>
      <w:r>
        <w:rPr>
          <w:rFonts w:ascii="Arial" w:cs="Arial" w:eastAsia="Arial" w:hAnsi="Arial"/>
          <w:sz w:val="22"/>
          <w:szCs w:val="22"/>
        </w:rPr>
        <w:t xml:space="preserve">The following ADRs document the mandatory supporting standards that enable and enforce the three core requirements. All are mandatory and will be enforced as part of the overall compliance framework.</w:t>
      </w:r>
    </w:p>
    <w:p>
      <w:pPr>
        <w:spacing w:before="160" w:after="0"/>
      </w:pPr>
      <w:r>
        <w:t xml:space="preserve"/>
      </w:r>
    </w:p>
    <w:p>
      <w:pPr>
        <w:pStyle w:val="Heading2"/>
        <w:spacing w:before="280" w:after="100"/>
      </w:pPr>
      <w:r>
        <w:rPr>
          <w:rFonts w:ascii="Arial" w:cs="Arial" w:eastAsia="Arial" w:hAnsi="Arial"/>
          <w:b/>
          <w:bCs/>
          <w:color w:val="2E75B6"/>
          <w:sz w:val="24"/>
          <w:szCs w:val="24"/>
        </w:rPr>
        <w:t xml:space="preserve">ADR-004 — No Hardcoding of Values 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ADR-004 | No Hardcoding of Values or Configuration</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Hardcoded values are strictly prohibited in all automation.</w:t>
      </w:r>
    </w:p>
    <w:p>
      <w:pPr>
        <w:pStyle w:val="ListParagraph"/>
        <w:numPr>
          <w:ilvl w:val="0"/>
          <w:numId w:val="2"/>
        </w:numPr>
        <w:spacing w:before="40" w:after="40"/>
      </w:pPr>
      <w:r>
        <w:rPr>
          <w:rFonts w:ascii="Arial" w:cs="Arial" w:eastAsia="Arial" w:hAnsi="Arial"/>
          <w:sz w:val="22"/>
          <w:szCs w:val="22"/>
        </w:rPr>
        <w:t xml:space="preserve">All configurations must be supplied through external variables.</w:t>
      </w:r>
    </w:p>
    <w:p>
      <w:pPr>
        <w:pStyle w:val="ListParagraph"/>
        <w:numPr>
          <w:ilvl w:val="0"/>
          <w:numId w:val="2"/>
        </w:numPr>
        <w:spacing w:before="40" w:after="40"/>
      </w:pPr>
      <w:r>
        <w:rPr>
          <w:rFonts w:ascii="Arial" w:cs="Arial" w:eastAsia="Arial" w:hAnsi="Arial"/>
          <w:sz w:val="22"/>
          <w:szCs w:val="22"/>
        </w:rPr>
        <w:t xml:space="preserve">Inventory must use dynamic sources where technically feasible.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Automation is portable, environment-independent, and scalable without code modification. Variables must be managed through approved configuration systems.</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Hardcoding reduces portability, increases risk, and complicates reuse across environments. Variable-driven design enables environment independence, safe scaling, and supports automation reusability without code modification.</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ADR-005 — Mandatory Linting and Git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ADR-005 | Mandatory Linting and Git Hooks</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Linting must be enforced on all code prior to commit.</w:t>
      </w:r>
    </w:p>
    <w:p>
      <w:pPr>
        <w:pStyle w:val="ListParagraph"/>
        <w:numPr>
          <w:ilvl w:val="0"/>
          <w:numId w:val="2"/>
        </w:numPr>
        <w:spacing w:before="40" w:after="40"/>
      </w:pPr>
      <w:r>
        <w:rPr>
          <w:rFonts w:ascii="Arial" w:cs="Arial" w:eastAsia="Arial" w:hAnsi="Arial"/>
          <w:sz w:val="22"/>
          <w:szCs w:val="22"/>
        </w:rPr>
        <w:t xml:space="preserve">Git hooks must prevent merging if any linting checks fail.</w:t>
      </w:r>
    </w:p>
    <w:p>
      <w:pPr>
        <w:pStyle w:val="ListParagraph"/>
        <w:numPr>
          <w:ilvl w:val="0"/>
          <w:numId w:val="2"/>
        </w:numPr>
        <w:spacing w:before="40" w:after="40"/>
      </w:pPr>
      <w:r>
        <w:rPr>
          <w:rFonts w:ascii="Arial" w:cs="Arial" w:eastAsia="Arial" w:hAnsi="Arial"/>
          <w:sz w:val="22"/>
          <w:szCs w:val="22"/>
        </w:rPr>
        <w:t xml:space="preserve">All code must pass quality checks before entering shared repositories.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Non-compliant code cannot enter shared repositories. Developers must resolve lint failures before committing. Automated enforcement removes manual review burden for basic compliance.</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Early enforcement prevents non-compliant automation from entering production pipelines and reduces downstream remediation costs. Automated quality gates remove the burden of manual code review for basic compliance checks.</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ADR-006 —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ADR-006 | Idempotency</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All playbooks must be idempotent — safe to run multiple times without unintended side effects.</w:t>
      </w:r>
    </w:p>
    <w:p>
      <w:pPr>
        <w:pStyle w:val="ListParagraph"/>
        <w:numPr>
          <w:ilvl w:val="0"/>
          <w:numId w:val="2"/>
        </w:numPr>
        <w:spacing w:before="40" w:after="40"/>
      </w:pPr>
      <w:r>
        <w:rPr>
          <w:rFonts w:ascii="Arial" w:cs="Arial" w:eastAsia="Arial" w:hAnsi="Arial"/>
          <w:sz w:val="22"/>
          <w:szCs w:val="22"/>
        </w:rPr>
        <w:t xml:space="preserve">Supporting scripts and extensions (Shell, Python, PowerShell, etc.) must also be idempotent.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Automation can be safely re-executed during retries and recovery operations. Idempotency must be verified as part of the testing requirement (ADR-002).</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Idempotency allows safe re-execution, simplifies retries, and prevents unintended side effects during orchestration or recovery. This directly supports the backout requirement by ensuring both forward and rollback operations can be safely executed.</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ADR-007 — Main Branch Execution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ADR-007 | Main Branch Execution Only</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Only automation from the main branch may run in execution environments.</w:t>
      </w:r>
    </w:p>
    <w:p>
      <w:pPr>
        <w:pStyle w:val="ListParagraph"/>
        <w:numPr>
          <w:ilvl w:val="0"/>
          <w:numId w:val="2"/>
        </w:numPr>
        <w:spacing w:before="40" w:after="40"/>
      </w:pPr>
      <w:r>
        <w:rPr>
          <w:rFonts w:ascii="Arial" w:cs="Arial" w:eastAsia="Arial" w:hAnsi="Arial"/>
          <w:sz w:val="22"/>
          <w:szCs w:val="22"/>
        </w:rPr>
        <w:t xml:space="preserve">All code must be reviewed, approved, and merged before execution.</w:t>
      </w:r>
    </w:p>
    <w:p>
      <w:pPr>
        <w:pStyle w:val="ListParagraph"/>
        <w:numPr>
          <w:ilvl w:val="0"/>
          <w:numId w:val="2"/>
        </w:numPr>
        <w:spacing w:before="40" w:after="40"/>
      </w:pPr>
      <w:r>
        <w:rPr>
          <w:rFonts w:ascii="Arial" w:cs="Arial" w:eastAsia="Arial" w:hAnsi="Arial"/>
          <w:sz w:val="22"/>
          <w:szCs w:val="22"/>
        </w:rPr>
        <w:t xml:space="preserve">Version control and branching governance must be strictly enforced.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Feature branches cannot be executed in production-equivalent environments. This provides a clear audit trail and ensures only reviewed, approved automation runs in production.</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Main-branch enforcement provides a clear audit trail and ensures that only reviewed, approved automation runs in production — directly supporting ADR-002.</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ADR-008 — Automation Classification and Legacy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ADR-008 | Automation Classification and Legacy Handling</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All automation must be classified as compliant or non-compliant.</w:t>
      </w:r>
    </w:p>
    <w:p>
      <w:pPr>
        <w:pStyle w:val="ListParagraph"/>
        <w:numPr>
          <w:ilvl w:val="0"/>
          <w:numId w:val="2"/>
        </w:numPr>
        <w:spacing w:before="40" w:after="40"/>
      </w:pPr>
      <w:r>
        <w:rPr>
          <w:rFonts w:ascii="Arial" w:cs="Arial" w:eastAsia="Arial" w:hAnsi="Arial"/>
          <w:sz w:val="22"/>
          <w:szCs w:val="22"/>
        </w:rPr>
        <w:t xml:space="preserve">Non-compliant automation is designated as legacy and subject to the remediation grace period.</w:t>
      </w:r>
    </w:p>
    <w:p>
      <w:pPr>
        <w:pStyle w:val="ListParagraph"/>
        <w:numPr>
          <w:ilvl w:val="0"/>
          <w:numId w:val="2"/>
        </w:numPr>
        <w:spacing w:before="40" w:after="40"/>
      </w:pPr>
      <w:r>
        <w:rPr>
          <w:rFonts w:ascii="Arial" w:cs="Arial" w:eastAsia="Arial" w:hAnsi="Arial"/>
          <w:sz w:val="22"/>
          <w:szCs w:val="22"/>
        </w:rPr>
        <w:t xml:space="preserve">Legacy automation will be blocked from execution after the grace period expires.</w:t>
      </w:r>
    </w:p>
    <w:p>
      <w:pPr>
        <w:pStyle w:val="ListParagraph"/>
        <w:numPr>
          <w:ilvl w:val="0"/>
          <w:numId w:val="2"/>
        </w:numPr>
        <w:spacing w:before="40" w:after="40"/>
      </w:pPr>
      <w:r>
        <w:rPr>
          <w:rFonts w:ascii="Arial" w:cs="Arial" w:eastAsia="Arial" w:hAnsi="Arial"/>
          <w:sz w:val="22"/>
          <w:szCs w:val="22"/>
        </w:rPr>
        <w:t xml:space="preserve">A complete catalog of all available automation workflows and changes must be maintained.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A full catalog of automation exists with compliance status. Legacy automation has a defined sunset. Blocking enforcement ensures standards are applied consistently across all platforms.</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Classification enables risk visibility and controlled modernization without abruptly disrupting existing workflows. Blocking legacy automation after a defined grace period ensures standards are enforced consistently.</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ADR-009 — KPI and Metadata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ADR-009 | KPI and Metadata Reporting</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KPI collection and metadata reporting must be built into automation from the start — not added as an afterthought.</w:t>
      </w:r>
    </w:p>
    <w:p>
      <w:pPr>
        <w:pStyle w:val="ListParagraph"/>
        <w:numPr>
          <w:ilvl w:val="0"/>
          <w:numId w:val="2"/>
        </w:numPr>
        <w:spacing w:before="40" w:after="40"/>
      </w:pPr>
      <w:r>
        <w:rPr>
          <w:rFonts w:ascii="Arial" w:cs="Arial" w:eastAsia="Arial" w:hAnsi="Arial"/>
          <w:sz w:val="22"/>
          <w:szCs w:val="22"/>
        </w:rPr>
        <w:t xml:space="preserve">Required metrics: hours saved, success rate, number of runs, and backout usage.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All automation ships with instrumentation. Operational dashboards can reflect real-time ROI and risk signals. Metrics feed continuous improvement and executive reporting.</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Operational insight enables continuous improvement, capacity planning, and executive visibility into automation value and risk. Metrics demonstrate ROI, identify problematic automation early, and support data-driven decision making.</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ADR-010 — Modularity and Reusability (SOLID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ADR-010 | Modularity and Reusability</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Automation must be designed to be modular and reusable across teams and contexts.</w:t>
      </w:r>
    </w:p>
    <w:p>
      <w:pPr>
        <w:pStyle w:val="ListParagraph"/>
        <w:numPr>
          <w:ilvl w:val="0"/>
          <w:numId w:val="2"/>
        </w:numPr>
        <w:spacing w:before="40" w:after="40"/>
      </w:pPr>
      <w:r>
        <w:rPr>
          <w:rFonts w:ascii="Arial" w:cs="Arial" w:eastAsia="Arial" w:hAnsi="Arial"/>
          <w:sz w:val="22"/>
          <w:szCs w:val="22"/>
        </w:rPr>
        <w:t xml:space="preserve">SOLID design principles must be applied where applicable: Single Responsibility, Open/Closed, Liskov Substitution, Interface Segregation, and Dependency Inversion.</w:t>
      </w:r>
    </w:p>
    <w:p>
      <w:pPr>
        <w:pStyle w:val="ListParagraph"/>
        <w:numPr>
          <w:ilvl w:val="0"/>
          <w:numId w:val="2"/>
        </w:numPr>
        <w:spacing w:before="40" w:after="40"/>
      </w:pPr>
      <w:r>
        <w:rPr>
          <w:rFonts w:ascii="Arial" w:cs="Arial" w:eastAsia="Arial" w:hAnsi="Arial"/>
          <w:sz w:val="22"/>
          <w:szCs w:val="22"/>
        </w:rPr>
        <w:t xml:space="preserve">Automation made available to other teams must meet all core requirements before sharing.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Teams share reusable, compliant components rather than rebuilding common patterns. Modularity improves testability and accelerates delivery across the organization.</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Modularity reduces duplication, improves testability, and accelerates delivery. Reusable, compliant components raise the quality bar across the organization without requiring teams to rebuild common patterns from scratch.</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ADR-011 — Structured Logging and Error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ADR-011 | Structured Logging and Error Reporting</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pStyle w:val="ListParagraph"/>
        <w:numPr>
          <w:ilvl w:val="0"/>
          <w:numId w:val="2"/>
        </w:numPr>
        <w:spacing w:before="40" w:after="40"/>
      </w:pPr>
      <w:r>
        <w:rPr>
          <w:rFonts w:ascii="Arial" w:cs="Arial" w:eastAsia="Arial" w:hAnsi="Arial"/>
          <w:sz w:val="22"/>
          <w:szCs w:val="22"/>
        </w:rPr>
        <w:t xml:space="preserve">All automation must include structured logging throughout the entire execution lifecycle.</w:t>
      </w:r>
    </w:p>
    <w:p>
      <w:pPr>
        <w:pStyle w:val="ListParagraph"/>
        <w:numPr>
          <w:ilvl w:val="0"/>
          <w:numId w:val="2"/>
        </w:numPr>
        <w:spacing w:before="40" w:after="40"/>
      </w:pPr>
      <w:r>
        <w:rPr>
          <w:rFonts w:ascii="Arial" w:cs="Arial" w:eastAsia="Arial" w:hAnsi="Arial"/>
          <w:sz w:val="22"/>
          <w:szCs w:val="22"/>
        </w:rPr>
        <w:t xml:space="preserve">Log messages must be concise and clearly explain what occurred at each step.</w:t>
      </w:r>
    </w:p>
    <w:p>
      <w:pPr>
        <w:pStyle w:val="ListParagraph"/>
        <w:numPr>
          <w:ilvl w:val="0"/>
          <w:numId w:val="2"/>
        </w:numPr>
        <w:spacing w:before="40" w:after="40"/>
      </w:pPr>
      <w:r>
        <w:rPr>
          <w:rFonts w:ascii="Arial" w:cs="Arial" w:eastAsia="Arial" w:hAnsi="Arial"/>
          <w:sz w:val="22"/>
          <w:szCs w:val="22"/>
        </w:rPr>
        <w:t xml:space="preserve">Error and failure messages must explicitly state what went wrong and why.</w:t>
      </w:r>
    </w:p>
    <w:p>
      <w:pPr>
        <w:pStyle w:val="ListParagraph"/>
        <w:numPr>
          <w:ilvl w:val="0"/>
          <w:numId w:val="2"/>
        </w:numPr>
        <w:spacing w:before="40" w:after="40"/>
      </w:pPr>
      <w:r>
        <w:rPr>
          <w:rFonts w:ascii="Arial" w:cs="Arial" w:eastAsia="Arial" w:hAnsi="Arial"/>
          <w:sz w:val="22"/>
          <w:szCs w:val="22"/>
        </w:rPr>
        <w:t xml:space="preserve">Logs must be written for operators and support teams — not only developers.</w:t>
      </w:r>
    </w:p>
    <w:p>
      <w:pPr>
        <w:pStyle w:val="ListParagraph"/>
        <w:numPr>
          <w:ilvl w:val="0"/>
          <w:numId w:val="2"/>
        </w:numPr>
        <w:spacing w:before="40" w:after="40"/>
      </w:pPr>
      <w:r>
        <w:rPr>
          <w:rFonts w:ascii="Arial" w:cs="Arial" w:eastAsia="Arial" w:hAnsi="Arial"/>
          <w:sz w:val="22"/>
          <w:szCs w:val="22"/>
        </w:rPr>
        <w:t xml:space="preserve">When backout is triggered, logs must clearly indicate the failure reason and all recovery actions taken.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Incidents can be triaged without deep automation knowledge. MTTR is reduced. Post-mortems are supported by complete execution records. Backout events are fully auditable.</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During incidents and backout scenarios, clear logging is critical for rapid troubleshooting and root cause analysis. Concise, understandable logging reduces MTTR, enables better post-mortems, and helps teams learn from failures.</w:t>
            </w:r>
          </w:p>
        </w:tc>
      </w:tr>
    </w:tbl>
    <w:p>
      <w:pPr>
        <w:spacing w:before="200" w:after="0"/>
      </w:pPr>
      <w:r>
        <w:t xml:space="preserve"/>
      </w:r>
    </w:p>
    <w:p>
      <w:pPr>
        <w:pStyle w:val="Heading2"/>
        <w:spacing w:before="280" w:after="100"/>
      </w:pPr>
      <w:r>
        <w:rPr>
          <w:rFonts w:ascii="Arial" w:cs="Arial" w:eastAsia="Arial" w:hAnsi="Arial"/>
          <w:b/>
          <w:bCs/>
          <w:color w:val="2E75B6"/>
          <w:sz w:val="24"/>
          <w:szCs w:val="24"/>
        </w:rPr>
        <w:t xml:space="preserve">ADR-012 — Secret and Credential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ADR-012 | Secret and Credential Management</w:t>
            </w:r>
          </w:p>
        </w:tc>
        <w:tc>
          <w:tcPr>
            <w:tcW w:type="dxa" w:w="2360"/>
            <w:tcBorders>
              <w:top w:val="single" w:color="2E75B6" w:sz="1"/>
              <w:left w:val="single" w:color="2E75B6" w:sz="1"/>
              <w:bottom w:val="single" w:color="2E75B6" w:sz="1"/>
              <w:right w:val="single" w:color="2E75B6"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ACCEPTED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Decision</w:t>
            </w:r>
          </w:p>
        </w:tc>
      </w:tr>
    </w:tbl>
    <w:p>
      <w:pPr>
        <w:spacing w:before="80" w:after="80"/>
      </w:pPr>
      <w:r>
        <w:rPr>
          <w:rFonts w:ascii="Arial" w:cs="Arial" w:eastAsia="Arial" w:hAnsi="Arial"/>
          <w:sz w:val="22"/>
          <w:szCs w:val="22"/>
        </w:rPr>
        <w:t xml:space="preserve">All secrets, credentials, and sensitive configuration must be managed through approved systems: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Secrets must be stored only in approved secret management systems (e.g., CyberArk, Azure Key Vault).</w:t>
      </w:r>
    </w:p>
    <w:p>
      <w:pPr>
        <w:pStyle w:val="ListParagraph"/>
        <w:numPr>
          <w:ilvl w:val="0"/>
          <w:numId w:val="2"/>
        </w:numPr>
        <w:spacing w:before="40" w:after="40"/>
      </w:pPr>
      <w:r>
        <w:rPr>
          <w:rFonts w:ascii="Arial" w:cs="Arial" w:eastAsia="Arial" w:hAnsi="Arial"/>
          <w:sz w:val="22"/>
          <w:szCs w:val="22"/>
        </w:rPr>
        <w:t xml:space="preserve">No passwords, API keys, tokens, or certificates may appear in code, configuration files, or version control.</w:t>
      </w:r>
    </w:p>
    <w:p>
      <w:pPr>
        <w:pStyle w:val="ListParagraph"/>
        <w:numPr>
          <w:ilvl w:val="0"/>
          <w:numId w:val="2"/>
        </w:numPr>
        <w:spacing w:before="40" w:after="40"/>
      </w:pPr>
      <w:r>
        <w:rPr>
          <w:rFonts w:ascii="Arial" w:cs="Arial" w:eastAsia="Arial" w:hAnsi="Arial"/>
          <w:sz w:val="22"/>
          <w:szCs w:val="22"/>
        </w:rPr>
        <w:t xml:space="preserve">Automation must retrieve secrets dynamically at runtime using secure authentication methods.</w:t>
      </w:r>
    </w:p>
    <w:p>
      <w:pPr>
        <w:pStyle w:val="ListParagraph"/>
        <w:numPr>
          <w:ilvl w:val="0"/>
          <w:numId w:val="2"/>
        </w:numPr>
        <w:spacing w:before="40" w:after="40"/>
      </w:pPr>
      <w:r>
        <w:rPr>
          <w:rFonts w:ascii="Arial" w:cs="Arial" w:eastAsia="Arial" w:hAnsi="Arial"/>
          <w:sz w:val="22"/>
          <w:szCs w:val="22"/>
        </w:rPr>
        <w:t xml:space="preserve">Secrets must never appear in logs, console output, or error messages. All sensitive values must be masked or redacted.</w:t>
      </w:r>
    </w:p>
    <w:p>
      <w:pPr>
        <w:pStyle w:val="ListParagraph"/>
        <w:numPr>
          <w:ilvl w:val="0"/>
          <w:numId w:val="2"/>
        </w:numPr>
        <w:spacing w:before="40" w:after="40"/>
      </w:pPr>
      <w:r>
        <w:rPr>
          <w:rFonts w:ascii="Arial" w:cs="Arial" w:eastAsia="Arial" w:hAnsi="Arial"/>
          <w:sz w:val="22"/>
          <w:szCs w:val="22"/>
        </w:rPr>
        <w:t xml:space="preserve">Follow the principle of least privilege for all secret access.</w:t>
      </w:r>
    </w:p>
    <w:p>
      <w:pPr>
        <w:pStyle w:val="ListParagraph"/>
        <w:numPr>
          <w:ilvl w:val="0"/>
          <w:numId w:val="2"/>
        </w:numPr>
        <w:spacing w:before="40" w:after="40"/>
      </w:pPr>
      <w:r>
        <w:rPr>
          <w:rFonts w:ascii="Arial" w:cs="Arial" w:eastAsia="Arial" w:hAnsi="Arial"/>
          <w:sz w:val="22"/>
          <w:szCs w:val="22"/>
        </w:rPr>
        <w:t xml:space="preserve">Automation must handle secret expiration gracefully without failure.</w:t>
      </w:r>
    </w:p>
    <w:p>
      <w:pPr>
        <w:pStyle w:val="ListParagraph"/>
        <w:numPr>
          <w:ilvl w:val="0"/>
          <w:numId w:val="2"/>
        </w:numPr>
        <w:spacing w:before="40" w:after="40"/>
      </w:pPr>
      <w:r>
        <w:rPr>
          <w:rFonts w:ascii="Arial" w:cs="Arial" w:eastAsia="Arial" w:hAnsi="Arial"/>
          <w:sz w:val="22"/>
          <w:szCs w:val="22"/>
        </w:rPr>
        <w:t xml:space="preserve">Support secret rotation without requiring code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12"/>
              <w:bottom w:val="none"/>
              <w:right w:val="none"/>
            </w:tcBorders>
            <w:shd w:fill="F2F2F2" w:val="clear"/>
            <w:tcMar>
              <w:top w:type="dxa" w:w="80"/>
              <w:left w:type="dxa" w:w="160"/>
              <w:bottom w:type="dxa" w:w="80"/>
              <w:right w:type="dxa" w:w="160"/>
            </w:tcMar>
          </w:tcPr>
          <w:p>
            <w:r>
              <w:rPr>
                <w:rFonts w:ascii="Arial" w:cs="Arial" w:eastAsia="Arial" w:hAnsi="Arial"/>
                <w:b/>
                <w:bCs/>
                <w:caps/>
                <w:color w:val="2E75B6"/>
                <w:sz w:val="20"/>
                <w:szCs w:val="20"/>
              </w:rPr>
              <w:t xml:space="preserve">Consequences</w:t>
            </w:r>
          </w:p>
        </w:tc>
      </w:tr>
    </w:tbl>
    <w:p>
      <w:pPr>
        <w:spacing w:before="80" w:after="80"/>
      </w:pPr>
      <w:r>
        <w:rPr>
          <w:rFonts w:ascii="Arial" w:cs="Arial" w:eastAsia="Arial" w:hAnsi="Arial"/>
          <w:sz w:val="22"/>
          <w:szCs w:val="22"/>
        </w:rPr>
        <w:t xml:space="preserve">Hardcoded credentials are prohibited and will fail security scanning (ADR-005). Secret access is auditable. Rotation and expiration are handled automatically. Compliance violations are prevented.</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Hardcoded secrets represent a critical security vulnerability that can lead to unauthorized access, data breaches, and compliance violations. Approved secret management systems provide encryption, access controls, audit trails, and rotation capabilities that manual handling cannot match.</w:t>
            </w:r>
          </w:p>
        </w:tc>
      </w:tr>
    </w:tbl>
    <w:p>
      <w:pPr>
        <w:spacing w:before="280" w:after="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Backout Lifecycle Logging Reference (ADR-003 × ADR-011)</w:t>
      </w:r>
    </w:p>
    <w:p>
      <w:pPr>
        <w:spacing w:before="80" w:after="80"/>
      </w:pPr>
      <w:r>
        <w:rPr>
          <w:rFonts w:ascii="Arial" w:cs="Arial" w:eastAsia="Arial" w:hAnsi="Arial"/>
          <w:sz w:val="22"/>
          <w:szCs w:val="22"/>
        </w:rPr>
        <w:t xml:space="preserve">The following table defines logging requirements and accountability at each stage of the automation execution and backout lifecycle, as required by ADR-003 and ADR-011.</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Logging Requirement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Responsible Party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backout plan and test rollback procedure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backout plan validation and test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Team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 runs and makes changes to the target 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each step with clear success/failure indicators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change was successful and system is in expected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validation checks and results (pass/fail with details)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System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Backout Trigger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detected or validation failed — backout initiated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clear reason for backout: what failed and why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Backout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 system to its original pre-change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each rollback step with confirmation of restoration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System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Backout Validation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original state has been fully restored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verification that system returned to pre-change state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teams of failure and recovery 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incident summary with failure cause and recovery actions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System</w:t>
            </w:r>
          </w:p>
        </w:tc>
      </w:tr>
    </w:tbl>
    <w:p>
      <w:pPr>
        <w:spacing w:before="28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Implementation Roadmap</w:t>
      </w:r>
    </w:p>
    <w:p>
      <w:pPr>
        <w:spacing w:before="80" w:after="80"/>
      </w:pPr>
      <w:r>
        <w:rPr>
          <w:rFonts w:ascii="Arial" w:cs="Arial" w:eastAsia="Arial" w:hAnsi="Arial"/>
          <w:sz w:val="22"/>
          <w:szCs w:val="22"/>
        </w:rPr>
        <w:t xml:space="preserve">The framework will be rolled out in three structured phases designed to minimize disruption while establishing full enforcement within six months of adoption.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Objectives</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Arial" w:cs="Arial" w:eastAsia="Arial" w:hAnsi="Arial"/>
                <w:b/>
                <w:bCs/>
                <w:color w:val="2E75B6"/>
                <w:sz w:val="20"/>
                <w:szCs w:val="20"/>
              </w:rPr>
              <w:t xml:space="preserve">Phase 1: Adoption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Month 1–2</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Publish standards documentation</w:t>
            </w:r>
          </w:p>
          <w:p>
            <w:r>
              <w:rPr>
                <w:rFonts w:ascii="Arial" w:cs="Arial" w:eastAsia="Arial" w:hAnsi="Arial"/>
                <w:sz w:val="20"/>
                <w:szCs w:val="20"/>
              </w:rPr>
              <w:t xml:space="preserve">Provide reference templates and examples</w:t>
            </w:r>
          </w:p>
          <w:p>
            <w:r>
              <w:rPr>
                <w:rFonts w:ascii="Arial" w:cs="Arial" w:eastAsia="Arial" w:hAnsi="Arial"/>
                <w:sz w:val="20"/>
                <w:szCs w:val="20"/>
              </w:rPr>
              <w:t xml:space="preserve">Conduct team training</w:t>
            </w:r>
          </w:p>
          <w:p>
            <w:r>
              <w:rPr>
                <w:rFonts w:ascii="Arial" w:cs="Arial" w:eastAsia="Arial" w:hAnsi="Arial"/>
                <w:sz w:val="20"/>
                <w:szCs w:val="20"/>
              </w:rPr>
              <w:t xml:space="preserve">Apply standards to all new automation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All new automation meets standards; training completed</w:t>
            </w:r>
          </w:p>
        </w:tc>
      </w:tr>
      <w:tr>
        <w:tc>
          <w:tcPr>
            <w:tcW w:type="dxa" w:w="180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r>
              <w:rPr>
                <w:rFonts w:ascii="Arial" w:cs="Arial" w:eastAsia="Arial" w:hAnsi="Arial"/>
                <w:b/>
                <w:bCs/>
                <w:color w:val="C55A11"/>
                <w:sz w:val="20"/>
                <w:szCs w:val="20"/>
              </w:rPr>
              <w:t xml:space="preserve">Phase 2: Remediation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Month 3–6</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Identify all non-compliant automation</w:t>
            </w:r>
          </w:p>
          <w:p>
            <w:r>
              <w:rPr>
                <w:rFonts w:ascii="Arial" w:cs="Arial" w:eastAsia="Arial" w:hAnsi="Arial"/>
                <w:sz w:val="20"/>
                <w:szCs w:val="20"/>
              </w:rPr>
              <w:t xml:space="preserve">Issue 90–120 day grace period</w:t>
            </w:r>
          </w:p>
          <w:p>
            <w:r>
              <w:rPr>
                <w:rFonts w:ascii="Arial" w:cs="Arial" w:eastAsia="Arial" w:hAnsi="Arial"/>
                <w:sz w:val="20"/>
                <w:szCs w:val="20"/>
              </w:rPr>
              <w:t xml:space="preserve">Provide remediation support to teams</w:t>
            </w:r>
          </w:p>
          <w:p>
            <w:r>
              <w:rPr>
                <w:rFonts w:ascii="Arial" w:cs="Arial" w:eastAsia="Arial" w:hAnsi="Arial"/>
                <w:sz w:val="20"/>
                <w:szCs w:val="20"/>
              </w:rPr>
              <w:t xml:space="preserve">Track and report progress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Legacy catalog complete; remediation &gt;75% complete</w:t>
            </w:r>
          </w:p>
        </w:tc>
      </w:tr>
      <w:tr>
        <w:tc>
          <w:tcPr>
            <w:tcW w:type="dxa" w:w="18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color w:val="375623"/>
                <w:sz w:val="20"/>
                <w:szCs w:val="20"/>
              </w:rPr>
              <w:t xml:space="preserve">Phase 3: Enforcement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Month 7+</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Block non-compliant automation from execution</w:t>
            </w:r>
          </w:p>
          <w:p>
            <w:r>
              <w:rPr>
                <w:rFonts w:ascii="Arial" w:cs="Arial" w:eastAsia="Arial" w:hAnsi="Arial"/>
                <w:sz w:val="20"/>
                <w:szCs w:val="20"/>
              </w:rPr>
              <w:t xml:space="preserve">Full approval gate enforcement</w:t>
            </w:r>
          </w:p>
          <w:p>
            <w:r>
              <w:rPr>
                <w:rFonts w:ascii="Arial" w:cs="Arial" w:eastAsia="Arial" w:hAnsi="Arial"/>
                <w:sz w:val="20"/>
                <w:szCs w:val="20"/>
              </w:rPr>
              <w:t xml:space="preserve">Ongoing compliance monitoring and reporting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100% of automation compliant; zero unapproved deployments</w:t>
            </w:r>
          </w:p>
        </w:tc>
      </w:tr>
    </w:tbl>
    <w:p>
      <w:pPr>
        <w:spacing w:before="28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Risk Mitigation Matrix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Without Standards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Standards Address It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Related ADR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changes impact production systems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backout limits blast radius and enables rapid recovery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way to recover quickly from failures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Single-button rollback enables fast, consistent recovery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ADR-003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Untested automation causes outages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requirement catches issues prior to production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ADR-002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processes cannot scale to enterprise demand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automation enables repeatable, enterprise-wide deployment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Inconsistent approaches across teams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Standardization creates predictability and shared quality bars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ADRs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Silent failures go undetected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Post-validation catches unsuccessful changes before they persist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ADR-003 / ADR-011</w:t>
            </w:r>
          </w:p>
        </w:tc>
      </w:tr>
    </w:tbl>
    <w:p>
      <w:pPr>
        <w:spacing w:before="28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Approval Request</w:t>
      </w:r>
    </w:p>
    <w:p>
      <w:pPr>
        <w:spacing w:before="80" w:after="80"/>
      </w:pPr>
      <w:r>
        <w:rPr>
          <w:rFonts w:ascii="Arial" w:cs="Arial" w:eastAsia="Arial" w:hAnsi="Arial"/>
          <w:sz w:val="22"/>
          <w:szCs w:val="22"/>
        </w:rPr>
        <w:t xml:space="preserve">Leadership approval is requested for the following actions: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60"/>
              <w:left w:type="dxa" w:w="200"/>
              <w:bottom w:type="dxa" w:w="160"/>
              <w:right w:type="dxa" w:w="200"/>
            </w:tcMar>
          </w:tcPr>
          <w:p>
            <w:pPr>
              <w:spacing w:before="60" w:after="60"/>
            </w:pPr>
            <w:r>
              <w:rPr>
                <w:rFonts w:ascii="Arial" w:cs="Arial" w:eastAsia="Arial" w:hAnsi="Arial"/>
                <w:sz w:val="22"/>
                <w:szCs w:val="22"/>
              </w:rPr>
              <w:t xml:space="preserve">1.  Adopt ADR-001, ADR-002, and ADR-003 as mandatory organizational standards</w:t>
            </w:r>
          </w:p>
          <w:p>
            <w:pPr>
              <w:spacing w:before="60" w:after="60"/>
            </w:pPr>
            <w:r>
              <w:rPr>
                <w:rFonts w:ascii="Arial" w:cs="Arial" w:eastAsia="Arial" w:hAnsi="Arial"/>
                <w:sz w:val="22"/>
                <w:szCs w:val="22"/>
              </w:rPr>
              <w:t xml:space="preserve">2.  Establish and operationalize the Production Approval Gate for all automation</w:t>
            </w:r>
          </w:p>
          <w:p>
            <w:pPr>
              <w:spacing w:before="60" w:after="60"/>
            </w:pPr>
            <w:r>
              <w:rPr>
                <w:rFonts w:ascii="Arial" w:cs="Arial" w:eastAsia="Arial" w:hAnsi="Arial"/>
                <w:sz w:val="22"/>
                <w:szCs w:val="22"/>
              </w:rPr>
              <w:t xml:space="preserve">3.  Begin phased implementation with a defined grace period for legacy automation</w:t>
            </w:r>
          </w:p>
          <w:p>
            <w:pPr>
              <w:spacing w:before="60" w:after="60"/>
            </w:pPr>
            <w:r>
              <w:rPr>
                <w:rFonts w:ascii="Arial" w:cs="Arial" w:eastAsia="Arial" w:hAnsi="Arial"/>
                <w:sz w:val="22"/>
                <w:szCs w:val="22"/>
              </w:rPr>
              <w:t xml:space="preserve">4.  Enforce standards after the grace period expires, including blocking of non-compliant automation</w:t>
            </w:r>
          </w:p>
        </w:tc>
      </w:tr>
    </w:tbl>
    <w:p>
      <w:pPr>
        <w:spacing w:before="20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Leadership Decisions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Grace Period Duration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90–120 days for legacy automation remediation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Provides sufficient time for remediation without delaying enforcement indefinitely. Creates urgency while remaining realistic about team capacity.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Approval Authority</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20"/>
                <w:szCs w:val="20"/>
              </w:rPr>
              <w:t xml:space="preserve">Automation Standards Board or designated team leaders</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20"/>
                <w:szCs w:val="20"/>
              </w:rPr>
              <w:t xml:space="preserve">Centralized authority ensures consistent interpretation and prevents self-certification of non-compliant automation.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Exceptions Process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Emergency-only with a time-bound remediation plan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Allows flexibility for genuine business emergencies while preventing exceptions from becoming the norm.</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Enforcement Start</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20"/>
                <w:szCs w:val="20"/>
              </w:rPr>
              <w:t xml:space="preserve">Immediately for new automation; grace period for legacy</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20"/>
                <w:szCs w:val="20"/>
              </w:rPr>
              <w:t xml:space="preserve">Prevents new technical debt from accumulating while providing a fair timeline for addressing existing automation.</w:t>
            </w:r>
          </w:p>
        </w:tc>
      </w:tr>
    </w:tbl>
    <w:p>
      <w:pPr>
        <w:spacing w:before="280" w:after="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Appendix A: Automation Execution and Backout Workflow (ADR-003)</w:t>
      </w:r>
    </w:p>
    <w:p>
      <w:pPr>
        <w:spacing w:before="80" w:after="80"/>
      </w:pPr>
      <w:r>
        <w:rPr>
          <w:rFonts w:ascii="Arial" w:cs="Arial" w:eastAsia="Arial" w:hAnsi="Arial"/>
          <w:sz w:val="22"/>
          <w:szCs w:val="22"/>
        </w:rPr>
        <w:t xml:space="preserve">The following describes the required execution flow for all state-changing automation, including mandatory post-validation and automatic backout decision points.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200"/>
              <w:bottom w:type="dxa" w:w="120"/>
              <w:right w:type="dxa" w:w="200"/>
            </w:tcMar>
          </w:tcPr>
          <w:p>
            <w:r>
              <w:rPr>
                <w:rFonts w:ascii="Arial" w:cs="Arial" w:eastAsia="Arial" w:hAnsi="Arial"/>
                <w:b/>
                <w:bCs/>
                <w:color w:val="1F3864"/>
                <w:sz w:val="22"/>
                <w:szCs w:val="22"/>
              </w:rPr>
              <w:t xml:space="preserve">STEP 1 | EXECUTE CHANGE</w:t>
            </w:r>
          </w:p>
          <w:p>
            <w:pPr>
              <w:spacing w:before="60"/>
            </w:pPr>
            <w:r>
              <w:rPr>
                <w:rFonts w:ascii="Arial" w:cs="Arial" w:eastAsia="Arial" w:hAnsi="Arial"/>
                <w:sz w:val="20"/>
                <w:szCs w:val="20"/>
              </w:rPr>
              <w:t xml:space="preserve">Automation performs the intended system change</w:t>
            </w:r>
          </w:p>
        </w:tc>
      </w:tr>
      <w:tr>
        <w:tc>
          <w:tcPr>
            <w:tcW w:type="dxa" w:w="9360"/>
            <w:tcBorders>
              <w:top w:val="single" w:color="2E75B6" w:sz="1"/>
              <w:left w:val="single" w:color="2E75B6" w:sz="1"/>
              <w:bottom w:val="single" w:color="2E75B6" w:sz="1"/>
              <w:right w:val="single" w:color="2E75B6" w:sz="1"/>
            </w:tcBorders>
            <w:shd w:fill="EBF3FB" w:val="clear"/>
            <w:tcMar>
              <w:top w:type="dxa" w:w="120"/>
              <w:left w:type="dxa" w:w="200"/>
              <w:bottom w:type="dxa" w:w="120"/>
              <w:right w:type="dxa" w:w="200"/>
            </w:tcMar>
          </w:tcPr>
          <w:p>
            <w:r>
              <w:rPr>
                <w:rFonts w:ascii="Arial" w:cs="Arial" w:eastAsia="Arial" w:hAnsi="Arial"/>
                <w:b/>
                <w:bCs/>
                <w:color w:val="1F3864"/>
                <w:sz w:val="22"/>
                <w:szCs w:val="22"/>
              </w:rPr>
              <w:t xml:space="preserve">STEP 2 | POST-VALIDATION CHECK</w:t>
            </w:r>
          </w:p>
          <w:p>
            <w:pPr>
              <w:spacing w:before="60"/>
            </w:pPr>
            <w:r>
              <w:rPr>
                <w:rFonts w:ascii="Arial" w:cs="Arial" w:eastAsia="Arial" w:hAnsi="Arial"/>
                <w:sz w:val="20"/>
                <w:szCs w:val="20"/>
              </w:rPr>
              <w:t xml:space="preserve">Did the change achieve the intended outcome?</w:t>
            </w:r>
          </w:p>
        </w:tc>
      </w:tr>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5623" w:sz="1"/>
                    <w:left w:val="single" w:color="375623" w:sz="1"/>
                    <w:bottom w:val="single" w:color="375623" w:sz="1"/>
                    <w:right w:val="single" w:color="375623" w:sz="1"/>
                  </w:tcBorders>
                  <w:shd w:fill="E2EFDA" w:val="clear"/>
                  <w:tcMar>
                    <w:top w:type="dxa" w:w="160"/>
                    <w:left w:type="dxa" w:w="200"/>
                    <w:bottom w:type="dxa" w:w="160"/>
                    <w:right w:type="dxa" w:w="200"/>
                  </w:tcMar>
                </w:tcPr>
                <w:p>
                  <w:r>
                    <w:rPr>
                      <w:rFonts w:ascii="Arial" w:cs="Arial" w:eastAsia="Arial" w:hAnsi="Arial"/>
                      <w:b/>
                      <w:bCs/>
                      <w:color w:val="375623"/>
                      <w:sz w:val="22"/>
                      <w:szCs w:val="22"/>
                    </w:rPr>
                    <w:t xml:space="preserve">✅  SUCCESS</w:t>
                  </w:r>
                </w:p>
                <w:p>
                  <w:pPr>
                    <w:spacing w:before="80"/>
                  </w:pPr>
                  <w:r>
                    <w:rPr>
                      <w:rFonts w:ascii="Arial" w:cs="Arial" w:eastAsia="Arial" w:hAnsi="Arial"/>
                      <w:sz w:val="20"/>
                      <w:szCs w:val="20"/>
                    </w:rPr>
                    <w:t xml:space="preserve">Close Change Record</w:t>
                  </w:r>
                </w:p>
                <w:p>
                  <w:r>
                    <w:rPr>
                      <w:rFonts w:ascii="Arial" w:cs="Arial" w:eastAsia="Arial" w:hAnsi="Arial"/>
                      <w:sz w:val="20"/>
                      <w:szCs w:val="20"/>
                    </w:rPr>
                    <w:t xml:space="preserve">Log Success &amp; Update Metrics</w:t>
                  </w:r>
                </w:p>
              </w:tc>
              <w:tc>
                <w:tcPr>
                  <w:tcW w:type="dxa" w:w="4680"/>
                  <w:tcBorders>
                    <w:top w:val="single" w:color="C55A11" w:sz="1"/>
                    <w:left w:val="single" w:color="C55A11" w:sz="1"/>
                    <w:bottom w:val="single" w:color="C55A11" w:sz="1"/>
                    <w:right w:val="single" w:color="C55A11" w:sz="1"/>
                  </w:tcBorders>
                  <w:shd w:fill="FCE4D6" w:val="clear"/>
                  <w:tcMar>
                    <w:top w:type="dxa" w:w="160"/>
                    <w:left w:type="dxa" w:w="200"/>
                    <w:bottom w:type="dxa" w:w="160"/>
                    <w:right w:type="dxa" w:w="200"/>
                  </w:tcMar>
                </w:tcPr>
                <w:p>
                  <w:r>
                    <w:rPr>
                      <w:rFonts w:ascii="Arial" w:cs="Arial" w:eastAsia="Arial" w:hAnsi="Arial"/>
                      <w:b/>
                      <w:bCs/>
                      <w:color w:val="C55A11"/>
                      <w:sz w:val="22"/>
                      <w:szCs w:val="22"/>
                    </w:rPr>
                    <w:t xml:space="preserve">❌  FAILED / ERROR</w:t>
                  </w:r>
                </w:p>
                <w:p>
                  <w:pPr>
                    <w:spacing w:before="80"/>
                  </w:pPr>
                  <w:r>
                    <w:rPr>
                      <w:rFonts w:ascii="Arial" w:cs="Arial" w:eastAsia="Arial" w:hAnsi="Arial"/>
                      <w:sz w:val="20"/>
                      <w:szCs w:val="20"/>
                    </w:rPr>
                    <w:t xml:space="preserve">Trigger Automatic Backout</w:t>
                  </w:r>
                </w:p>
                <w:p>
                  <w:r>
                    <w:rPr>
                      <w:rFonts w:ascii="Arial" w:cs="Arial" w:eastAsia="Arial" w:hAnsi="Arial"/>
                      <w:sz w:val="20"/>
                      <w:szCs w:val="20"/>
                    </w:rPr>
                    <w:t xml:space="preserve">Restore State &amp; Alert Teams</w:t>
                  </w:r>
                </w:p>
              </w:tc>
            </w:tr>
          </w:tbl>
          <w:p/>
        </w:tc>
      </w:tr>
    </w:tbl>
    <w:p>
      <w:pPr>
        <w:spacing w:before="28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Appendix B: ADR Index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600"/>
        <w:gridCol w:w="220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ADR-001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Automation-First Approach</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Requirement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ADR-002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Tested and Approved Before Production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ADR-003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Backout with Post-Validation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Requirement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ADR-004</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Hardcoding of Values or Configuration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ADR-005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Linting and Git Hooks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ADR-006</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ADR-007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Branch Execution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ADR-008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 Classification and Legacy Handling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ADR-009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and Metadata Reporting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ADR-010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Modularity and Reusability (SOLID Principles)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ADR-011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Logging and Error Reporting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Standard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ADR-012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and Credential Management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75623"/>
                <w:sz w:val="20"/>
                <w:szCs w:val="20"/>
              </w:rPr>
              <w:t xml:space="preserve">Accepted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Supporting Standard</w:t>
            </w:r>
          </w:p>
        </w:tc>
      </w:tr>
    </w:tbl>
    <w:p>
      <w:pPr>
        <w:spacing w:before="280" w:after="0"/>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Appendix C: Contact and Feedback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Automation Services Team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ASE@metlife.com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Standards feedback, exception requests, and implementation support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Rationale</w:t>
            </w:r>
          </w:p>
          <w:p>
            <w:pPr>
              <w:spacing w:before="60"/>
            </w:pPr>
            <w:r>
              <w:rPr>
                <w:rFonts w:ascii="Arial" w:cs="Arial" w:eastAsia="Arial" w:hAnsi="Arial"/>
                <w:i/>
                <w:iCs/>
                <w:sz w:val="20"/>
                <w:szCs w:val="20"/>
              </w:rPr>
              <w:t xml:space="preserve">Open communication channels ensure standards remain practical and address real operational challenges. Feedback loops enable continuous improvement of the framework itself.</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2026-02-19T04:46:54.988Z</dcterms:created>
  <dcterms:modified xsi:type="dcterms:W3CDTF">2026-02-19T04:46:54.989Z</dcterms:modified>
</cp:coreProperties>
</file>

<file path=docProps/custom.xml><?xml version="1.0" encoding="utf-8"?>
<Properties xmlns="http://schemas.openxmlformats.org/officeDocument/2006/custom-properties" xmlns:vt="http://schemas.openxmlformats.org/officeDocument/2006/docPropsVTypes"/>
</file>