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imes New Roman" w:hAnsi="Times New Roman" w:eastAsia="Noto Serif CJK SC"/>
          <w:b/>
          <w:color w:val="143D4A"/>
          <w:sz w:val="44"/>
        </w:rPr>
        <w:t>身体活动13病种综合政策成本效果研究</w:t>
      </w:r>
    </w:p>
    <w:p>
      <w:pPr>
        <w:spacing w:before="120"/>
        <w:jc w:val="center"/>
      </w:pPr>
      <w:r>
        <w:rPr>
          <w:rFonts w:ascii="Times New Roman" w:hAnsi="Times New Roman" w:eastAsia="Noto Serif CJK SC"/>
          <w:b/>
          <w:color w:val="0F5B6B"/>
          <w:sz w:val="50"/>
        </w:rPr>
        <w:t>Lancet 与 RAND 对标阶段工作交接书</w:t>
      </w:r>
    </w:p>
    <w:p>
      <w:pPr>
        <w:spacing w:before="120"/>
        <w:jc w:val="center"/>
      </w:pPr>
      <w:r>
        <w:rPr>
          <w:rFonts w:ascii="Arial" w:hAnsi="Arial" w:eastAsia="Noto Sans CJK SC"/>
          <w:b w:val="0"/>
          <w:color w:val="4B6670"/>
          <w:sz w:val="23"/>
        </w:rPr>
        <w:t>研究状态重建｜差距诊断｜分阶段实施路线｜新对话完整提示词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0F5B6B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交接版本</w:t>
            </w:r>
          </w:p>
        </w:tc>
        <w:tc>
          <w:tcPr>
            <w:tcW w:type="dxa" w:w="708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v1.0｜2026年8月3日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0F5B6B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当前阶段</w:t>
            </w:r>
          </w:p>
        </w:tc>
        <w:tc>
          <w:tcPr>
            <w:tcW w:type="dxa" w:w="708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8FAFA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D1—D10确定性分析与正式10,000次PSA已完成，进入外部标杆对标与扩展分析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0F5B6B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对标对象</w:t>
            </w:r>
          </w:p>
        </w:tc>
        <w:tc>
          <w:tcPr>
            <w:tcW w:type="dxa" w:w="708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Lancet Global Health 2023“身体活动不足不作为成本”研究；RAND Europe 2019宏观经济报告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0F5B6B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核心判断</w:t>
            </w:r>
          </w:p>
        </w:tc>
        <w:tc>
          <w:tcPr>
            <w:tcW w:type="dxa" w:w="708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8FAFA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现有健康效果与CEA主模型已较完整；主要缺口集中在对标接口、完整13病种医疗费用边界和宏观生产率卫星模块</w:t>
            </w:r>
          </w:p>
        </w:tc>
      </w:tr>
    </w:tbl>
    <w:p/>
    <w:p>
      <w:pPr>
        <w:jc w:val="center"/>
      </w:pPr>
      <w:r>
        <w:rPr>
          <w:rFonts w:ascii="Arial" w:hAnsi="Arial" w:eastAsia="Noto Sans CJK SC"/>
          <w:b w:val="0"/>
          <w:color w:val="6B7280"/>
          <w:sz w:val="19"/>
        </w:rPr>
        <w:t>用途：将本文件与指定最小资料包上传至新对话，即可从当前封库状态继续工作。</w:t>
      </w:r>
    </w:p>
    <w:p>
      <w:pPr>
        <w:spacing w:before="560"/>
        <w:jc w:val="center"/>
      </w:pPr>
      <w:r>
        <w:rPr>
          <w:rFonts w:ascii="Arial" w:hAnsi="Arial" w:eastAsia="Noto Sans CJK SC"/>
          <w:b w:val="0"/>
          <w:color w:val="6B7280"/>
          <w:sz w:val="17"/>
        </w:rPr>
        <w:t>说明：本交接书不是原对话的逐字导出，而是依据项目内可调用的对话上下文、版本审计文件、结果稿和两份标杆报告重建的可执行研究状态。</w:t>
      </w:r>
    </w:p>
    <w:p>
      <w:r>
        <w:br w:type="page"/>
      </w:r>
    </w:p>
    <w:p>
      <w:pPr>
        <w:pStyle w:val="Heading1"/>
        <w:keepNext/>
      </w:pPr>
      <w:r>
        <w:t>一、交接结论与下一阶段定位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7F2F3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0B5563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0B5563"/>
                <w:sz w:val="21"/>
              </w:rPr>
              <w:t>一句话结论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20"/>
              </w:rPr>
              <w:t>目前的13病种模型并不缺少常规卫生经济学分析：确定性结果、成本效果前沿、10,000次PSA、CEAC、CEAF、EVPI、结构敏感性、疾病—年龄—性别贡献及探索性驱动分析均已形成。与Lancet和RAND相比，真正尚未补齐的是三类“接口型”工作：①按Lancet口径建立中国2020—2030年不作为负担及完整直接医疗费用对标；②把部分医疗费用桥接升级为13病种完整、病种特异、口径可审计的医疗费用和公共支付方边界；③按RAND逻辑建立死亡、缺勤和带病出勤三通道的劳动生产率—人力资本卫星模块。</w:t>
            </w:r>
          </w:p>
        </w:tc>
      </w:tr>
    </w:tbl>
    <w:p>
      <w:pPr>
        <w:spacing w:after="0"/>
      </w:pP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因此，下一阶段不应重新搭建健康效果模型，也不应重新运行既有10,000次PSA。应先建立“主模型冻结 + 两套外部对标模块”的结构：Lancet模块负责可比的疾病新发与卫生系统成本，RAND模块负责生产率和宏观经济代理结果。二者均作为卫星分析，不改变已经封库的5年、10年成本效果主结论。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5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研究板块</w:t>
            </w:r>
          </w:p>
        </w:tc>
        <w:tc>
          <w:tcPr>
            <w:tcW w:type="dxa" w:w="2098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572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与标杆的关系</w:t>
            </w:r>
          </w:p>
        </w:tc>
        <w:tc>
          <w:tcPr>
            <w:tcW w:type="dxa" w:w="175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下一步判定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13病种健康效果与CEA</w:t>
            </w:r>
          </w:p>
        </w:tc>
        <w:tc>
          <w:tcPr>
            <w:tcW w:type="dxa" w:w="209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已完成并通过正式PSA审核</w:t>
            </w:r>
          </w:p>
        </w:tc>
        <w:tc>
          <w:tcPr>
            <w:tcW w:type="dxa" w:w="357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综合性强于Lancet的单纯不作为成本研究；具备Lancet明确提出的净成本分析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冻结，不重跑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直接医疗费用与公共支付方</w:t>
            </w:r>
          </w:p>
        </w:tc>
        <w:tc>
          <w:tcPr>
            <w:tcW w:type="dxa" w:w="209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部分完成</w:t>
            </w:r>
          </w:p>
        </w:tc>
        <w:tc>
          <w:tcPr>
            <w:tcW w:type="dxa" w:w="357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弱于Lancet的完整病种—费用对接；当前仅能作桥接或下限分析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最高优先级补齐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长期至2050年</w:t>
            </w:r>
          </w:p>
        </w:tc>
        <w:tc>
          <w:tcPr>
            <w:tcW w:type="dxa" w:w="209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已完成结构敏感性</w:t>
            </w:r>
          </w:p>
        </w:tc>
        <w:tc>
          <w:tcPr>
            <w:tcW w:type="dxa" w:w="357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时间范围可与RAND衔接，但尚非完整宏观经济分析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保留结构敏感性标签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生产率与宏观经济</w:t>
            </w:r>
          </w:p>
        </w:tc>
        <w:tc>
          <w:tcPr>
            <w:tcW w:type="dxa" w:w="209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尚未正式建模</w:t>
            </w:r>
          </w:p>
        </w:tc>
        <w:tc>
          <w:tcPr>
            <w:tcW w:type="dxa" w:w="357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弱于RAND的死亡—缺勤—带病出勤—GDP链条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建立卫星模块，不冒充CGE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不确定性与决策价值</w:t>
            </w:r>
          </w:p>
        </w:tc>
        <w:tc>
          <w:tcPr>
            <w:tcW w:type="dxa" w:w="209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正式10,000次PSA已完成</w:t>
            </w:r>
          </w:p>
        </w:tc>
        <w:tc>
          <w:tcPr>
            <w:tcW w:type="dxa" w:w="357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显著强于Lancet仅成本单因素敏感性；与RAND用途不同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沿用现有结果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二、交接范围与版本优先级</w:t>
      </w:r>
    </w:p>
    <w:p>
      <w:pPr>
        <w:pStyle w:val="Heading2"/>
        <w:keepNext/>
      </w:pPr>
      <w:r>
        <w:t>2.1 本交接书覆盖的工作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本文件将“13项疾病的综合分析1”及相关分支中已经确定的研究边界、完成状态、核心结果、版本治理规则和下一步对标路线整合为一套可执行说明。其目标不是重新论证整个项目，而是让新对话能够直接回答两个问题：现有结果与Lancet、RAND分别可比到什么程度；为了形成可信的国际标杆对照，还需要补做哪些分析。</w:t>
      </w:r>
    </w:p>
    <w:p>
      <w:pPr>
        <w:pStyle w:val="Heading2"/>
        <w:keepNext/>
      </w:pPr>
      <w:r>
        <w:t>2.2 文件与数值优先级</w:t>
      </w:r>
    </w:p>
    <w:p>
      <w:pPr>
        <w:pStyle w:val="ListNumber"/>
        <w:spacing w:after="50"/>
        <w:ind w:left="425" w:hanging="198"/>
      </w:pPr>
      <w:r>
        <w:rPr>
          <w:rFonts w:ascii="Arial" w:hAnsi="Arial" w:eastAsia="Noto Sans CJK SC"/>
          <w:b w:val="0"/>
          <w:sz w:val="20"/>
        </w:rPr>
        <w:t>第一优先：ALLdis_13病种D1_D10及正式PSA结果部分完整展示稿_v1.5.docx。它是当前结果叙述和数值引用的主文件。</w:t>
      </w:r>
    </w:p>
    <w:p>
      <w:pPr>
        <w:pStyle w:val="ListNumber"/>
        <w:spacing w:after="50"/>
        <w:ind w:left="425" w:hanging="198"/>
      </w:pPr>
      <w:r>
        <w:rPr>
          <w:rFonts w:ascii="Arial" w:hAnsi="Arial" w:eastAsia="Noto Sans CJK SC"/>
          <w:b w:val="0"/>
          <w:sz w:val="20"/>
        </w:rPr>
        <w:t>第二优先：ALLdis_正式10000次PSA结果汇总_v1.4.xlsx及其分析报告。用于核对逐策略概率结果、区间、CEAF、EVPI和质量控制。</w:t>
      </w:r>
    </w:p>
    <w:p>
      <w:pPr>
        <w:pStyle w:val="ListNumber"/>
        <w:spacing w:after="50"/>
        <w:ind w:left="425" w:hanging="198"/>
      </w:pPr>
      <w:r>
        <w:rPr>
          <w:rFonts w:ascii="Arial" w:hAnsi="Arial" w:eastAsia="Noto Sans CJK SC"/>
          <w:b w:val="0"/>
          <w:sz w:val="20"/>
        </w:rPr>
        <w:t>第三优先：ALLdis_CVDv16与政策成本迁移审计_v1.1.xlsx、ALLdis_迁移审计与方法路径封定_v1.0.xlsx及父数据库D1—D10结果。用于解释父模型、成本父版本和边界标签。</w:t>
      </w:r>
    </w:p>
    <w:p>
      <w:pPr>
        <w:pStyle w:val="ListNumber"/>
        <w:spacing w:after="50"/>
        <w:ind w:left="425" w:hanging="198"/>
      </w:pPr>
      <w:r>
        <w:rPr>
          <w:rFonts w:ascii="Arial" w:hAnsi="Arial" w:eastAsia="Noto Sans CJK SC"/>
          <w:b w:val="0"/>
          <w:sz w:val="20"/>
        </w:rPr>
        <w:t>旧稿、旧结果或早期烟雾测试仅作方法追溯。当旧文件与v1.5/v1.4冲突时，不得折中取值，必须以前两类封库文件为准。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9A5B0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9A5B00"/>
                <w:sz w:val="21"/>
              </w:rPr>
              <w:t>重要的版本治理规则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20"/>
              </w:rPr>
              <w:t>正式PSA已经完成：20批×500次，共10,000个全局唯一draw和240,000条成本效果记录；原运行QC 20/20、独立复算35/35均通过。除非新增对标模块引入了全新的输出和参数分布，否则不得以“完善分析”为由重跑原主模型PSA。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三、当前已封定的模型边界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3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195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封定内容</w:t>
            </w:r>
          </w:p>
        </w:tc>
        <w:tc>
          <w:tcPr>
            <w:tcW w:type="dxa" w:w="3402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新对话中的处理规则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研究人群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中国20岁及以上成年人；按性别及5岁年龄组分层，70岁及以上合并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主模型不改；Lancet对标另做18岁及以上/20岁及以上桥接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身体活动暴露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低活动&lt;600 MET-min/week；主模型使用低/中/高三档PA结构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不把Lancet二分类PAF直接替代主模型PIF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疾病范围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IHD、卒中3亚型、T2D、高血压、抑郁症、痴呆及7类癌症；结果中卒中可汇总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对标时制作疾病定义映射表，避免CHD/IHD及子宫癌代理混淆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分析框架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年度PAF/PIF比较风险评估；非Markov；动态基线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保持不变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政策情景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S0动态基线；S1—S6可计价政策；S7为目标阈值参照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S7无成本，不进入前沿、CEAC或CEAF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评价期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2025—2029和2025—2034为正式主分析；2025—2050为D9长期结构敏感性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不得把26年结果写成正式主分析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贴现与价格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成本与健康均3%贴现；2025年人民币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国际对标需另行转换为2020美元和2020国际元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主成本视角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仅计政策实施成本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部分支付方桥接单列，不得冒充完整医保结果</w:t>
            </w:r>
          </w:p>
        </w:tc>
      </w:tr>
      <w:tr>
        <w:trPr>
          <w:cantSplit/>
        </w:trPr>
        <w:tc>
          <w:tcPr>
            <w:tcW w:type="dxa" w:w="153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不确定性</w:t>
            </w:r>
          </w:p>
        </w:tc>
        <w:tc>
          <w:tcPr>
            <w:tcW w:type="dxa" w:w="4195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10,000次联合PSA；95%不确定区间；ICER使用均值之比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不得称为置信区间；不解释跨零的draw级ICER区间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四、已经完成的分析与可引用核心结果</w:t>
      </w:r>
    </w:p>
    <w:p>
      <w:pPr>
        <w:pStyle w:val="Heading2"/>
        <w:keepNext/>
      </w:pPr>
      <w:r>
        <w:t>4.1 模型与数据质量控制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2010—2017年GBD 2023数据与父数据库2018—2023年连续拼接，形成2010—2023年年龄—性别—病种序列。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GBD新增数据接入13/13项通过；D1—D10确定性模型17/17项通过。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正式PSA无需增加抽样次数；关键阈值下CEAC/CEAF独立复算与原运行一致，最大期望NMB差异仅0.018元。</w:t>
      </w:r>
    </w:p>
    <w:p>
      <w:pPr>
        <w:pStyle w:val="Heading2"/>
        <w:keepNext/>
      </w:pPr>
      <w:r>
        <w:t>4.2 S6综合政策的健康收益、成本与概率结果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119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评价期</w:t>
            </w:r>
          </w:p>
        </w:tc>
        <w:tc>
          <w:tcPr>
            <w:tcW w:type="dxa" w:w="170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确定性未贴现避免DALY</w:t>
            </w:r>
          </w:p>
        </w:tc>
        <w:tc>
          <w:tcPr>
            <w:tcW w:type="dxa" w:w="113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避免死亡</w:t>
            </w:r>
          </w:p>
        </w:tc>
        <w:tc>
          <w:tcPr>
            <w:tcW w:type="dxa" w:w="130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避免新发</w:t>
            </w:r>
          </w:p>
        </w:tc>
        <w:tc>
          <w:tcPr>
            <w:tcW w:type="dxa" w:w="141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贴现政策成本</w:t>
            </w:r>
          </w:p>
        </w:tc>
        <w:tc>
          <w:tcPr>
            <w:tcW w:type="dxa" w:w="158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正式PSA平均贴现DALY</w:t>
            </w:r>
          </w:p>
        </w:tc>
        <w:tc>
          <w:tcPr>
            <w:tcW w:type="dxa" w:w="141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PSA平均成本/DALY</w:t>
            </w:r>
          </w:p>
        </w:tc>
      </w:tr>
      <w:tr>
        <w:trPr>
          <w:cantSplit/>
        </w:trPr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2025—2029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120.08万</w:t>
            </w:r>
          </w:p>
        </w:tc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5.29万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100.39万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164.84亿元</w:t>
            </w:r>
          </w:p>
        </w:tc>
        <w:tc>
          <w:tcPr>
            <w:tcW w:type="dxa" w:w="158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107.76万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15,255元</w:t>
            </w:r>
          </w:p>
        </w:tc>
      </w:tr>
      <w:tr>
        <w:trPr>
          <w:cantSplit/>
        </w:trPr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2025—2034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761.13万</w:t>
            </w:r>
          </w:p>
        </w:tc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35.85万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473.75万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259.63亿元</w:t>
            </w:r>
          </w:p>
        </w:tc>
        <w:tc>
          <w:tcPr>
            <w:tcW w:type="dxa" w:w="158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614.71万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4,212元</w:t>
            </w:r>
          </w:p>
        </w:tc>
      </w:tr>
      <w:tr>
        <w:trPr>
          <w:cantSplit/>
        </w:trPr>
        <w:tc>
          <w:tcPr>
            <w:tcW w:type="dxa" w:w="11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2025—2050*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4,712.21万</w:t>
            </w:r>
          </w:p>
        </w:tc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245.90万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2,368.49万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483.88亿元</w:t>
            </w:r>
          </w:p>
        </w:tc>
        <w:tc>
          <w:tcPr>
            <w:tcW w:type="dxa" w:w="158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3,041.16万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1,587元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Arial" w:hAnsi="Arial" w:eastAsia="Noto Sans CJK SC"/>
          <w:b w:val="0"/>
          <w:color w:val="5B6770"/>
          <w:sz w:val="16"/>
        </w:rPr>
        <w:t>* 2025—2050仅为长期结构敏感性；表中PSA成本/DALY为平均成本除以平均贴现DALY，非增量前沿ICER。</w:t>
      </w:r>
    </w:p>
    <w:p>
      <w:pPr>
        <w:pStyle w:val="Heading2"/>
        <w:keepNext/>
      </w:pPr>
      <w:r>
        <w:t>4.3 成本效果前沿和决策结论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5年期前沿为S0→S4→S6。正式PSA均值下，S6相对S4增加约11.70万贴现DALY和148.17亿元成本，增量ICER约126,693元/DALY。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10年期前沿为S0→S5→S4→S6；相邻前沿增量ICER约为777、989和10,159元/DALY。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5年期在5万和10万元/DALY时S4期望NMB最高；15万元/DALY时S6转为最优。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10年期S6在5万、10万和15万元/DALY下均为最优，成为最优策略的概率为87.31%—91.17%。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长期结构敏感性中，S6在三种阈值下成为最优策略的概率均超过98%。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13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181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支付意愿</w:t>
            </w:r>
          </w:p>
        </w:tc>
        <w:tc>
          <w:tcPr>
            <w:tcW w:type="dxa" w:w="2438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期望NMB最优策略</w:t>
            </w:r>
          </w:p>
        </w:tc>
        <w:tc>
          <w:tcPr>
            <w:tcW w:type="dxa" w:w="141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最优概率</w:t>
            </w:r>
          </w:p>
        </w:tc>
        <w:tc>
          <w:tcPr>
            <w:tcW w:type="dxa" w:w="170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EVPI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5年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5万元/DALY</w:t>
            </w:r>
          </w:p>
        </w:tc>
        <w:tc>
          <w:tcPr>
            <w:tcW w:type="dxa" w:w="243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S4 体卫融合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67.63%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31.09亿元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5年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10万元/DALY</w:t>
            </w:r>
          </w:p>
        </w:tc>
        <w:tc>
          <w:tcPr>
            <w:tcW w:type="dxa" w:w="243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S4 体卫融合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51.75%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111.35亿元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5年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15万元/DALY</w:t>
            </w:r>
          </w:p>
        </w:tc>
        <w:tc>
          <w:tcPr>
            <w:tcW w:type="dxa" w:w="243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S6 综合政策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50.98%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174.13亿元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10年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5万元/DALY</w:t>
            </w:r>
          </w:p>
        </w:tc>
        <w:tc>
          <w:tcPr>
            <w:tcW w:type="dxa" w:w="243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S6 综合政策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87.31%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46.94亿元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10年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10万元/DALY</w:t>
            </w:r>
          </w:p>
        </w:tc>
        <w:tc>
          <w:tcPr>
            <w:tcW w:type="dxa" w:w="243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S6 综合政策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90.45%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68.59亿元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10年</w:t>
            </w:r>
          </w:p>
        </w:tc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15万元/DALY</w:t>
            </w:r>
          </w:p>
        </w:tc>
        <w:tc>
          <w:tcPr>
            <w:tcW w:type="dxa" w:w="243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S6 综合政策</w:t>
            </w:r>
          </w:p>
        </w:tc>
        <w:tc>
          <w:tcPr>
            <w:tcW w:type="dxa" w:w="141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91.17%</w:t>
            </w:r>
          </w:p>
        </w:tc>
        <w:tc>
          <w:tcPr>
            <w:tcW w:type="dxa" w:w="170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92.51亿元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疾病构成与当前医疗费用边界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2025—2050年S6贴现避免DALY的主要来源依次为缺血性心脏病（30.50%）、卒中三亚型合计（24.77%）、痴呆（19.12%）、抑郁症（7.12%）和2型糖尿病（6.47%）。前五类结局合计贡献约88%。该结构为与Lancet进行“病例贡献—费用贡献不一致”比较提供了基础，但现有成本数据尚不能完成同等口径的13病种费用排序。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D4和D5形成了部分公共支付方桥接结果。S6的平均部分公共支付方净成本在5年、10年和26年分别为149.99亿元、166.43亿元和38.13亿元；成本节约概率分别为0.02%、2.81%和38.56%。由于费用仅覆盖部分疾病且支付比例采用全国桥接分布，这些数值只能用于探索性下限分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DECE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9B2C2C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9B2C2C"/>
                <w:sz w:val="21"/>
              </w:rPr>
              <w:t>当前结果最容易被误读的地方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20"/>
              </w:rPr>
              <w:t>S4、S5在10年及长期桥接情景中可能呈现较高成本节约概率，但这不等于“完整13病种医保净节约”。在补齐全部病种的首年/年度费用、支付方份额和重复计量规则之前，论文主标题、摘要和政策结论均不得使用这一表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五、两个标杆分别在回答什么问题</w:t>
      </w:r>
    </w:p>
    <w:p>
      <w:pPr>
        <w:pStyle w:val="Heading2"/>
        <w:keepNext/>
      </w:pPr>
      <w:r>
        <w:t>5.1 Lancet Global Health：不作为将带来多少新发病例和公共卫生支出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Santos等发表于Lancet Global Health的研究以194个国家、18岁及以上成年人和2020—2030年为范围，估计身体活动不足可归因的新发非传染性疾病及精神健康结局，以及这些新发病例对应的直接公共卫生系统成本。研究按冠心病、卒中、2型糖尿病、高血压、癌症、抑郁症和痴呆七大类组织，涵盖与本项目高度重叠的13个具体结局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暴露与效应：WHO身体活动不足率（按性别） + 文献中的调整后RR + 半调整PAF。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疾病负担：年度发病数 × PAF；未来年度主要用联合国人口预测扩展。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经济负担：身体活动不足可归因年度新发病例 × 每例直接医疗费用；费用按通胀外推。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输出：国家、WHO区域和收入组层面的病例与费用；2020美元和2020国际元。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不确定性：因成本与流行病学分布不足，主要采用费用降低30%和50%的单因素敏感性。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这篇研究没有核算干预成本、净成本、ICER、CEAC或EVPI，并明确提出未来应在获得政策干预成本后开展净成本分析。因此，本项目在政策成本、成本效果前沿和决策不确定性方面已经超越该标杆；但在完整、统一的13病种直接公共卫生支出核算和国际可比货币表达方面仍有明显差距。</w:t>
      </w:r>
    </w:p>
    <w:p>
      <w:pPr>
        <w:pStyle w:val="Heading2"/>
        <w:keepNext/>
      </w:pPr>
      <w:r>
        <w:t>5.2 RAND Europe：提高身体活动会带来多少生产率和GDP收益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RAND Europe 2019报告使用动态多国可计算一般均衡模型，评估到2050年提高人群身体活动水平对经济产出和医疗支出的影响。其核心不在DALY或ICER，而在身体活动通过有效劳动供给影响宏观经济。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死亡通道：减少过早死亡，保存劳动年龄人口和劳动供给。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缺勤通道：身体活动提高后减少因病缺勤，增加有效工作日。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带病出勤通道：降低presenteeism造成的工作效率损失。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宏观输出：年度与累计GDP增益、GDP百分比变化、人均增益、医疗支出节约，并按低/高生产率效应情景报告。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本项目已经拥有死亡避免数、年龄—性别分层人口和长期至2050年的健康收益基础，但尚未把这些健康结局转换为劳动年、缺勤日、带病出勤等效工作日和GDP等价增益。完整复制RAND的多国CGE不是当前必需条件，也与此前项目中“复杂度退出、改用劳动生产率—人力资本卫星模块”的路径一致。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34" w:bottom="964" w:left="1134" w:header="454" w:footer="454" w:gutter="0"/>
          <w:cols w:space="720"/>
          <w:docGrid w:linePitch="360"/>
        </w:sectPr>
      </w:pPr>
    </w:p>
    <w:p>
      <w:pPr>
        <w:pStyle w:val="Heading1"/>
        <w:keepNext/>
      </w:pPr>
      <w:r>
        <w:t>六、与Lancet和RAND相比仍需补做的分析</w:t>
      </w:r>
    </w:p>
    <w:p>
      <w:pPr>
        <w:pStyle w:val="BodyText"/>
        <w:spacing w:after="60" w:before="0"/>
        <w:ind w:firstLine="0"/>
        <w:jc w:val="both"/>
      </w:pPr>
      <w:r>
        <w:rPr>
          <w:rFonts w:ascii="Arial" w:hAnsi="Arial" w:eastAsia="Noto Sans CJK SC"/>
          <w:b w:val="0"/>
          <w:sz w:val="21"/>
        </w:rPr>
        <w:t>下表按“必须完成—建议完成—可选扩展”分级。必须完成项决定能否形成可信的国际对标结论；建议完成项决定论文的解释力；可选扩展项可留待后续英文高水平论文。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56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79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对标对象</w:t>
            </w:r>
          </w:p>
        </w:tc>
        <w:tc>
          <w:tcPr>
            <w:tcW w:type="dxa" w:w="198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拟补分析</w:t>
            </w:r>
          </w:p>
        </w:tc>
        <w:tc>
          <w:tcPr>
            <w:tcW w:type="dxa" w:w="136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当前状态</w:t>
            </w:r>
          </w:p>
        </w:tc>
        <w:tc>
          <w:tcPr>
            <w:tcW w:type="dxa" w:w="289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核心缺口</w:t>
            </w:r>
          </w:p>
        </w:tc>
        <w:tc>
          <w:tcPr>
            <w:tcW w:type="dxa" w:w="96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32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建议产出</w:t>
            </w:r>
          </w:p>
        </w:tc>
        <w:tc>
          <w:tcPr>
            <w:tcW w:type="dxa" w:w="130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是否改动主模型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L1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Lancet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2020—2030中国不作为负担复现/桥接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未形成独立模块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主结果是政策PIF收益，缺少与Lancet同口径的静态PAF、无行动病例与成本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中国病例与费用对标表；总体及病种分解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否，卫星模块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L2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Lancet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疾病定义与年龄口径映射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部分具备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20+ vs 18+；IHD vs CHD；卒中三亚型；子宫癌代理；结直肠癌口径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一对一crosswalk及不可比项说明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L3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Lancet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完整13病种单位直接医疗费用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部分完成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D4仅覆盖部分结局，且首年、年度、患者年口径混杂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病种特异费用库：值、年份、视角、来源、区间、代理等级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否；更新成本卫星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L4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Lancet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病种特异公共支付方份额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全国桥接值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不能形成完整公共卫生系统成本或医保净成本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每病种支付比例及证据等级；缺失时下限/区间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L5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Lancet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避免重复计量规则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部分规则已有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高血压、糖尿病并发症、卒中/IHD及长期照护存在重叠风险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成本边界与双重计算决策树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L6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Lancet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病例贡献与费用贡献排序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健康贡献已完成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缺少同口径成本贡献；无法复现“少病例高费用”现象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P1 建议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病例占比—成本占比双轴图及疾病排名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L7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Lancet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差异来源的顺序替换分解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直接比较数值会把人口、PA率、RR、发病率、价格和政策效应差异混在一起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P1 建议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桥接瀑布图：逐步替换假设并解释差距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L8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Lancet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国际可比货币转换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未系统完成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当前为2025年人民币，Lancet为2020美元/国际元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P1 建议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2020 USD、2020 INT$、2025 CNY三套口径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R1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RAND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死亡保存劳动年模块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有避免死亡，但缺劳动参与、就业和退休边界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按年龄性别的生命年/劳动年保存量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否，新增卫星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R2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RAND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缺勤效应模块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缺中国适用的PA—absenteeism效应和工作日基数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避免缺勤日、等效劳动年及低/高情景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R3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RAND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带病出勤效应模块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缺PA—presenteeism效应、测量工具和中国迁移假设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避免效率损失工作日/小时及低/高情景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R4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RAND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生产率货币化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缺年龄性别劳动参与、就业、工资/劳动生产率、增加值投影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工资法与增加值法两种GDP等价代理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R5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RAND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宏观收益分解与防止重复计算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死亡、缺勤、带病出勤与医疗节约可能重复或口径交叉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P0 必须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三通道分解、总量桥接和排重规则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R6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RAND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与RAND情景的政策映射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S1—S6是实施政策，RAND是人群PA改善情景，不能直接对号入座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P1 建议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单独建立3个RAND式暴露情景及与S6/S7的映射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R7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RAND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GDP百分比和人均累计收益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未完成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现有结果没有宏观量纲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P1 建议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年度、累计、占GDP比例、人均结果至2050年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否</w:t>
            </w:r>
          </w:p>
        </w:tc>
      </w:tr>
      <w:tr>
        <w:trPr>
          <w:cantSplit/>
        </w:trPr>
        <w:tc>
          <w:tcPr>
            <w:tcW w:type="dxa" w:w="56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4"/>
              </w:rPr>
              <w:t>R8</w:t>
            </w:r>
          </w:p>
        </w:tc>
        <w:tc>
          <w:tcPr>
            <w:tcW w:type="dxa" w:w="7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RAND</w:t>
            </w:r>
          </w:p>
        </w:tc>
        <w:tc>
          <w:tcPr>
            <w:tcW w:type="dxa" w:w="198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完整CGE模型</w:t>
            </w:r>
          </w:p>
        </w:tc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未计划</w:t>
            </w:r>
          </w:p>
        </w:tc>
        <w:tc>
          <w:tcPr>
            <w:tcW w:type="dxa" w:w="289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数据和建模复杂度极高；非当前主论文必需</w:t>
            </w:r>
          </w:p>
        </w:tc>
        <w:tc>
          <w:tcPr>
            <w:tcW w:type="dxa" w:w="96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P2 可选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后续独立论文或合作研究</w:t>
            </w:r>
          </w:p>
        </w:tc>
        <w:tc>
          <w:tcPr>
            <w:tcW w:type="dxa" w:w="130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2F6F7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4"/>
              </w:rPr>
              <w:t>是独立模型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P0执行顺序与边界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4082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Lancet路径</w:t>
            </w:r>
          </w:p>
        </w:tc>
        <w:tc>
          <w:tcPr>
            <w:tcW w:type="dxa" w:w="4082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RAND路径</w:t>
            </w:r>
          </w:p>
        </w:tc>
        <w:tc>
          <w:tcPr>
            <w:tcW w:type="dxa" w:w="4082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共同规则</w:t>
            </w:r>
          </w:p>
        </w:tc>
      </w:tr>
      <w:tr>
        <w:trPr>
          <w:cantSplit/>
        </w:trPr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6"/>
              </w:rPr>
              <w:t>先做L2疾病映射，再完成L3/L4费用与支付方数据库及L5排重，最后运行L1中国不作为负担。</w:t>
            </w:r>
          </w:p>
        </w:tc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先准备劳动参与、就业和货币化输入，再并行建立R1死亡、R2缺勤、R3带病出勤，最后完成R4/R5汇总。</w:t>
            </w:r>
          </w:p>
        </w:tc>
        <w:tc>
          <w:tcPr>
            <w:tcW w:type="dxa" w:w="408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两套模块均从冻结主模型读取；使用独立目录、独立版本号和独立QC，不改写既有10,000次PSA。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shd w:fill="E7F2F3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0B5563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0B5563"/>
                <w:sz w:val="21"/>
              </w:rPr>
              <w:t>阶段性判断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20"/>
              </w:rPr>
              <w:t>只有L1—L5完成后，才能严谨说明本项目与Lancet中国估计相差多少；只有R1—R5完成后，才能与RAND比较生产率收益。R8完整CGE不应成为当前工作的阻断条件。</w:t>
            </w:r>
          </w:p>
        </w:tc>
      </w:tr>
    </w:tbl>
    <w:p>
      <w:pPr>
        <w:spacing w:after="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794" w:bottom="850" w:left="794" w:header="454" w:footer="454" w:gutter="0"/>
          <w:cols w:space="720"/>
          <w:docGrid w:linePitch="360"/>
        </w:sectPr>
      </w:pPr>
    </w:p>
    <w:p>
      <w:pPr>
        <w:pStyle w:val="Heading1"/>
        <w:keepNext/>
      </w:pPr>
      <w:r>
        <w:t>七、推荐的分阶段工作路线</w:t>
      </w:r>
    </w:p>
    <w:p>
      <w:pPr>
        <w:pStyle w:val="Heading2"/>
        <w:keepNext/>
      </w:pPr>
      <w:r>
        <w:t>阶段0：冻结现有主分析并建立版本清单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先把v1.5结果稿、v1.4正式PSA汇总、正式批次QC、参数审计和关键输入文件列入冻结清单，计算校验值并明确只读状态。对标模块必须从冻结输出读取，不得在对标过程中改写主模型结果。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36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49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主要任务</w:t>
            </w:r>
          </w:p>
        </w:tc>
        <w:tc>
          <w:tcPr>
            <w:tcW w:type="dxa" w:w="175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开始条件</w:t>
            </w:r>
          </w:p>
        </w:tc>
        <w:tc>
          <w:tcPr>
            <w:tcW w:type="dxa" w:w="232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完成标准</w:t>
            </w:r>
          </w:p>
        </w:tc>
        <w:tc>
          <w:tcPr>
            <w:tcW w:type="dxa" w:w="187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建议文件名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6"/>
              </w:rPr>
              <w:t>0 主模型冻结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版本优先级、输入输出清单、哈希、数值基准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现有资料齐全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关键表可逐项复现；禁止旧数值回流</w:t>
            </w:r>
          </w:p>
        </w:tc>
        <w:tc>
          <w:tcPr>
            <w:tcW w:type="dxa" w:w="187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00_主分析封库与对标接口审计_v1.0.xlsx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6"/>
              </w:rPr>
              <w:t>1 Lancet口径桥接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2020—2030静态PAF不作为病例与费用；中国结果外部核验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疾病映射、PA率、RR、发病率和费用资料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生成可与Lancet中国表逐项比较的结果及差异解释</w:t>
            </w:r>
          </w:p>
        </w:tc>
        <w:tc>
          <w:tcPr>
            <w:tcW w:type="dxa" w:w="187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01_Lancet口径中国对标模块_v1.0.ipynb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6"/>
              </w:rPr>
              <w:t>2 完整医疗费用边界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13病种单位费用、公共支付份额、重复计量规则、费用不确定性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目标文献与费用数据库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主分析、完整直接费用、完整支付方三种边界清楚分列</w:t>
            </w:r>
          </w:p>
        </w:tc>
        <w:tc>
          <w:tcPr>
            <w:tcW w:type="dxa" w:w="187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02_13病种医疗费用与支付方数据库_v1.0.xlsx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6"/>
              </w:rPr>
              <w:t>3 RAND生产率卫星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死亡、缺勤、带病出勤、劳动年和GDP等价增益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劳动参与/就业/工资/增加值及效应参数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年度与累计结果至2050年，三通道可加总且无重复</w:t>
            </w:r>
          </w:p>
        </w:tc>
        <w:tc>
          <w:tcPr>
            <w:tcW w:type="dxa" w:w="187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03_劳动生产率与人力资本卫星模型_v1.0.ipynb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6"/>
              </w:rPr>
              <w:t>4 综合对标与写作</w:t>
            </w:r>
          </w:p>
        </w:tc>
        <w:tc>
          <w:tcPr>
            <w:tcW w:type="dxa" w:w="249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数量级比较、桥接瀑布、结果讨论、局限性、政策含义</w:t>
            </w:r>
          </w:p>
        </w:tc>
        <w:tc>
          <w:tcPr>
            <w:tcW w:type="dxa" w:w="175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阶段1—3完成</w:t>
            </w:r>
          </w:p>
        </w:tc>
        <w:tc>
          <w:tcPr>
            <w:tcW w:type="dxa" w:w="232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形成主文和补充材料；所有口径有标签</w:t>
            </w:r>
          </w:p>
        </w:tc>
        <w:tc>
          <w:tcPr>
            <w:tcW w:type="dxa" w:w="187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6"/>
              </w:rPr>
              <w:t>04_Lancet_RAND综合对标报告_v1.0.docx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阶段1：Lancet口径对标的建议技术路径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1. </w:t>
      </w:r>
      <w:r>
        <w:rPr>
          <w:rFonts w:ascii="Arial" w:hAnsi="Arial" w:eastAsia="Noto Sans CJK SC"/>
          <w:b w:val="0"/>
          <w:sz w:val="20"/>
        </w:rPr>
        <w:t>建立独立的“Lancet-harmonized”配置，不修改主模型。时间设为2020—2030；年龄优先按18岁及以上复现，若数据限制则同时报告20岁及以上桥接。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2. </w:t>
      </w:r>
      <w:r>
        <w:rPr>
          <w:rFonts w:ascii="Arial" w:hAnsi="Arial" w:eastAsia="Noto Sans CJK SC"/>
          <w:b w:val="0"/>
          <w:sz w:val="20"/>
        </w:rPr>
        <w:t>逐病种统一暴露定义、RR、PAF公式、发病率、人口投影、单位费用和价格年。将癌症保留为七个独立结局，并另给“癌症合计”。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3. </w:t>
      </w:r>
      <w:r>
        <w:rPr>
          <w:rFonts w:ascii="Arial" w:hAnsi="Arial" w:eastAsia="Noto Sans CJK SC"/>
          <w:b w:val="0"/>
          <w:sz w:val="20"/>
        </w:rPr>
        <w:t>先复现中国静态不作为病例，再核算直接公共卫生系统成本。每个数字都保留来源、币种、价格年、付款方和费用时间窗口。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4. </w:t>
      </w:r>
      <w:r>
        <w:rPr>
          <w:rFonts w:ascii="Arial" w:hAnsi="Arial" w:eastAsia="Noto Sans CJK SC"/>
          <w:b w:val="0"/>
          <w:sz w:val="20"/>
        </w:rPr>
        <w:t>将结果与Lancet附录中的中国估计进行数量级核验，不以强行一致为目标。差异大时依次替换人口、PA率、RR、发病率和费用参数，形成桥接瀑布图。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5. </w:t>
      </w:r>
      <w:r>
        <w:rPr>
          <w:rFonts w:ascii="Arial" w:hAnsi="Arial" w:eastAsia="Noto Sans CJK SC"/>
          <w:b w:val="0"/>
          <w:sz w:val="20"/>
        </w:rPr>
        <w:t>最后再与本项目S0动态基线和S6政策PIF结果比较，清楚区分“理论可归因负担”“不作为成本”和“特定政策可避免负担”。</w:t>
      </w:r>
    </w:p>
    <w:p>
      <w:pPr>
        <w:pStyle w:val="Heading2"/>
        <w:keepNext/>
      </w:pPr>
      <w:r>
        <w:t>阶段2：13病种完整医疗费用边界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这是目前与Lancet对标的最大实质性缺口，也是将成本效果研究升级为完整投资论证的关键。建议以“新发/首次事件 × 首年直接医疗费用”为主边界；对痴呆、抑郁症、高血压等不能简单使用首年事件费用的结局，单独制定疾病特异方案。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每条费用参数至少记录：病种、事件定义、费用构成、时间窗、数据地区、样本年份、价格调整、支付方份额、均值/中位数、方差或区间、证据等级、代理关系。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痴呆必须分列直接医疗、非医疗、正式照护和非正式照护；主卫生系统分析不能自动纳入社会照护成本。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高血压患者年、糖尿病并发症和心脑血管事件必须建立排重规则，避免同时把上游疾病管理费与下游事件费用全部计入。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建议形成三种边界：programme-only；complete public payer；complete direct medical。社会视角照护和生产率另列，不与支付方成本混加。</w:t>
      </w:r>
    </w:p>
    <w:p>
      <w:pPr>
        <w:pStyle w:val="Heading2"/>
        <w:keepNext/>
      </w:pPr>
      <w:r>
        <w:t>阶段3：RAND式劳动生产率—人力资本卫星模块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推荐采用透明的分层会计模型，而不是直接声称复制RAND的CGE。对每个年龄—性别—年度单元，分别计算死亡减少保存的劳动年、身体活动改善减少的缺勤工作日和带病出勤等效损失日，再用工资或每名就业者增加值货币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36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3458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核心公式（概念）</w:t>
            </w:r>
          </w:p>
        </w:tc>
        <w:tc>
          <w:tcPr>
            <w:tcW w:type="dxa" w:w="2608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关键输入</w:t>
            </w:r>
          </w:p>
        </w:tc>
        <w:tc>
          <w:tcPr>
            <w:tcW w:type="dxa" w:w="2041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主要输出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过早死亡</w:t>
            </w:r>
          </w:p>
        </w:tc>
        <w:tc>
          <w:tcPr>
            <w:tcW w:type="dxa" w:w="345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避免死亡 × 剩余劳动年龄年 × 生存/劳动参与/就业概率</w:t>
            </w:r>
          </w:p>
        </w:tc>
        <w:tc>
          <w:tcPr>
            <w:tcW w:type="dxa" w:w="260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年龄性别避免死亡、劳动参与率、就业率、退休年龄、生存率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保存劳动年、工资收入或增加值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缺勤</w:t>
            </w:r>
          </w:p>
        </w:tc>
        <w:tc>
          <w:tcPr>
            <w:tcW w:type="dxa" w:w="345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由低PA转出的在业人数 × 年缺勤日差 × 有效政策路径</w:t>
            </w:r>
          </w:p>
        </w:tc>
        <w:tc>
          <w:tcPr>
            <w:tcW w:type="dxa" w:w="260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就业人数、PA转移、缺勤效应、工作日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避免缺勤日、等效FTE年、货币收益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带病出勤</w:t>
            </w:r>
          </w:p>
        </w:tc>
        <w:tc>
          <w:tcPr>
            <w:tcW w:type="dxa" w:w="345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由低PA转出的在业人数 × 年效率损失日差 × 有效政策路径</w:t>
            </w:r>
          </w:p>
        </w:tc>
        <w:tc>
          <w:tcPr>
            <w:tcW w:type="dxa" w:w="260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就业人数、PA转移、presenteeism效应、工作日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避免效率损失日、等效FTE年、货币收益</w:t>
            </w:r>
          </w:p>
        </w:tc>
      </w:tr>
      <w:tr>
        <w:trPr>
          <w:cantSplit/>
        </w:trPr>
        <w:tc>
          <w:tcPr>
            <w:tcW w:type="dxa" w:w="136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汇总</w:t>
            </w:r>
          </w:p>
        </w:tc>
        <w:tc>
          <w:tcPr>
            <w:tcW w:type="dxa" w:w="345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三通道货币收益之和；医疗费用节约单列</w:t>
            </w:r>
          </w:p>
        </w:tc>
        <w:tc>
          <w:tcPr>
            <w:tcW w:type="dxa" w:w="2608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贴现率、工资/增加值增长、GDP预测</w:t>
            </w:r>
          </w:p>
        </w:tc>
        <w:tc>
          <w:tcPr>
            <w:tcW w:type="dxa" w:w="2041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年度/累计收益、每成人收益、GDP占比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9A5B0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9A5B00"/>
                <w:sz w:val="21"/>
              </w:rPr>
              <w:t>命名边界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20"/>
              </w:rPr>
              <w:t>在没有一般均衡反馈、资本调整、贸易联动和部门间价格变化的情况下，结果必须称为“劳动生产率收益”“人力资本收益”或“GDP等价代理”，不能称为RAND式CGE GDP增益。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八、外部对标时应如何解释“差距”</w:t>
      </w:r>
    </w:p>
    <w:p>
      <w:pPr>
        <w:pStyle w:val="Heading2"/>
        <w:keepNext/>
      </w:pPr>
      <w:r>
        <w:t>8.1 不进行简单数值比值比较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Lancet估计的是在特定PAF假设下身体活动不足可归因的新发病例及公共卫生系统成本；本项目估计的是特定政策情景相对动态基线的PIF健康收益和成本效果。二者的反事实、年龄、PA定义、疾病趋势、费用口径和价格年不同。未完成口径桥接前，不能用“本项目只有Lancet的多少百分比”判断高低或模型正确性。</w:t>
      </w:r>
    </w:p>
    <w:p>
      <w:pPr>
        <w:pStyle w:val="Heading2"/>
        <w:keepNext/>
      </w:pPr>
      <w:r>
        <w:t>8.2 将本项目的增量价值说清楚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相对Lancet：本项目加入了真实政策包、实施成本、动态基线、PIF、DALY、死亡、成本效果前沿、正式PSA和决策价值。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相对RAND：本项目的疾病结局与卫生经济学决策更细致，但缺少就业和宏观生产率链条。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最有价值的论文定位不是“复现两个标杆”，而是把健康负担、卫生系统负担、政策成本效果和生产率收益连接为中国国家级投资论证。</w:t>
      </w:r>
    </w:p>
    <w:p>
      <w:pPr>
        <w:pStyle w:val="Heading2"/>
        <w:keepNext/>
      </w:pPr>
      <w:r>
        <w:t>8.3 推荐的三层结果架构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1. </w:t>
      </w:r>
      <w:r>
        <w:rPr>
          <w:rFonts w:ascii="Arial" w:hAnsi="Arial" w:eastAsia="Noto Sans CJK SC"/>
          <w:b w:val="0"/>
          <w:sz w:val="20"/>
        </w:rPr>
        <w:t>第一层：卫生结果——避免新发、患病患者年、死亡和DALY。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2. </w:t>
      </w:r>
      <w:r>
        <w:rPr>
          <w:rFonts w:ascii="Arial" w:hAnsi="Arial" w:eastAsia="Noto Sans CJK SC"/>
          <w:b w:val="0"/>
          <w:sz w:val="20"/>
        </w:rPr>
        <w:t>第二层：卫生财政结果——政策实施成本、完整直接医疗费用节约、公共支付方净成本、ICER/NMB/CEAC。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3. </w:t>
      </w:r>
      <w:r>
        <w:rPr>
          <w:rFonts w:ascii="Arial" w:hAnsi="Arial" w:eastAsia="Noto Sans CJK SC"/>
          <w:b w:val="0"/>
          <w:sz w:val="20"/>
        </w:rPr>
        <w:t>第三层：社会经济结果——避免缺勤、带病出勤、劳动年损失和GDP等价生产率收益。</w:t>
      </w:r>
    </w:p>
    <w:p>
      <w:pPr>
        <w:pStyle w:val="Heading1"/>
        <w:keepNext/>
      </w:pPr>
      <w:r>
        <w:t>九、新对话需要上传的文件</w:t>
      </w:r>
    </w:p>
    <w:p>
      <w:pPr>
        <w:pStyle w:val="Heading2"/>
        <w:keepNext/>
      </w:pPr>
      <w:r>
        <w:t>9.1 最小必需包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73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4252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402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247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是否必须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1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本交接书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研究状态、任务边界、路线与提示词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2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ALLdis_13病种D1_D10及正式PSA结果部分完整展示稿_v1.5.docx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当前主结果与数值依据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3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ALLdis_正式10000次PSA结果汇总_v1.4.xlsx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概率结果、区间、CEAF与EVPI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4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ALLdis_正式10000次PSA结果分析报告_v1.4.md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结果解释与边界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5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ALLdis_父数据库第一阶段D1_D10结果_v1.1.xlsx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D1—D10详细结果和部分费用桥接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6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ALLdis_CVDv16与政策成本迁移审计_v1.1.xlsx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父模型、效果与成本参数迁移审计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7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PIIS2214109X22004648.pdf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Lancet正文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8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mmc1.pdf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Lancet补充材料、方法和中国表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  <w:tr>
        <w:trPr>
          <w:cantSplit/>
        </w:trPr>
        <w:tc>
          <w:tcPr>
            <w:tcW w:type="dxa" w:w="73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7"/>
              </w:rPr>
              <w:t>9</w:t>
            </w:r>
          </w:p>
        </w:tc>
        <w:tc>
          <w:tcPr>
            <w:tcW w:type="dxa" w:w="425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RAND_RR4291.pdf</w:t>
            </w:r>
          </w:p>
        </w:tc>
        <w:tc>
          <w:tcPr>
            <w:tcW w:type="dxa" w:w="3402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RAND完整报告</w:t>
            </w:r>
          </w:p>
        </w:tc>
        <w:tc>
          <w:tcPr>
            <w:tcW w:type="dxa" w:w="1247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7"/>
              </w:rPr>
              <w:t>必须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开始写代码或补数据时再上传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当前D1—D10分析代码、输入数据和正式PSA后处理包；优先提供最小可复现包，不必一次上传全部历史文件。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13病种单位费用、支付方比例和痴呆照护边界的已有资料。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中国年龄—性别劳动参与率、就业率、工资或劳动生产率、工作日等数据文件。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政策成本组件总账和2035—2050资本更新/维护假设；仅在需要把长期结构敏感性升级为正式长期成本时上传。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8F1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nil"/>
              <w:left w:val="single" w:sz="18" w:color="0B5563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rial" w:hAnsi="Arial" w:eastAsia="Noto Sans CJK SC"/>
                <w:b/>
                <w:color w:val="0B5563"/>
                <w:sz w:val="21"/>
              </w:rPr>
              <w:t>上传控制</w:t>
            </w:r>
          </w:p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sz w:val="20"/>
              </w:rPr>
              <w:t>新对话先上传最小必需包，完成文件审计和对标设计后，再按缺口补传数据。不要一开始上传所有历史Notebook、全部批次或重复版本，以免消耗对话额度并引入版本冲突。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十、新对话的首轮交付要求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新对话不应直接开始重新计算。首轮必须先完成文件审计和实施设计，并交付以下四项内容：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1. </w:t>
      </w:r>
      <w:r>
        <w:rPr>
          <w:rFonts w:ascii="Arial" w:hAnsi="Arial" w:eastAsia="Noto Sans CJK SC"/>
          <w:b w:val="0"/>
          <w:sz w:val="20"/>
        </w:rPr>
        <w:t>《Lancet—RAND—ALLdis方法与结果口径对照矩阵》：逐项列明人群、时间、PA定义、反事实、病种、RR、疾病率、成本、价格年、货币、贴现和不确定性。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2. </w:t>
      </w:r>
      <w:r>
        <w:rPr>
          <w:rFonts w:ascii="Arial" w:hAnsi="Arial" w:eastAsia="Noto Sans CJK SC"/>
          <w:b w:val="0"/>
          <w:sz w:val="20"/>
        </w:rPr>
        <w:t>《尚缺分析与数据清单》：区分P0/P1/P2，说明哪些可由现有数据完成、哪些需用户提供、哪些需检索，并明确替代参数的偏倚方向。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3. </w:t>
      </w:r>
      <w:r>
        <w:rPr>
          <w:rFonts w:ascii="Arial" w:hAnsi="Arial" w:eastAsia="Noto Sans CJK SC"/>
          <w:b w:val="0"/>
          <w:sz w:val="20"/>
        </w:rPr>
        <w:t>《Lancet口径中国对标模块技术方案》：包括输入、公式、输出表、桥接分解和QC。</w:t>
      </w:r>
    </w:p>
    <w:p>
      <w:pPr>
        <w:pStyle w:val="BodyText"/>
        <w:spacing w:after="50"/>
        <w:ind w:left="425" w:hanging="312"/>
      </w:pPr>
      <w:r>
        <w:rPr>
          <w:rFonts w:ascii="Arial" w:hAnsi="Arial" w:eastAsia="Noto Sans CJK SC"/>
          <w:b/>
          <w:color w:val="2D5D67"/>
          <w:sz w:val="20"/>
        </w:rPr>
        <w:t xml:space="preserve">4. </w:t>
      </w:r>
      <w:r>
        <w:rPr>
          <w:rFonts w:ascii="Arial" w:hAnsi="Arial" w:eastAsia="Noto Sans CJK SC"/>
          <w:b w:val="0"/>
          <w:sz w:val="20"/>
        </w:rPr>
        <w:t>《RAND生产率卫星模块技术方案》：包括死亡、缺勤、带病出勤三通道公式、货币化方法、排重规则、情景与不确定性。</w:t>
      </w:r>
    </w:p>
    <w:p>
      <w:pPr>
        <w:pStyle w:val="BodyText"/>
        <w:spacing w:after="60" w:before="0"/>
        <w:ind w:firstLine="420"/>
        <w:jc w:val="both"/>
      </w:pPr>
      <w:r>
        <w:rPr>
          <w:rFonts w:ascii="Arial" w:hAnsi="Arial" w:eastAsia="Noto Sans CJK SC"/>
          <w:b w:val="0"/>
          <w:sz w:val="21"/>
        </w:rPr>
        <w:t>上述方案经确认后，才进入数据补齐、Notebook开发和结果计算。每完成一个模块，应生成README、输入字典、参数来源表、QC表和版本化输出，避免再次出现对话结束时无法交接的问题。</w:t>
      </w:r>
    </w:p>
    <w:p>
      <w:pPr>
        <w:pStyle w:val="Heading1"/>
        <w:keepNext/>
      </w:pPr>
      <w:r>
        <w:t>十一、验收标准与禁止事项</w:t>
      </w:r>
    </w:p>
    <w:p>
      <w:pPr>
        <w:pStyle w:val="Heading2"/>
        <w:keepNext/>
      </w:pPr>
      <w:r>
        <w:t>11.1 阶段验收标准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所有对标结果均可从明确的输入表和公式逐项复算；不得只给结论性文字。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Lancet对标必须能解释中国结果差异来源，而不是只报告两组数字。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完整医疗费用模块必须覆盖全部13病种或清楚标记缺失；缺失不能写成0。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RAND卫星结果必须分解为死亡、缺勤和带病出勤，且与医疗费用节约分开。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任何代理数据都标注证据等级、外推方向、偏倚方向和敏感性范围。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sz w:val="20"/>
        </w:rPr>
        <w:t>主分析和卫星模块在文件名、表头、图注和正文中使用一致的边界标签。</w:t>
      </w:r>
    </w:p>
    <w:p>
      <w:pPr>
        <w:pStyle w:val="Heading2"/>
        <w:keepNext/>
      </w:pPr>
      <w:r>
        <w:t>11.2 禁止事项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color w:val="9B2C2C"/>
          <w:sz w:val="20"/>
        </w:rPr>
        <w:t>不得重跑或改写已经通过审核的原10,000次PSA，除非用户明确同意且有新增正式模型参数。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color w:val="9B2C2C"/>
          <w:sz w:val="20"/>
        </w:rPr>
        <w:t>不得把2025—2050结果写成正式主分析；仍应称长期结构敏感性。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color w:val="9B2C2C"/>
          <w:sz w:val="20"/>
        </w:rPr>
        <w:t>不得把部分公共支付方桥接写成完整13病种医保节约。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color w:val="9B2C2C"/>
          <w:sz w:val="20"/>
        </w:rPr>
        <w:t>不得把S7纳入成本效果前沿或CEAC；S7只有健康目标，没有政策成本。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color w:val="9B2C2C"/>
          <w:sz w:val="20"/>
        </w:rPr>
        <w:t>不得用Lancet结果反向校准本项目到“看起来一致”；外部对标是验证和解释，不是追求同值。</w:t>
      </w:r>
    </w:p>
    <w:p>
      <w:pPr>
        <w:pStyle w:val="ListBullet"/>
        <w:spacing w:after="50"/>
        <w:ind w:left="397" w:hanging="198"/>
      </w:pPr>
      <w:r>
        <w:rPr>
          <w:rFonts w:ascii="Arial" w:hAnsi="Arial" w:eastAsia="Noto Sans CJK SC"/>
          <w:b w:val="0"/>
          <w:color w:val="9B2C2C"/>
          <w:sz w:val="20"/>
        </w:rPr>
        <w:t>不得把工资法或增加值法的生产率结果称为完整CGE GDP效应。</w:t>
      </w:r>
    </w:p>
    <w:p>
      <w:pPr>
        <w:pStyle w:val="Heading1"/>
        <w:keepNext/>
      </w:pPr>
      <w:r>
        <w:t>附录A：可直接复制到新对话的完整提示词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你现在接手“中国20岁及以上成年人身体活动不足13病种综合政策成本效果研究”的国际标杆对标阶段。请把我上传的《身体活动13病种_Lancet与RAND对标工作交接书_v1.0》作为总控文件，并逐一审核其余结果、审计和标杆报告。不要从零重建研究，不要先运行模型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一、当前封库状态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1. 研究采用年度PAF/PIF比较风险评估框架，不是Markov模型。身体活动按低、中、高三档处理，低身体活动定义为&lt;600 MET-min/week。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2. 研究人群为中国20岁及以上成年人，按性别和5岁年龄组分层；正式主分析评价期为2025—2029年和2025—2034年。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3. 2025—2050年仅为D9长期结构敏感性，不得写成正式主分析。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4. S0为动态基线；S1—S6为可计价政策；S7为身体活动不足下降目标参照，无政策成本，不进入成本效果前沿、CEAC或CEAF。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5. 主分析采用仅计政策实施成本的PROGRAMME-ONLY边界。现有D4/D5公共支付方结果只覆盖部分疾病并使用全国支付比例桥接，不能解释为完整13病种医保净节约。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6. 正式10,000次PSA已经完成：20批×500次，10,000个唯一draw，240,000条成本效果记录；原运行QC 20/20、独立复算35/35均通过。除非我明确要求，不得重新运行原主模型PSA。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7. 数值优先级：v1.5结果展示稿 &gt; v1.4正式PSA汇总及报告 &gt; 迁移审计/父数据库结果 &gt; 旧稿和烟雾测试。发现冲突时必须列出冲突并以前述优先级处理，不能自行平均或混用。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二、本阶段总目标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把现有中国13病种结果与两个国际标杆进行“口径可解释的对标”，并明确为了形成国家级身体活动投资论证还需补做哪些分析：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/>
          <w:color w:val="1F2933"/>
          <w:sz w:val="16"/>
        </w:rPr>
        <w:t>A. Lancet Global Health 2023《The cost of inaction on physical inactivity to public health-care systems》及其补充材料；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/>
          <w:color w:val="1F2933"/>
          <w:sz w:val="16"/>
        </w:rPr>
        <w:t>B. RAND Europe 2019《The economic benefits of a more physically active population》。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对标不是要求数值相同，也不得用标杆结果反向校准主模型。必须先区分反事实、年龄、身体活动定义、病种映射、RR、疾病率、人口、成本时间窗、支付方、价格年、货币和不确定性方法，再解释差异。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三、必须遵守的研究边界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1. Lancet对标应另建卫星模块，不得把其静态PAF替代主模型动态PIF。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2. RAND对标优先建立“劳动生产率—人力资本卫星模块”，包括过早死亡、缺勤和带病出勤三通道。除非真正建立可计算一般均衡模型，不得把结果称为CGE GDP效应；应称劳动生产率收益、人力资本收益或GDP等价代理。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3. 医疗费用节约、政策实施成本和生产率收益必须分列，防止重复计算。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4. 缺失不得写成0。代理参数必须标明证据等级、外推方向、可能偏倚和敏感性范围。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5. 结果区间使用“95%不确定区间”；ICER以均值之比报告，不重点解释跨零的draw级ICER区间。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6. 不得声称“所有参数均进入PSA”，应依据实际抽样表说明固定参数、概率参数和结构情景。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四、第一轮工作：只做审计和技术设计，不重新计算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请先完整阅读我上传的文件，然后交付以下四项内容：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1. 《ALLdis—Lancet—RAND方法与结果口径对照矩阵》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至少包括：研究问题、反事实、人群年龄、时间范围、PA定义、PA数据来源、RR、病种映射、发病/患病口径、人口预测、费用时间窗、视角、支付方、价格年、货币、贴现、不确定性、主要输出和局限。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2. 《对标差距与数据需求清单》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按P0必须、P1建议、P2可选分级；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对每一项说明当前是否已有数据、可否从上传文件提取、是否需新检索或用户补充、缺失对结论的影响。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3. 《Lancet口径中国对标模块技术方案》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独立配置2020—2030年、优先18岁及以上并提供20岁及以上桥接；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制作CHD/IHD、卒中三亚型、癌症、痴呆、抑郁症、高血压和T2D的疾病crosswalk；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给出静态PAF、不作为可归因新发病例、直接公共卫生支出和货币转换的完整公式；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设计中国结果与Lancet附录中国表的逐步桥接：人口→PA率→RR→发病率→单位费用→动态趋势/政策PIF；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指定输出表、图和QC。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4. 《RAND式劳动生产率—人力资本卫星模块技术方案》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分别建立避免过早死亡保存劳动年、避免缺勤日、避免带病出勤效率损失日三个通道；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列出年龄—性别劳动参与率、就业率、退休年龄、工作日、工资、每名就业者增加值、GDP预测及PA—生产率效应参数；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同时设计工资法和增加值法，输出年度与累计收益、每成人收益和GDP占比至2050年；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设置低/基准/高情景和不确定性分析；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  - 给出三通道与医疗费用节约的排重规则。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五、后续分析的最低要求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1. 建立完整13病种单位直接医疗费用和病种特异公共支付方份额数据库。每条参数记录病种、事件定义、费用构成、时间窗、地区、年份、价格调整、支付方份额、均值/区间、来源、证据等级和代理关系。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2. 明确高血压、糖尿病并发症、IHD、卒中和痴呆长期照护的重复计量边界。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3. 至少形成三种成本边界：仅政策实施成本、完整公共支付方、完整直接医疗费用；社会照护和生产率另列。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4. 生成病例贡献与费用贡献的疾病排名，并解释为何某些疾病病例少但成本高。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5. 对标结果必须进行顺序替换分解，不能只给总量比值。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6. 现有正式PSA保持冻结；新增Lancet或RAND模块如需不确定性分析，应单独运行并使用独立输出目录和版本号。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六、文件与输出规范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1. 先输出文件审计表，列明实际读取的文件、版本、用途、是否存在冲突或缺失。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2. 所有Notebook以Jupyter为主体，包含参数读取、公式、QC、结果表和图，不把关键逻辑隐藏在外部脚本。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3. 每个模块必须有README、输入字典、参数来源表、QC表、结果汇总和版本日志。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4. 所有结论必须能追溯到上传文件、原始文献或明确公式；不允许根据常识补造数值。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5. 中文写作采用卫生经济学和公共卫生研究规范语言，避免口语化和模板化表述。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七、首轮回复的格式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先给出：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/>
          <w:color w:val="1F2933"/>
          <w:sz w:val="16"/>
        </w:rPr>
        <w:t>A. 你识别到的当前研究状态与版本优先级；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/>
          <w:color w:val="1F2933"/>
          <w:sz w:val="16"/>
        </w:rPr>
        <w:t>B. 两个标杆与本项目的根本差异；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/>
          <w:color w:val="1F2933"/>
          <w:sz w:val="16"/>
        </w:rPr>
        <w:t>C. P0/P1/P2缺口矩阵；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/>
          <w:color w:val="1F2933"/>
          <w:sz w:val="16"/>
        </w:rPr>
        <w:t>D. 需要我补充上传的数据文件；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/>
          <w:color w:val="1F2933"/>
          <w:sz w:val="16"/>
        </w:rPr>
        <w:t>E. 下一步最小可执行任务。</w:t>
      </w:r>
    </w:p>
    <w:p>
      <w:pPr>
        <w:spacing w:after="6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 xml:space="preserve"> </w:t>
      </w:r>
    </w:p>
    <w:p>
      <w:pPr>
        <w:spacing w:after="0" w:line="245" w:lineRule="auto"/>
        <w:ind w:left="102" w:right="102"/>
        <w:shd w:fill="F5F7F8"/>
      </w:pPr>
      <w:r>
        <w:rPr>
          <w:rFonts w:ascii="Consolas" w:hAnsi="Consolas" w:eastAsia="Noto Sans CJK SC"/>
          <w:b w:val="0"/>
          <w:color w:val="1F2933"/>
          <w:sz w:val="16"/>
        </w:rPr>
        <w:t>首轮不要直接重跑模型，也不要先写完整论文。若现有文件足以解决某项问题，直接读取并完成，不要把可以通过文件审计解决的问题反问给我。</w:t>
      </w:r>
    </w:p>
    <w:p>
      <w:pPr>
        <w:pStyle w:val="Heading1"/>
        <w:keepNext/>
      </w:pPr>
      <w:r>
        <w:t>附录B：交接依据文件</w:t>
      </w:r>
    </w:p>
    <w:p>
      <w:pPr>
        <w:pStyle w:val="BodyText"/>
        <w:spacing w:after="60" w:before="0"/>
        <w:ind w:firstLine="0"/>
        <w:jc w:val="both"/>
      </w:pPr>
      <w:r>
        <w:rPr>
          <w:rFonts w:ascii="Arial" w:hAnsi="Arial" w:eastAsia="Noto Sans CJK SC"/>
          <w:b w:val="0"/>
          <w:sz w:val="21"/>
        </w:rPr>
        <w:t>本交接书主要依据以下项目文件重建。新对话若发现同名重复版本，应根据文件内部版本号、生成时间、QC状态和本交接书规定的优先级进行去重。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483"/>
            <w:shd w:fill="0F5B6B"/>
            <w:tcMar>
              <w:top w:w="70" w:type="dxa"/>
              <w:start w:w="60" w:type="dxa"/>
              <w:bottom w:w="7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文件/文献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现有主结果</w:t>
            </w:r>
          </w:p>
        </w:tc>
        <w:tc>
          <w:tcPr>
            <w:tcW w:type="dxa" w:w="748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ALLdis_13病种D1_D10及正式PSA结果部分完整展示稿_v1.5.docx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正式PSA</w:t>
            </w:r>
          </w:p>
        </w:tc>
        <w:tc>
          <w:tcPr>
            <w:tcW w:type="dxa" w:w="748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ALLdis_正式10000次PSA结果汇总_v1.4.xlsx；ALLdis_正式10000次PSA结果分析报告_v1.4.md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迁移与父模型审计</w:t>
            </w:r>
          </w:p>
        </w:tc>
        <w:tc>
          <w:tcPr>
            <w:tcW w:type="dxa" w:w="748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ALLdis_CVDv16与政策成本迁移审计_v1.1.xlsx；ALLdis_迁移审计与方法路径封定_v1.0.xlsx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父数据库结果</w:t>
            </w:r>
          </w:p>
        </w:tc>
        <w:tc>
          <w:tcPr>
            <w:tcW w:type="dxa" w:w="748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ALLdis_父数据库第一阶段D1_D10结果_v1.1.xlsx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Lancet正文</w:t>
            </w:r>
          </w:p>
        </w:tc>
        <w:tc>
          <w:tcPr>
            <w:tcW w:type="dxa" w:w="748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Santos AC, et al. The cost of inaction on physical inactivity to public health-care systems. Lancet Global Health, 2023;11:e32—e39.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Lancet补充材料</w:t>
            </w:r>
          </w:p>
        </w:tc>
        <w:tc>
          <w:tcPr>
            <w:tcW w:type="dxa" w:w="748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  <w:shd w:fill="F3F7F8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mmc1.pdf：概念框架、方法步骤、RR、国家PAF、病例、费用与敏感性表。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CJK SC"/>
                <w:b w:val="0"/>
                <w:sz w:val="18"/>
              </w:rPr>
              <w:t>RAND报告</w:t>
            </w:r>
          </w:p>
        </w:tc>
        <w:tc>
          <w:tcPr>
            <w:tcW w:type="dxa" w:w="7483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 w:val="0"/>
                <w:sz w:val="18"/>
              </w:rPr>
              <w:t>Hafner M, et al. The economic benefits of a more physically active population. RAND Europe, 2019.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3"/>
      <w:footerReference w:type="default" r:id="rId14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1D5DB"/>
      </w:pBdr>
    </w:pPr>
    <w:r>
      <w:rPr>
        <w:rFonts w:ascii="Arial" w:hAnsi="Arial" w:eastAsia="Noto Sans CJK SC"/>
        <w:b w:val="0"/>
        <w:color w:val="6B7280"/>
        <w:sz w:val="17"/>
      </w:rPr>
      <w:t>身体活动13病种综合政策成本效果研究｜对标阶段交接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1D5DB"/>
      </w:pBdr>
    </w:pPr>
    <w:r>
      <w:rPr>
        <w:rFonts w:ascii="Arial" w:hAnsi="Arial" w:eastAsia="Noto Sans CJK SC"/>
        <w:b w:val="0"/>
        <w:color w:val="6B7280"/>
        <w:sz w:val="17"/>
      </w:rPr>
      <w:t>身体活动13病种综合政策成本效果研究｜对标差距矩阵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1D5DB"/>
      </w:pBdr>
    </w:pPr>
    <w:r>
      <w:rPr>
        <w:rFonts w:ascii="Arial" w:hAnsi="Arial" w:eastAsia="Noto Sans CJK SC"/>
        <w:b w:val="0"/>
        <w:color w:val="6B7280"/>
        <w:sz w:val="17"/>
      </w:rPr>
      <w:t>身体活动13病种综合政策成本效果研究｜对标阶段交接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F5B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43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D5D6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43D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4B66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Arial" w:hAnsi="Arial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rial" w:hAnsi="Arial" w:eastAsia="Noto Sans CJK SC"/>
      <w:color w:val="5B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身体活动13病种：Lancet与RAND对标工作交接书</dc:title>
  <dc:subject>项目交接、对标差距分析与新对话提示词</dc:subject>
  <dc:creator/>
  <cp:keywords/>
  <dc:description>基于项目对话上下文与现有封库结果文件重建。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