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Times New Roman" w:hAnsi="Times New Roman" w:eastAsia="黑体"/>
          <w:b/>
          <w:color w:val="000000"/>
          <w:sz w:val="40"/>
        </w:rPr>
        <w:t>中国20岁及以上成年人身体活动不足</w:t>
        <w:br/>
        <w:t>综合政策成本效果研究</w:t>
      </w:r>
    </w:p>
    <w:p>
      <w:pPr>
        <w:spacing w:after="320"/>
        <w:jc w:val="center"/>
      </w:pPr>
      <w:r>
        <w:rPr>
          <w:rFonts w:ascii="Times New Roman" w:hAnsi="Times New Roman" w:eastAsia="黑体"/>
          <w:b/>
          <w:color w:val="000000"/>
          <w:sz w:val="32"/>
        </w:rPr>
        <w:t>结果部分完整展示稿</w:t>
      </w:r>
    </w:p>
    <w:p>
      <w:pPr>
        <w:spacing w:after="480"/>
        <w:jc w:val="center"/>
      </w:pPr>
      <w:r>
        <w:rPr>
          <w:rFonts w:ascii="Times New Roman" w:hAnsi="Times New Roman" w:eastAsia="宋体"/>
          <w:color w:val="555555"/>
          <w:sz w:val="22"/>
        </w:rPr>
        <w:t>D1—D10确定性分析与正式10,000次概率敏感性分析（v1.5）</w:t>
      </w:r>
    </w:p>
    <w:tbl>
      <w:tblPr>
        <w:tblW w:type="dxa" w:w="9071"/>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9071"/>
      </w:tblGrid>
      <w:tr>
        <w:trPr>
          <w:tblHeader w:val="true"/>
        </w:trPr>
        <w:tc>
          <w:tcPr>
            <w:tcW w:type="dxa" w:w="9071"/>
            <w:tcMar>
              <w:top w:w="120" w:type="dxa"/>
              <w:start w:w="160" w:type="dxa"/>
              <w:bottom w:w="120" w:type="dxa"/>
              <w:end w:w="160" w:type="dxa"/>
            </w:tcMar>
            <w:shd w:fill="F5F5F5"/>
          </w:tcPr>
          <w:p>
            <w:pPr>
              <w:spacing w:after="60"/>
            </w:pPr>
            <w:r/>
            <w:r>
              <w:rPr>
                <w:rFonts w:ascii="Times New Roman" w:hAnsi="Times New Roman" w:eastAsia="黑体"/>
                <w:b/>
                <w:color w:val="000000"/>
                <w:sz w:val="21"/>
              </w:rPr>
              <w:t>结果解释边界</w:t>
            </w:r>
          </w:p>
          <w:p>
            <w:pPr>
              <w:spacing w:after="0" w:line="288" w:lineRule="auto"/>
            </w:pPr>
            <w:r>
              <w:rPr>
                <w:rFonts w:ascii="Times New Roman" w:hAnsi="Times New Roman" w:eastAsia="宋体"/>
                <w:color w:val="000000"/>
                <w:sz w:val="21"/>
              </w:rPr>
              <w:t>2025—2029年和2025—2034年为正式主分析评价期；2025—2050年为D9长期结构敏感性。主分析采用政策实施成本视角。公共支付方结果仅覆盖D4已有首年直接医疗费用参数的部分疾病，且D5使用全国支付比例桥接值，不能解释为完整13病种医保净节约。</w:t>
            </w:r>
          </w:p>
        </w:tc>
      </w:tr>
    </w:tbl>
    <w:p>
      <w:pPr>
        <w:spacing w:after="0"/>
      </w:pPr>
    </w:p>
    <w:p>
      <w:pPr>
        <w:pStyle w:val="Heading1"/>
        <w:keepNext/>
      </w:pPr>
      <w:r>
        <w:rPr>
          <w:rFonts w:ascii="Times New Roman" w:hAnsi="Times New Roman" w:eastAsia="黑体"/>
          <w:b/>
          <w:color w:val="000000"/>
          <w:sz w:val="32"/>
        </w:rPr>
        <w:t>3  结果</w:t>
      </w:r>
    </w:p>
    <w:p>
      <w:pPr>
        <w:pStyle w:val="Heading2"/>
        <w:keepNext/>
      </w:pPr>
      <w:r>
        <w:rPr>
          <w:rFonts w:ascii="Times New Roman" w:hAnsi="Times New Roman" w:eastAsia="黑体"/>
          <w:b/>
          <w:color w:val="000000"/>
          <w:sz w:val="28"/>
        </w:rPr>
        <w:t>3.1  数据接入、模型运行与质量控制</w:t>
      </w:r>
    </w:p>
    <w:p>
      <w:pPr>
        <w:keepLines w:val="0"/>
      </w:pPr>
      <w:r>
        <w:rPr>
          <w:rFonts w:ascii="Times New Roman" w:hAnsi="Times New Roman" w:eastAsia="宋体"/>
          <w:color w:val="000000"/>
          <w:sz w:val="24"/>
        </w:rPr>
        <w:t>2010—2017年GBD 2023数据共包含19,328条原始记录。与父数据库中2018—2023年数据拼接后，形成连续的2010—2023年年龄—性别—病种序列，并据此更新疾病率趋势。新增数据接入13项质量控制全部通过，D1—D10确定性分析17项质量控制全部通过。</w:t>
      </w:r>
    </w:p>
    <w:p>
      <w:pPr>
        <w:keepLines w:val="0"/>
      </w:pPr>
      <w:r>
        <w:rPr>
          <w:rFonts w:ascii="Times New Roman" w:hAnsi="Times New Roman" w:eastAsia="宋体"/>
          <w:color w:val="000000"/>
          <w:sz w:val="24"/>
        </w:rPr>
        <w:t>正式概率敏感性分析（probabilistic sensitivity analysis，PSA）采用20批×500次联合抽样，共完成10,000个全局唯一draw，生成240,000条成本效果记录。原运行20/20项检查和独立复算35/35项检查均通过；关键阈值下成本效果可接受曲线（cost-effectiveness acceptability curve，CEAC）与成本效果可接受前沿（cost-effectiveness acceptability frontier，CEAF）概率与原运行完全一致，最大期望净货币收益差异仅0.018元。</w:t>
      </w:r>
    </w:p>
    <w:p>
      <w:pPr>
        <w:pStyle w:val="Caption"/>
        <w:keepNext/>
        <w:jc w:val="center"/>
      </w:pPr>
      <w:r>
        <w:rPr>
          <w:rFonts w:ascii="Times New Roman" w:hAnsi="Times New Roman" w:eastAsia="黑体"/>
          <w:b/>
          <w:color w:val="000000"/>
          <w:sz w:val="21"/>
        </w:rPr>
        <w:t>表1  数据、模型与正式PSA质量控制概况</w:t>
      </w:r>
    </w:p>
    <w:tbl>
      <w:tblPr>
        <w:tblW w:type="dxa" w:w="9071"/>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2381"/>
        <w:gridCol w:w="1247"/>
        <w:gridCol w:w="1134"/>
        <w:gridCol w:w="4309"/>
      </w:tblGrid>
      <w:tr>
        <w:trPr>
          <w:trBorders>
            <w:bottom w:val="single" w:sz="8" w:color="000000"/>
          </w:trBorders>
          <w:tblHeader w:val="true"/>
        </w:trPr>
        <w:tc>
          <w:tcPr>
            <w:tcW w:type="dxa" w:w="238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8"/>
              </w:rPr>
              <w:t>审核层级</w:t>
            </w:r>
          </w:p>
        </w:tc>
        <w:tc>
          <w:tcPr>
            <w:tcW w:type="dxa" w:w="124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8"/>
              </w:rPr>
              <w:t>通过数</w:t>
            </w:r>
          </w:p>
        </w:tc>
        <w:tc>
          <w:tcPr>
            <w:tcW w:type="dxa" w:w="113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8"/>
              </w:rPr>
              <w:t>结论</w:t>
            </w:r>
          </w:p>
        </w:tc>
        <w:tc>
          <w:tcPr>
            <w:tcW w:type="dxa" w:w="4309"/>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8"/>
              </w:rPr>
              <w:t>关键观测</w:t>
            </w:r>
          </w:p>
        </w:tc>
      </w:tr>
      <w:tr>
        <w:trPr>
          <w:cantSplit/>
        </w:trPr>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GBD新增数据接入</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13/13</w:t>
            </w:r>
          </w:p>
        </w:tc>
        <w:tc>
          <w:tcPr>
            <w:tcW w:type="dxa" w:w="113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通过</w:t>
            </w:r>
          </w:p>
        </w:tc>
        <w:tc>
          <w:tcPr>
            <w:tcW w:type="dxa" w:w="4309"/>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2010—2017年与2018—2023年连续拼接</w:t>
            </w:r>
          </w:p>
        </w:tc>
      </w:tr>
      <w:tr>
        <w:trPr>
          <w:cantSplit/>
        </w:trPr>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D1—D10确定性模型</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17/17</w:t>
            </w:r>
          </w:p>
        </w:tc>
        <w:tc>
          <w:tcPr>
            <w:tcW w:type="dxa" w:w="113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通过</w:t>
            </w:r>
          </w:p>
        </w:tc>
        <w:tc>
          <w:tcPr>
            <w:tcW w:type="dxa" w:w="4309"/>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主趋势采用2010—2023年</w:t>
            </w:r>
          </w:p>
        </w:tc>
      </w:tr>
      <w:tr>
        <w:trPr>
          <w:cantSplit/>
        </w:trPr>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正式PSA原运行</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20/20</w:t>
            </w:r>
          </w:p>
        </w:tc>
        <w:tc>
          <w:tcPr>
            <w:tcW w:type="dxa" w:w="113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通过</w:t>
            </w:r>
          </w:p>
        </w:tc>
        <w:tc>
          <w:tcPr>
            <w:tcW w:type="dxa" w:w="4309"/>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20批×500次；10,000个draw</w:t>
            </w:r>
          </w:p>
        </w:tc>
      </w:tr>
      <w:tr>
        <w:trPr>
          <w:cantSplit/>
        </w:trPr>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独立复算</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35/35</w:t>
            </w:r>
          </w:p>
        </w:tc>
        <w:tc>
          <w:tcPr>
            <w:tcW w:type="dxa" w:w="113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通过</w:t>
            </w:r>
          </w:p>
        </w:tc>
        <w:tc>
          <w:tcPr>
            <w:tcW w:type="dxa" w:w="4309"/>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240,000条成本效果记录</w:t>
            </w:r>
          </w:p>
        </w:tc>
      </w:tr>
      <w:tr>
        <w:trPr>
          <w:cantSplit/>
        </w:trPr>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便携性与批次完整性</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全部</w:t>
            </w:r>
          </w:p>
        </w:tc>
        <w:tc>
          <w:tcPr>
            <w:tcW w:type="dxa" w:w="113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通过</w:t>
            </w:r>
          </w:p>
        </w:tc>
        <w:tc>
          <w:tcPr>
            <w:tcW w:type="dxa" w:w="4309"/>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8"/>
              </w:rPr>
              <w:t>批次范围连续，无重复或缺失draw</w:t>
            </w:r>
          </w:p>
        </w:tc>
      </w:tr>
    </w:tbl>
    <w:p>
      <w:pPr>
        <w:pStyle w:val="TableNote"/>
      </w:pPr>
      <w:r>
        <w:rPr>
          <w:rFonts w:ascii="Times New Roman" w:hAnsi="Times New Roman" w:eastAsia="宋体"/>
          <w:color w:val="555555"/>
          <w:sz w:val="18"/>
        </w:rPr>
        <w:t>注：正式PSA不需要重新运行或增加抽样次数。</w:t>
      </w:r>
    </w:p>
    <w:p>
      <w:pPr>
        <w:pStyle w:val="Caption"/>
        <w:keepNext/>
        <w:jc w:val="center"/>
      </w:pPr>
      <w:r>
        <w:rPr>
          <w:rFonts w:ascii="Times New Roman" w:hAnsi="Times New Roman" w:eastAsia="黑体"/>
          <w:b/>
          <w:color w:val="000000"/>
          <w:sz w:val="21"/>
        </w:rPr>
        <w:t>表2  GBD趋势窗口更新对S6确定性结果的影响</w:t>
      </w:r>
    </w:p>
    <w:tbl>
      <w:tblPr>
        <w:tblW w:type="dxa" w:w="8561"/>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1417"/>
        <w:gridCol w:w="1361"/>
        <w:gridCol w:w="1361"/>
        <w:gridCol w:w="850"/>
        <w:gridCol w:w="1361"/>
        <w:gridCol w:w="1361"/>
        <w:gridCol w:w="850"/>
      </w:tblGrid>
      <w:tr>
        <w:trPr>
          <w:trBorders>
            <w:bottom w:val="single" w:sz="8" w:color="000000"/>
          </w:trBorders>
          <w:tblHeader w:val="true"/>
        </w:trPr>
        <w:tc>
          <w:tcPr>
            <w:tcW w:type="dxa" w:w="141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评价期</w:t>
            </w:r>
          </w:p>
        </w:tc>
        <w:tc>
          <w:tcPr>
            <w:tcW w:type="dxa" w:w="136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2010—2023趋势</w:t>
              <w:br/>
              <w:t>避免DALY（万）</w:t>
            </w:r>
          </w:p>
        </w:tc>
        <w:tc>
          <w:tcPr>
            <w:tcW w:type="dxa" w:w="136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2018—2023趋势</w:t>
              <w:br/>
              <w:t>避免DALY（万）</w:t>
            </w:r>
          </w:p>
        </w:tc>
        <w:tc>
          <w:tcPr>
            <w:tcW w:type="dxa" w:w="85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变化</w:t>
            </w:r>
          </w:p>
        </w:tc>
        <w:tc>
          <w:tcPr>
            <w:tcW w:type="dxa" w:w="136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2010—2023趋势</w:t>
              <w:br/>
              <w:t>避免新发（万）</w:t>
            </w:r>
          </w:p>
        </w:tc>
        <w:tc>
          <w:tcPr>
            <w:tcW w:type="dxa" w:w="136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2018—2023趋势</w:t>
              <w:br/>
              <w:t>避免新发（万）</w:t>
            </w:r>
          </w:p>
        </w:tc>
        <w:tc>
          <w:tcPr>
            <w:tcW w:type="dxa" w:w="85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变化</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2025—2029</w:t>
            </w:r>
          </w:p>
        </w:tc>
        <w:tc>
          <w:tcPr>
            <w:tcW w:type="dxa" w:w="136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120.08</w:t>
            </w:r>
          </w:p>
        </w:tc>
        <w:tc>
          <w:tcPr>
            <w:tcW w:type="dxa" w:w="136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121.82</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-1.43%</w:t>
            </w:r>
          </w:p>
        </w:tc>
        <w:tc>
          <w:tcPr>
            <w:tcW w:type="dxa" w:w="136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100.39</w:t>
            </w:r>
          </w:p>
        </w:tc>
        <w:tc>
          <w:tcPr>
            <w:tcW w:type="dxa" w:w="136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93.76</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7.08%</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2025—2034</w:t>
            </w:r>
          </w:p>
        </w:tc>
        <w:tc>
          <w:tcPr>
            <w:tcW w:type="dxa" w:w="136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761.13</w:t>
            </w:r>
          </w:p>
        </w:tc>
        <w:tc>
          <w:tcPr>
            <w:tcW w:type="dxa" w:w="136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790.95</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-3.77%</w:t>
            </w:r>
          </w:p>
        </w:tc>
        <w:tc>
          <w:tcPr>
            <w:tcW w:type="dxa" w:w="136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473.75</w:t>
            </w:r>
          </w:p>
        </w:tc>
        <w:tc>
          <w:tcPr>
            <w:tcW w:type="dxa" w:w="136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429.25</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10.37%</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2025—2050</w:t>
            </w:r>
          </w:p>
        </w:tc>
        <w:tc>
          <w:tcPr>
            <w:tcW w:type="dxa" w:w="136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4,712.21</w:t>
            </w:r>
          </w:p>
        </w:tc>
        <w:tc>
          <w:tcPr>
            <w:tcW w:type="dxa" w:w="136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4,871.70</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-3.27%</w:t>
            </w:r>
          </w:p>
        </w:tc>
        <w:tc>
          <w:tcPr>
            <w:tcW w:type="dxa" w:w="136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2,368.49</w:t>
            </w:r>
          </w:p>
        </w:tc>
        <w:tc>
          <w:tcPr>
            <w:tcW w:type="dxa" w:w="136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2,087.40</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13.47%</w:t>
            </w:r>
          </w:p>
        </w:tc>
      </w:tr>
    </w:tbl>
    <w:p>
      <w:pPr>
        <w:pStyle w:val="TableNote"/>
      </w:pPr>
      <w:r>
        <w:rPr>
          <w:rFonts w:ascii="Times New Roman" w:hAnsi="Times New Roman" w:eastAsia="宋体"/>
          <w:color w:val="555555"/>
          <w:sz w:val="18"/>
        </w:rPr>
        <w:t>注：2025—2050年仍为长期结构敏感性。</w:t>
      </w:r>
    </w:p>
    <w:p>
      <w:pPr>
        <w:sectPr>
          <w:headerReference w:type="default" r:id="rId9"/>
          <w:footerReference w:type="default" r:id="rId10"/>
          <w:pgSz w:w="11906" w:h="16838"/>
          <w:pgMar w:top="1304" w:right="1361" w:bottom="1304" w:left="1361" w:header="624" w:footer="624" w:gutter="0"/>
          <w:cols w:space="720"/>
          <w:docGrid w:linePitch="360"/>
        </w:sectPr>
      </w:pPr>
    </w:p>
    <w:p>
      <w:pPr>
        <w:pStyle w:val="Heading2"/>
        <w:keepNext/>
      </w:pPr>
      <w:r>
        <w:rPr>
          <w:rFonts w:ascii="Times New Roman" w:hAnsi="Times New Roman" w:eastAsia="黑体"/>
          <w:b/>
          <w:color w:val="000000"/>
          <w:sz w:val="28"/>
        </w:rPr>
        <w:t>3.2  确定性健康收益、疾病事件与政策成本</w:t>
      </w:r>
    </w:p>
    <w:p>
      <w:pPr>
        <w:keepLines w:val="0"/>
      </w:pPr>
      <w:r>
        <w:rPr>
          <w:rFonts w:ascii="Times New Roman" w:hAnsi="Times New Roman" w:eastAsia="宋体"/>
          <w:color w:val="000000"/>
          <w:sz w:val="24"/>
        </w:rPr>
        <w:t>在2010—2023年疾病率主趋势下，各政策情景均较动态基线产生健康收益。综合政策S6在5年、10年和2025—2050年分别避免120.08万、761.13万和4,712.21万未贴现DALY，避免5.29万、35.85万和245.90万例死亡，并避免100.39万、473.75万和2,368.49万新发病例。S7达到国家目标阈值时健康收益最大，但缺少可对应的政策成本，未进入成本效果前沿。</w:t>
      </w:r>
    </w:p>
    <w:p>
      <w:pPr>
        <w:pStyle w:val="Caption"/>
        <w:keepNext/>
        <w:jc w:val="center"/>
      </w:pPr>
      <w:r>
        <w:rPr>
          <w:rFonts w:ascii="Times New Roman" w:hAnsi="Times New Roman" w:eastAsia="黑体"/>
          <w:b/>
          <w:color w:val="000000"/>
          <w:sz w:val="21"/>
        </w:rPr>
        <w:t>表3  2025—2029各策略确定性结果</w:t>
      </w:r>
    </w:p>
    <w:tbl>
      <w:tblPr>
        <w:tblW w:type="dxa" w:w="14740"/>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850"/>
        <w:gridCol w:w="1304"/>
        <w:gridCol w:w="1587"/>
        <w:gridCol w:w="1587"/>
        <w:gridCol w:w="1474"/>
        <w:gridCol w:w="1474"/>
        <w:gridCol w:w="1587"/>
        <w:gridCol w:w="1644"/>
        <w:gridCol w:w="1531"/>
        <w:gridCol w:w="1701"/>
      </w:tblGrid>
      <w:tr>
        <w:trPr>
          <w:trBorders>
            <w:bottom w:val="single" w:sz="8" w:color="000000"/>
          </w:trBorders>
          <w:tblHeader w:val="true"/>
        </w:trPr>
        <w:tc>
          <w:tcPr>
            <w:tcW w:type="dxa" w:w="85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策略</w:t>
            </w:r>
          </w:p>
        </w:tc>
        <w:tc>
          <w:tcPr>
            <w:tcW w:type="dxa" w:w="130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政策</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未贴现避免</w:t>
              <w:br/>
              <w:t>DALY（万）</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贴现避免</w:t>
              <w:br/>
              <w:t>DALY（万）</w:t>
            </w:r>
          </w:p>
        </w:tc>
        <w:tc>
          <w:tcPr>
            <w:tcW w:type="dxa" w:w="147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未贴现避免</w:t>
              <w:br/>
              <w:t>死亡（万）</w:t>
            </w:r>
          </w:p>
        </w:tc>
        <w:tc>
          <w:tcPr>
            <w:tcW w:type="dxa" w:w="147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避免新发</w:t>
              <w:br/>
              <w:t>（万）</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避免患病</w:t>
              <w:br/>
              <w:t>患者年（万）</w:t>
            </w:r>
          </w:p>
        </w:tc>
        <w:tc>
          <w:tcPr>
            <w:tcW w:type="dxa" w:w="164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避免高血压</w:t>
              <w:br/>
              <w:t>患者年（万）</w:t>
            </w:r>
          </w:p>
        </w:tc>
        <w:tc>
          <w:tcPr>
            <w:tcW w:type="dxa" w:w="153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贴现政策成本</w:t>
              <w:br/>
              <w:t>（亿元）</w:t>
            </w:r>
          </w:p>
        </w:tc>
        <w:tc>
          <w:tcPr>
            <w:tcW w:type="dxa" w:w="170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相对S0平均</w:t>
              <w:br/>
              <w:t>成本/DALY（元）</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S0</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动态基线</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S1</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健康宣教</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21.44</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19.48</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0.94</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17.93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57.30</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29.34</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8.37</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4,299</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S2</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社区健身</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64.33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58.44</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2.83</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53.78</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171.90</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88.03</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46.70</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7,991</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S3</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公共健身设施</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52.53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47.72</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2.32</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43.92</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140.39</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71.89</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88.98</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18,646</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S4</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体卫融合</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107.21</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97.39</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4.72</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89.63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286.51</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146.71</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16.15</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1,659</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S5</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智慧健身</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51.46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46.75</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2.27</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43.02</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137.52</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70.42</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8.66</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1,852</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S6</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综合政策</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120.08</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109.08</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5.29</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100.39</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320.89</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164.32</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164.84</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15,112</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S7</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目标阈值</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321.63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292.18</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14.17</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268.90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859.52</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440.13</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r>
    </w:tbl>
    <w:p>
      <w:pPr>
        <w:pStyle w:val="TableNote"/>
      </w:pPr>
      <w:r>
        <w:rPr>
          <w:rFonts w:ascii="Times New Roman" w:hAnsi="Times New Roman" w:eastAsia="宋体"/>
          <w:color w:val="555555"/>
          <w:sz w:val="18"/>
        </w:rPr>
        <w:t>注：DALY为伤残调整寿命年；健康事件和患者年为未贴现累计值，成本与成本效果计算使用3%贴现。S7无成本，故经济学指标不计算。</w:t>
      </w:r>
    </w:p>
    <w:p>
      <w:pPr>
        <w:pStyle w:val="Caption"/>
        <w:keepNext/>
        <w:jc w:val="center"/>
      </w:pPr>
      <w:r>
        <w:rPr>
          <w:rFonts w:ascii="Times New Roman" w:hAnsi="Times New Roman" w:eastAsia="黑体"/>
          <w:b/>
          <w:color w:val="000000"/>
          <w:sz w:val="21"/>
        </w:rPr>
        <w:t>表4  2025—2034各策略确定性结果</w:t>
      </w:r>
    </w:p>
    <w:tbl>
      <w:tblPr>
        <w:tblW w:type="dxa" w:w="14740"/>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850"/>
        <w:gridCol w:w="1304"/>
        <w:gridCol w:w="1587"/>
        <w:gridCol w:w="1587"/>
        <w:gridCol w:w="1474"/>
        <w:gridCol w:w="1474"/>
        <w:gridCol w:w="1587"/>
        <w:gridCol w:w="1644"/>
        <w:gridCol w:w="1531"/>
        <w:gridCol w:w="1701"/>
      </w:tblGrid>
      <w:tr>
        <w:trPr>
          <w:trBorders>
            <w:bottom w:val="single" w:sz="8" w:color="000000"/>
          </w:trBorders>
          <w:tblHeader w:val="true"/>
        </w:trPr>
        <w:tc>
          <w:tcPr>
            <w:tcW w:type="dxa" w:w="85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策略</w:t>
            </w:r>
          </w:p>
        </w:tc>
        <w:tc>
          <w:tcPr>
            <w:tcW w:type="dxa" w:w="130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政策</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未贴现避免</w:t>
              <w:br/>
              <w:t>DALY（万）</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贴现避免</w:t>
              <w:br/>
              <w:t>DALY（万）</w:t>
            </w:r>
          </w:p>
        </w:tc>
        <w:tc>
          <w:tcPr>
            <w:tcW w:type="dxa" w:w="147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未贴现避免</w:t>
              <w:br/>
              <w:t>死亡（万）</w:t>
            </w:r>
          </w:p>
        </w:tc>
        <w:tc>
          <w:tcPr>
            <w:tcW w:type="dxa" w:w="147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避免新发</w:t>
              <w:br/>
              <w:t>（万）</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避免患病</w:t>
              <w:br/>
              <w:t>患者年（万）</w:t>
            </w:r>
          </w:p>
        </w:tc>
        <w:tc>
          <w:tcPr>
            <w:tcW w:type="dxa" w:w="164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避免高血压</w:t>
              <w:br/>
              <w:t>患者年（万）</w:t>
            </w:r>
          </w:p>
        </w:tc>
        <w:tc>
          <w:tcPr>
            <w:tcW w:type="dxa" w:w="153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贴现政策成本</w:t>
              <w:br/>
              <w:t>（亿元）</w:t>
            </w:r>
          </w:p>
        </w:tc>
        <w:tc>
          <w:tcPr>
            <w:tcW w:type="dxa" w:w="170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相对S0平均</w:t>
              <w:br/>
              <w:t>成本/DALY（元）</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S0</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动态基线</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S1</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健康宣教</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96.33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80.17</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4.50</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61.90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233.07</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94.46</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15.25</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1,902</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S2</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社区健身</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289.00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240.50</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13.50</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185.71</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699.20</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283.38</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115.25</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4,792</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S3</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公共健身设施</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333.00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273.24</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15.68</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207.26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795.20</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312.43</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91.85</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3,361</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S4</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体卫融合</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481.66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400.84</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22.51</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309.51</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1,165.33</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472.29</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34.82</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869</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S5</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智慧健身</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231.20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192.40</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10.80</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148.57</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559.36</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226.70</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14.75</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767</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S6</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综合政策</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761.13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624.56</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35.85</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473.75</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1,817.61</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714.12</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4,157</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S7</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目标阈值</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1,444.98</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1,202.51</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67.52</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928.53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3,496.00</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1,416.88</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r>
    </w:tbl>
    <w:p>
      <w:pPr>
        <w:pStyle w:val="TableNote"/>
      </w:pPr>
      <w:r>
        <w:rPr>
          <w:rFonts w:ascii="Times New Roman" w:hAnsi="Times New Roman" w:eastAsia="宋体"/>
          <w:color w:val="555555"/>
          <w:sz w:val="18"/>
        </w:rPr>
        <w:t>注：DALY为伤残调整寿命年；健康事件和患者年为未贴现累计值，成本与成本效果计算使用3%贴现。S7无成本，故经济学指标不计算。</w:t>
      </w:r>
    </w:p>
    <w:p>
      <w:pPr>
        <w:pStyle w:val="Caption"/>
        <w:keepNext/>
        <w:jc w:val="center"/>
      </w:pPr>
      <w:r>
        <w:rPr>
          <w:rFonts w:ascii="Times New Roman" w:hAnsi="Times New Roman" w:eastAsia="黑体"/>
          <w:b/>
          <w:color w:val="000000"/>
          <w:sz w:val="21"/>
        </w:rPr>
        <w:t>表5  2025—2050（长期结构敏感性）各策略确定性结果</w:t>
      </w:r>
    </w:p>
    <w:tbl>
      <w:tblPr>
        <w:tblW w:type="dxa" w:w="14740"/>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850"/>
        <w:gridCol w:w="1304"/>
        <w:gridCol w:w="1587"/>
        <w:gridCol w:w="1587"/>
        <w:gridCol w:w="1474"/>
        <w:gridCol w:w="1474"/>
        <w:gridCol w:w="1587"/>
        <w:gridCol w:w="1644"/>
        <w:gridCol w:w="1531"/>
        <w:gridCol w:w="1701"/>
      </w:tblGrid>
      <w:tr>
        <w:trPr>
          <w:trBorders>
            <w:bottom w:val="single" w:sz="8" w:color="000000"/>
          </w:trBorders>
          <w:tblHeader w:val="true"/>
        </w:trPr>
        <w:tc>
          <w:tcPr>
            <w:tcW w:type="dxa" w:w="85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策略</w:t>
            </w:r>
          </w:p>
        </w:tc>
        <w:tc>
          <w:tcPr>
            <w:tcW w:type="dxa" w:w="130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政策</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未贴现避免</w:t>
              <w:br/>
              <w:t>DALY（万）</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贴现避免</w:t>
              <w:br/>
              <w:t>DALY（万）</w:t>
            </w:r>
          </w:p>
        </w:tc>
        <w:tc>
          <w:tcPr>
            <w:tcW w:type="dxa" w:w="147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未贴现避免</w:t>
              <w:br/>
              <w:t>死亡（万）</w:t>
            </w:r>
          </w:p>
        </w:tc>
        <w:tc>
          <w:tcPr>
            <w:tcW w:type="dxa" w:w="147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避免新发</w:t>
              <w:br/>
              <w:t>（万）</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避免患病</w:t>
              <w:br/>
              <w:t>患者年（万）</w:t>
            </w:r>
          </w:p>
        </w:tc>
        <w:tc>
          <w:tcPr>
            <w:tcW w:type="dxa" w:w="164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避免高血压</w:t>
              <w:br/>
              <w:t>患者年（万）</w:t>
            </w:r>
          </w:p>
        </w:tc>
        <w:tc>
          <w:tcPr>
            <w:tcW w:type="dxa" w:w="153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贴现政策成本</w:t>
              <w:br/>
              <w:t>（亿元）</w:t>
            </w:r>
          </w:p>
        </w:tc>
        <w:tc>
          <w:tcPr>
            <w:tcW w:type="dxa" w:w="170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相对S0平均</w:t>
              <w:br/>
              <w:t>成本/DALY（元）</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S0</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动态基线</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S1</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健康宣教</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467.67</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300.69</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24.24</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239.98</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1,027.28</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327.61</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31.52</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1,048</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S2</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社区健身</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1,403.02</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902.06</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72.73</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719.94</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3,081.85</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982.82</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277.45</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3,076</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S3</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公共健身设施</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2,061.59</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1,299.77</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107.58</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1,036.21</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4,492.28</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1,397.74</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98.63</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759</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S4</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体卫融合</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2,338.37</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1,503.44</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121.22</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1,199.90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5,136.42</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1,638.04</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78.97</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525</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S5</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智慧健身</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1,122.42</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721.65</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58.18</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575.95</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2,465.48</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786.26</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29.16</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404</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S6</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综合政策</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4,712.21</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2,970.90</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245.90</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2,368.49</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10,268.07</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3,194.83</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483.88</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1,629</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S7</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目标阈值</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7,015.11</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4,510.31</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363.65</w:t>
            </w:r>
          </w:p>
        </w:tc>
        <w:tc>
          <w:tcPr>
            <w:tcW w:type="dxa" w:w="147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3,599.69</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15,409.25</w:t>
            </w:r>
          </w:p>
        </w:tc>
        <w:tc>
          <w:tcPr>
            <w:tcW w:type="dxa" w:w="164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4,914.12</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r>
    </w:tbl>
    <w:p>
      <w:pPr>
        <w:pStyle w:val="TableNote"/>
      </w:pPr>
      <w:r>
        <w:rPr>
          <w:rFonts w:ascii="Times New Roman" w:hAnsi="Times New Roman" w:eastAsia="宋体"/>
          <w:color w:val="555555"/>
          <w:sz w:val="18"/>
        </w:rPr>
        <w:t>注：DALY为伤残调整寿命年；健康事件和患者年为未贴现累计值，成本与成本效果计算使用3%贴现。S7无成本，故经济学指标不计算。</w:t>
      </w:r>
    </w:p>
    <w:p>
      <w:pPr>
        <w:keepLines w:val="0"/>
      </w:pPr>
      <w:r>
        <w:rPr>
          <w:rFonts w:ascii="Times New Roman" w:hAnsi="Times New Roman" w:eastAsia="宋体"/>
          <w:color w:val="000000"/>
          <w:sz w:val="24"/>
        </w:rPr>
        <w:t>在所有可计价政策中，S6在三个评价期内均获得最多健康收益；但相对S0的平均成本/DALY不能替代前沿增量比较。5年期S4的贴现避免DALY为97.39万，S6仅在其基础上增加11.69万贴现DALY，而政策成本增加148.69亿元，因此短期策略排序对支付意愿水平较为敏感。10年期S6相对S4增加223.72万贴现DALY，增量优势明显扩大。</w:t>
      </w:r>
    </w:p>
    <w:p>
      <w:pPr>
        <w:pStyle w:val="Heading2"/>
        <w:keepNext/>
      </w:pPr>
      <w:r>
        <w:rPr>
          <w:rFonts w:ascii="Times New Roman" w:hAnsi="Times New Roman" w:eastAsia="黑体"/>
          <w:b/>
          <w:color w:val="000000"/>
          <w:sz w:val="28"/>
        </w:rPr>
        <w:t>3.3  正式10,000次PSA的策略结果</w:t>
      </w:r>
    </w:p>
    <w:p>
      <w:pPr>
        <w:keepLines w:val="0"/>
      </w:pPr>
      <w:r>
        <w:rPr>
          <w:rFonts w:ascii="Times New Roman" w:hAnsi="Times New Roman" w:eastAsia="宋体"/>
          <w:color w:val="000000"/>
          <w:sz w:val="24"/>
        </w:rPr>
        <w:t>不确定区间取10,000次抽样结果的第2.5和第97.5百分位数。S6在5年、10年和26年评价期的平均贴现避免DALY分别为107.76万、614.71万和3,041.16万；相应平均贴现政策成本为164.38亿元、258.90亿元和482.53亿元。PSA均值与确定性结果衔接良好，未观察到系统性漂移。</w:t>
      </w:r>
    </w:p>
    <w:p>
      <w:pPr>
        <w:pStyle w:val="Caption"/>
        <w:keepNext/>
        <w:jc w:val="center"/>
      </w:pPr>
      <w:r>
        <w:rPr>
          <w:rFonts w:ascii="Times New Roman" w:hAnsi="Times New Roman" w:eastAsia="黑体"/>
          <w:b/>
          <w:color w:val="000000"/>
          <w:sz w:val="21"/>
        </w:rPr>
        <w:t>表6  2025—2029各策略概率性结果</w:t>
      </w:r>
    </w:p>
    <w:tbl>
      <w:tblPr>
        <w:tblW w:type="dxa" w:w="15874"/>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850"/>
        <w:gridCol w:w="1304"/>
        <w:gridCol w:w="3005"/>
        <w:gridCol w:w="2835"/>
        <w:gridCol w:w="2948"/>
        <w:gridCol w:w="3005"/>
        <w:gridCol w:w="1928"/>
      </w:tblGrid>
      <w:tr>
        <w:trPr>
          <w:trBorders>
            <w:bottom w:val="single" w:sz="8" w:color="000000"/>
          </w:trBorders>
          <w:tblHeader w:val="true"/>
        </w:trPr>
        <w:tc>
          <w:tcPr>
            <w:tcW w:type="dxa" w:w="85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策略</w:t>
            </w:r>
          </w:p>
        </w:tc>
        <w:tc>
          <w:tcPr>
            <w:tcW w:type="dxa" w:w="130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政策</w:t>
            </w:r>
          </w:p>
        </w:tc>
        <w:tc>
          <w:tcPr>
            <w:tcW w:type="dxa" w:w="3005"/>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贴现避免DALY</w:t>
              <w:br/>
              <w:t>均值（95% UI），万</w:t>
            </w:r>
          </w:p>
        </w:tc>
        <w:tc>
          <w:tcPr>
            <w:tcW w:type="dxa" w:w="2835"/>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贴现避免死亡</w:t>
              <w:br/>
              <w:t>均值（95% UI），万</w:t>
            </w:r>
          </w:p>
        </w:tc>
        <w:tc>
          <w:tcPr>
            <w:tcW w:type="dxa" w:w="294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避免新发病例</w:t>
              <w:br/>
              <w:t>均值（95% UI），万</w:t>
            </w:r>
          </w:p>
        </w:tc>
        <w:tc>
          <w:tcPr>
            <w:tcW w:type="dxa" w:w="3005"/>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贴现政策成本</w:t>
              <w:br/>
              <w:t>均值（95% UI），亿元</w:t>
            </w:r>
          </w:p>
        </w:tc>
        <w:tc>
          <w:tcPr>
            <w:tcW w:type="dxa" w:w="192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平均成本/DALY</w:t>
              <w:br/>
              <w:t>（元）</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S1</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健康宣教</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19.17（5.09～42.02）</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0.85（0.22～1.87）</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17.27（1.37～47.26）</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8.37（4.10～15.44）</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4,366</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S2</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社区健身</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57.73（26.47～101.32）</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2.55（1.19～4.48）</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52.06（5.10～120.13）</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46.96（31.33～68.04）</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8,135</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S3</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公共健身设施</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47.13（23.93～79.07）</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2.08（1.05～3.46）</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42.40（4.34～93.78）</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89.06（47.86～152.24）</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18,898</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S4</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体卫融合</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96.06（54.97～149.56）</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4.24（2.44～6.61）</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86.43（9.29～183.35）</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16.21（8.72～27.51）</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1,688</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S5</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智慧健身</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46.44（19.06～85.78）</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2.05（0.85～3.75）</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41.74（3.98～98.02）</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8.69（3.74～17.07）</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1,871</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S6</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综合政策</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107.76（65.87～160.66）</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4.75（2.90～7.06）</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97.10（10.65～203.70）</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164.38（88.76～279.89）</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15,255</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S7</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目标阈值</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288.67（228.74～349.84）</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12.73（10.22～15.40）</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259.96（28.90～481.43）</w:t>
            </w:r>
          </w:p>
        </w:tc>
        <w:tc>
          <w:tcPr>
            <w:tcW w:type="dxa" w:w="3005"/>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928"/>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r>
    </w:tbl>
    <w:p>
      <w:pPr>
        <w:pStyle w:val="TableNote"/>
      </w:pPr>
      <w:r>
        <w:rPr>
          <w:rFonts w:ascii="Times New Roman" w:hAnsi="Times New Roman" w:eastAsia="宋体"/>
          <w:color w:val="555555"/>
          <w:sz w:val="18"/>
        </w:rPr>
        <w:t>注：UI为不确定性区间。S7仅报告健康结果，不参与成本效果比较。平均成本/DALY为均值成本除以均值贴现DALY。</w:t>
      </w:r>
    </w:p>
    <w:p>
      <w:pPr>
        <w:pStyle w:val="Caption"/>
        <w:keepNext/>
        <w:jc w:val="center"/>
      </w:pPr>
      <w:r>
        <w:rPr>
          <w:rFonts w:ascii="Times New Roman" w:hAnsi="Times New Roman" w:eastAsia="黑体"/>
          <w:b/>
          <w:color w:val="000000"/>
          <w:sz w:val="21"/>
        </w:rPr>
        <w:t>表7  2025—2034各策略概率性结果</w:t>
      </w:r>
    </w:p>
    <w:tbl>
      <w:tblPr>
        <w:tblW w:type="dxa" w:w="15874"/>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850"/>
        <w:gridCol w:w="1304"/>
        <w:gridCol w:w="3005"/>
        <w:gridCol w:w="2835"/>
        <w:gridCol w:w="2948"/>
        <w:gridCol w:w="3005"/>
        <w:gridCol w:w="1928"/>
      </w:tblGrid>
      <w:tr>
        <w:trPr>
          <w:trBorders>
            <w:bottom w:val="single" w:sz="8" w:color="000000"/>
          </w:trBorders>
          <w:tblHeader w:val="true"/>
        </w:trPr>
        <w:tc>
          <w:tcPr>
            <w:tcW w:type="dxa" w:w="85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策略</w:t>
            </w:r>
          </w:p>
        </w:tc>
        <w:tc>
          <w:tcPr>
            <w:tcW w:type="dxa" w:w="130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政策</w:t>
            </w:r>
          </w:p>
        </w:tc>
        <w:tc>
          <w:tcPr>
            <w:tcW w:type="dxa" w:w="3005"/>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贴现避免DALY</w:t>
              <w:br/>
              <w:t>均值（95% UI），万</w:t>
            </w:r>
          </w:p>
        </w:tc>
        <w:tc>
          <w:tcPr>
            <w:tcW w:type="dxa" w:w="2835"/>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贴现避免死亡</w:t>
              <w:br/>
              <w:t>均值（95% UI），万</w:t>
            </w:r>
          </w:p>
        </w:tc>
        <w:tc>
          <w:tcPr>
            <w:tcW w:type="dxa" w:w="294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避免新发病例</w:t>
              <w:br/>
              <w:t>均值（95% UI），万</w:t>
            </w:r>
          </w:p>
        </w:tc>
        <w:tc>
          <w:tcPr>
            <w:tcW w:type="dxa" w:w="3005"/>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贴现政策成本</w:t>
              <w:br/>
              <w:t>均值（95% UI），亿元</w:t>
            </w:r>
          </w:p>
        </w:tc>
        <w:tc>
          <w:tcPr>
            <w:tcW w:type="dxa" w:w="192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平均成本/DALY</w:t>
              <w:br/>
              <w:t>（元）</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S1</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健康宣教</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78.64（21.10～172.00）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3.67（0.97～8.13）</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59.64（6.57～160.05）</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15.24（7.47～28.13）</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1,938</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S2</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社区健身</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236.86（110.24～413.96）</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11.05（5.16～19.36）</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179.78（25.12～405.35）</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115.91（77.32～167.93）</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4,893</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S3</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公共健身设施</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268.91（137.07～449.23）</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12.65（6.39～21.15）</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200.19（31.34～432.24）</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91.93（49.40～157.14）</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3,418</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S4</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体卫融合</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394.25（227.82～609.98）</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18.40（10.57～28.66）</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298.56（46.15～615.34）</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34.95（18.79～59.29）</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886</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S5</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智慧健身</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190.60（78.54～349.53）</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8.90（3.71～16.30）</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144.20（19.35～330.39）</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14.80（6.37～29.08）</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777</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S6</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综合政策</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614.71（379.26～911.23）</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28.93（17.64～43.18）</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458.31（76.48～929.99）</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258.90（139.80～440.82）</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4,212</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S7</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目标阈值</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1,184.50（955.99～1,417.78）</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55.29（44.14～67.30）</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897.92（147.15～1,613.16）</w:t>
            </w:r>
          </w:p>
        </w:tc>
        <w:tc>
          <w:tcPr>
            <w:tcW w:type="dxa" w:w="3005"/>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928"/>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r>
    </w:tbl>
    <w:p>
      <w:pPr>
        <w:pStyle w:val="TableNote"/>
      </w:pPr>
      <w:r>
        <w:rPr>
          <w:rFonts w:ascii="Times New Roman" w:hAnsi="Times New Roman" w:eastAsia="宋体"/>
          <w:color w:val="555555"/>
          <w:sz w:val="18"/>
        </w:rPr>
        <w:t>注：UI为不确定性区间。S7仅报告健康结果，不参与成本效果比较。平均成本/DALY为均值成本除以均值贴现DALY。</w:t>
      </w:r>
    </w:p>
    <w:p>
      <w:pPr>
        <w:pStyle w:val="Caption"/>
        <w:keepNext/>
        <w:jc w:val="center"/>
      </w:pPr>
      <w:r>
        <w:rPr>
          <w:rFonts w:ascii="Times New Roman" w:hAnsi="Times New Roman" w:eastAsia="黑体"/>
          <w:b/>
          <w:color w:val="000000"/>
          <w:sz w:val="21"/>
        </w:rPr>
        <w:t>表8  2025—2050（长期结构敏感性）各策略概率性结果</w:t>
      </w:r>
    </w:p>
    <w:tbl>
      <w:tblPr>
        <w:tblW w:type="dxa" w:w="15874"/>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850"/>
        <w:gridCol w:w="1304"/>
        <w:gridCol w:w="3005"/>
        <w:gridCol w:w="2835"/>
        <w:gridCol w:w="2948"/>
        <w:gridCol w:w="3005"/>
        <w:gridCol w:w="1928"/>
      </w:tblGrid>
      <w:tr>
        <w:trPr>
          <w:trBorders>
            <w:bottom w:val="single" w:sz="8" w:color="000000"/>
          </w:trBorders>
          <w:tblHeader w:val="true"/>
        </w:trPr>
        <w:tc>
          <w:tcPr>
            <w:tcW w:type="dxa" w:w="85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策略</w:t>
            </w:r>
          </w:p>
        </w:tc>
        <w:tc>
          <w:tcPr>
            <w:tcW w:type="dxa" w:w="130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政策</w:t>
            </w:r>
          </w:p>
        </w:tc>
        <w:tc>
          <w:tcPr>
            <w:tcW w:type="dxa" w:w="3005"/>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贴现避免DALY</w:t>
              <w:br/>
              <w:t>均值（95% UI），万</w:t>
            </w:r>
          </w:p>
        </w:tc>
        <w:tc>
          <w:tcPr>
            <w:tcW w:type="dxa" w:w="2835"/>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贴现避免死亡</w:t>
              <w:br/>
              <w:t>均值（95% UI），万</w:t>
            </w:r>
          </w:p>
        </w:tc>
        <w:tc>
          <w:tcPr>
            <w:tcW w:type="dxa" w:w="294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避免新发病例</w:t>
              <w:br/>
              <w:t>均值（95% UI），万</w:t>
            </w:r>
          </w:p>
        </w:tc>
        <w:tc>
          <w:tcPr>
            <w:tcW w:type="dxa" w:w="3005"/>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贴现政策成本</w:t>
              <w:br/>
              <w:t>均值（95% UI），亿元</w:t>
            </w:r>
          </w:p>
        </w:tc>
        <w:tc>
          <w:tcPr>
            <w:tcW w:type="dxa" w:w="192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平均成本/DALY</w:t>
              <w:br/>
              <w:t>（元）</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S1</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健康宣教</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294.43（78.24～647.93）</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15.11（3.96～33.79）</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231.30（34.90～597.04）</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31.51（15.44～58.14）</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1,070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S2</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社区健身</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886.82（410.91～1,560.22）</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45.50（20.73～81.07）</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697.23（148.55～1,512.37）</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279.02（186.13～404.26）</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3,146</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S3</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公共健身设施</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1,330.66（671.48～2,252.75）</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68.91（34.49～117.84）</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1,043.76（243.05～2,165.07）</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98.71（53.05～168.73）</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742</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S4</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体卫融合</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1,476.47（838.72～2,300.46）</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75.79（42.62～121.76）</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1,158.21（274.23～2,275.51）</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79.27（42.62～134.48）</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537</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S5</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智慧健身</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714.00（292.68～1,322.93）</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36.65（14.87～68.19）</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559.54（113.81～1,235.08）</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29.26（12.59～57.49）</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410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S6</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综合政策</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3,041.16（1,857.65～4,543.18）</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157.62（93.69～242.89）</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2,388.90（612.02～4,619.05）</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482.53（260.56～821.58）</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1,587</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S7</w:t>
            </w:r>
          </w:p>
        </w:tc>
        <w:tc>
          <w:tcPr>
            <w:tcW w:type="dxa" w:w="130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目标阈值</w:t>
            </w:r>
          </w:p>
        </w:tc>
        <w:tc>
          <w:tcPr>
            <w:tcW w:type="dxa" w:w="300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4,435.60（3,536.28～5,461.15）</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227.66（174.22～298.22）</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3,482.91（918.98～5,955.31）</w:t>
            </w:r>
          </w:p>
        </w:tc>
        <w:tc>
          <w:tcPr>
            <w:tcW w:type="dxa" w:w="3005"/>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928"/>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r>
    </w:tbl>
    <w:p>
      <w:pPr>
        <w:pStyle w:val="TableNote"/>
      </w:pPr>
      <w:r>
        <w:rPr>
          <w:rFonts w:ascii="Times New Roman" w:hAnsi="Times New Roman" w:eastAsia="宋体"/>
          <w:color w:val="555555"/>
          <w:sz w:val="18"/>
        </w:rPr>
        <w:t>注：UI为不确定性区间。S7仅报告健康结果，不参与成本效果比较。平均成本/DALY为均值成本除以均值贴现DALY。</w:t>
      </w:r>
    </w:p>
    <w:p>
      <w:pPr>
        <w:pStyle w:val="Caption"/>
        <w:keepNext/>
        <w:jc w:val="center"/>
      </w:pPr>
      <w:r>
        <w:rPr>
          <w:rFonts w:ascii="Times New Roman" w:hAnsi="Times New Roman" w:eastAsia="黑体"/>
          <w:b/>
          <w:color w:val="000000"/>
          <w:sz w:val="21"/>
        </w:rPr>
        <w:t>表9  S6概率性均值与确定性结果衔接</w:t>
      </w:r>
    </w:p>
    <w:tbl>
      <w:tblPr>
        <w:tblW w:type="dxa" w:w="10828"/>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1304"/>
        <w:gridCol w:w="2381"/>
        <w:gridCol w:w="2268"/>
        <w:gridCol w:w="2268"/>
        <w:gridCol w:w="1474"/>
        <w:gridCol w:w="1134"/>
      </w:tblGrid>
      <w:tr>
        <w:trPr>
          <w:trBorders>
            <w:bottom w:val="single" w:sz="8" w:color="000000"/>
          </w:trBorders>
          <w:tblHeader w:val="true"/>
        </w:trPr>
        <w:tc>
          <w:tcPr>
            <w:tcW w:type="dxa" w:w="130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评价期</w:t>
            </w:r>
          </w:p>
        </w:tc>
        <w:tc>
          <w:tcPr>
            <w:tcW w:type="dxa" w:w="238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指标</w:t>
            </w:r>
          </w:p>
        </w:tc>
        <w:tc>
          <w:tcPr>
            <w:tcW w:type="dxa" w:w="226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PSA均值</w:t>
            </w:r>
          </w:p>
        </w:tc>
        <w:tc>
          <w:tcPr>
            <w:tcW w:type="dxa" w:w="226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确定性值</w:t>
            </w:r>
          </w:p>
        </w:tc>
        <w:tc>
          <w:tcPr>
            <w:tcW w:type="dxa" w:w="147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相对差异</w:t>
            </w:r>
          </w:p>
        </w:tc>
        <w:tc>
          <w:tcPr>
            <w:tcW w:type="dxa" w:w="113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QC</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贴现避免DALY</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1,077,599</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1,090,808</w:t>
            </w:r>
          </w:p>
        </w:tc>
        <w:tc>
          <w:tcPr>
            <w:tcW w:type="dxa" w:w="147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-1.21%</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PASS</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避免新发病例</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970,988</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1,003,912</w:t>
            </w:r>
          </w:p>
        </w:tc>
        <w:tc>
          <w:tcPr>
            <w:tcW w:type="dxa" w:w="147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-3.28%</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PASS</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贴现政策成本</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16,438,260,168</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16,484,396,829</w:t>
            </w:r>
          </w:p>
        </w:tc>
        <w:tc>
          <w:tcPr>
            <w:tcW w:type="dxa" w:w="147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-0.28%</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PASS</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贴现避免DALY</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6,147,079</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6,245,588</w:t>
            </w:r>
          </w:p>
        </w:tc>
        <w:tc>
          <w:tcPr>
            <w:tcW w:type="dxa" w:w="147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-1.58%</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PASS</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避免新发病例</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4,583,114</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4,737,474</w:t>
            </w:r>
          </w:p>
        </w:tc>
        <w:tc>
          <w:tcPr>
            <w:tcW w:type="dxa" w:w="147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-3.26%</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PASS</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贴现政策成本</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25,890,241,146</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25,962,906,334</w:t>
            </w:r>
          </w:p>
        </w:tc>
        <w:tc>
          <w:tcPr>
            <w:tcW w:type="dxa" w:w="147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-0.28%</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PASS</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贴现避免DALY</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30,411,594</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29,708,953</w:t>
            </w:r>
          </w:p>
        </w:tc>
        <w:tc>
          <w:tcPr>
            <w:tcW w:type="dxa" w:w="147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2.37%</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PASS</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避免新发病例</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23,888,998</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23,684,869</w:t>
            </w:r>
          </w:p>
        </w:tc>
        <w:tc>
          <w:tcPr>
            <w:tcW w:type="dxa" w:w="147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0.86%</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PASS</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贴现政策成本</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48,252,826,142</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48,388,255,577</w:t>
            </w:r>
          </w:p>
        </w:tc>
        <w:tc>
          <w:tcPr>
            <w:tcW w:type="dxa" w:w="147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-0.28%</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PASS</w:t>
            </w:r>
          </w:p>
        </w:tc>
      </w:tr>
    </w:tbl>
    <w:p>
      <w:pPr>
        <w:pStyle w:val="TableNote"/>
      </w:pPr>
      <w:r>
        <w:rPr>
          <w:rFonts w:ascii="Times New Roman" w:hAnsi="Times New Roman" w:eastAsia="宋体"/>
          <w:color w:val="555555"/>
          <w:sz w:val="18"/>
        </w:rPr>
        <w:t>注：预设容许差异为15%；9项比较全部通过。</w:t>
      </w:r>
    </w:p>
    <w:p>
      <w:pPr>
        <w:pStyle w:val="Heading2"/>
        <w:keepNext/>
      </w:pPr>
      <w:r>
        <w:rPr>
          <w:rFonts w:ascii="Times New Roman" w:hAnsi="Times New Roman" w:eastAsia="黑体"/>
          <w:b/>
          <w:color w:val="000000"/>
          <w:sz w:val="28"/>
        </w:rPr>
        <w:t>3.4  成本效果前沿、支配关系与增量比较</w:t>
      </w:r>
    </w:p>
    <w:p>
      <w:pPr>
        <w:keepLines w:val="0"/>
      </w:pPr>
      <w:r>
        <w:rPr>
          <w:rFonts w:ascii="Times New Roman" w:hAnsi="Times New Roman" w:eastAsia="宋体"/>
          <w:color w:val="000000"/>
          <w:sz w:val="24"/>
        </w:rPr>
        <w:t>按各策略的平均贴现成本与平均贴现DALY构建成本效果前沿。5年期前沿为S0→S4→S6；10年期和2025—2050年前沿均为S0→S5→S4→S6。S1和S5在5年期为扩展支配，S2和S3为严格支配；10年期S1、S2和S3均为严格支配。</w:t>
      </w:r>
    </w:p>
    <w:p>
      <w:pPr>
        <w:pStyle w:val="Caption"/>
        <w:keepNext/>
        <w:jc w:val="center"/>
      </w:pPr>
      <w:r>
        <w:rPr>
          <w:rFonts w:ascii="Times New Roman" w:hAnsi="Times New Roman" w:eastAsia="黑体"/>
          <w:b/>
          <w:color w:val="000000"/>
          <w:sz w:val="21"/>
        </w:rPr>
        <w:t>表10  政策实施成本视角的概率均值成本效果前沿与支配关系</w:t>
      </w:r>
    </w:p>
    <w:tbl>
      <w:tblPr>
        <w:tblW w:type="dxa" w:w="12643"/>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1020"/>
        <w:gridCol w:w="850"/>
        <w:gridCol w:w="1077"/>
        <w:gridCol w:w="1701"/>
        <w:gridCol w:w="1587"/>
        <w:gridCol w:w="1587"/>
        <w:gridCol w:w="1587"/>
        <w:gridCol w:w="1814"/>
        <w:gridCol w:w="1417"/>
      </w:tblGrid>
      <w:tr>
        <w:trPr>
          <w:trBorders>
            <w:bottom w:val="single" w:sz="8" w:color="000000"/>
          </w:trBorders>
          <w:tblHeader w:val="true"/>
        </w:trPr>
        <w:tc>
          <w:tcPr>
            <w:tcW w:type="dxa" w:w="102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评价期</w:t>
            </w:r>
          </w:p>
        </w:tc>
        <w:tc>
          <w:tcPr>
            <w:tcW w:type="dxa" w:w="85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策略</w:t>
            </w:r>
          </w:p>
        </w:tc>
        <w:tc>
          <w:tcPr>
            <w:tcW w:type="dxa" w:w="107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政策</w:t>
            </w:r>
          </w:p>
        </w:tc>
        <w:tc>
          <w:tcPr>
            <w:tcW w:type="dxa" w:w="170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平均贴现</w:t>
              <w:br/>
              <w:t>DALY（万）</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平均成本</w:t>
              <w:br/>
              <w:t>（亿元）</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增量DALY</w:t>
              <w:br/>
              <w:t>（万）</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增量成本</w:t>
              <w:br/>
              <w:t>（亿元）</w:t>
            </w:r>
          </w:p>
        </w:tc>
        <w:tc>
          <w:tcPr>
            <w:tcW w:type="dxa" w:w="181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增量ICER</w:t>
              <w:br/>
              <w:t>（元/DALY）</w:t>
            </w:r>
          </w:p>
        </w:tc>
        <w:tc>
          <w:tcPr>
            <w:tcW w:type="dxa" w:w="141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状态</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S0</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动态基线</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81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参照</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S4</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体卫融合</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96.06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16.21</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96.06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16.21</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1,688</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前沿</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S6</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综合政策</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107.76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164.38</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11.70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148.17</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126,693</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前沿</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S1</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健康宣教</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19.17</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8.37</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81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扩展支配</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S2</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社区健身</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57.73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46.96</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81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严格支配</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S3</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公共健身设施</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47.13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89.06</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81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严格支配</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S5</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智慧健身</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46.44</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8.69</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81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扩展支配</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S0</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动态基线</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81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参照</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S5</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智慧健身</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190.60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14.80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190.60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14.80</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777</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前沿</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S4</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体卫融合</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394.25</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34.95</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203.66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20.14</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989</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前沿</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S6</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综合政策</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614.71</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258.90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220.46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223.96</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10,159</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前沿</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S1</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健康宣教</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78.64</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15.24</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81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严格支配</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S2</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社区健身</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236.86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115.91</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81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严格支配</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S3</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公共健身设施</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268.91</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91.93</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81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严格支配</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S0</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动态基线</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0.00</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81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参照</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S5</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智慧健身</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714.00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29.26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714.00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29.26</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410</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前沿</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S4</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体卫融合</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1,476.47</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79.27</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762.46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50.00</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656</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前沿</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S6</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综合政策</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3,041.16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482.53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1,564.69</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403.26</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2,577</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前沿</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S1</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健康宣教</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294.43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31.51</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81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严格支配</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S2</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社区健身</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886.82</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279.02</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81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严格支配</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S3</w:t>
            </w:r>
          </w:p>
        </w:tc>
        <w:tc>
          <w:tcPr>
            <w:tcW w:type="dxa" w:w="107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公共健身设施</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1,330.66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98.71</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81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严格支配</w:t>
            </w:r>
          </w:p>
        </w:tc>
      </w:tr>
    </w:tbl>
    <w:p>
      <w:pPr>
        <w:pStyle w:val="TableNote"/>
      </w:pPr>
      <w:r>
        <w:rPr>
          <w:rFonts w:ascii="Times New Roman" w:hAnsi="Times New Roman" w:eastAsia="宋体"/>
          <w:color w:val="555555"/>
          <w:sz w:val="18"/>
        </w:rPr>
        <w:t>注：增量指标仅对前沿策略计算；26年结果为长期结构敏感性。</w:t>
      </w:r>
    </w:p>
    <w:p>
      <w:pPr>
        <w:pStyle w:val="Caption"/>
        <w:keepNext/>
        <w:jc w:val="center"/>
      </w:pPr>
      <w:r>
        <w:rPr>
          <w:rFonts w:ascii="Times New Roman" w:hAnsi="Times New Roman" w:eastAsia="黑体"/>
          <w:b/>
          <w:color w:val="000000"/>
          <w:sz w:val="21"/>
        </w:rPr>
        <w:t>表11  预设关键策略的两两增量成本效果结果</w:t>
      </w:r>
    </w:p>
    <w:tbl>
      <w:tblPr>
        <w:tblW w:type="dxa" w:w="15817"/>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850"/>
        <w:gridCol w:w="1701"/>
        <w:gridCol w:w="1247"/>
        <w:gridCol w:w="2324"/>
        <w:gridCol w:w="2324"/>
        <w:gridCol w:w="1417"/>
        <w:gridCol w:w="1191"/>
        <w:gridCol w:w="1191"/>
        <w:gridCol w:w="1191"/>
        <w:gridCol w:w="1191"/>
        <w:gridCol w:w="1191"/>
      </w:tblGrid>
      <w:tr>
        <w:trPr>
          <w:trBorders>
            <w:bottom w:val="single" w:sz="8" w:color="000000"/>
          </w:trBorders>
          <w:tblHeader w:val="true"/>
        </w:trPr>
        <w:tc>
          <w:tcPr>
            <w:tcW w:type="dxa" w:w="85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评价期</w:t>
            </w:r>
          </w:p>
        </w:tc>
        <w:tc>
          <w:tcPr>
            <w:tcW w:type="dxa" w:w="170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视角</w:t>
            </w:r>
          </w:p>
        </w:tc>
        <w:tc>
          <w:tcPr>
            <w:tcW w:type="dxa" w:w="124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比较</w:t>
            </w:r>
          </w:p>
        </w:tc>
        <w:tc>
          <w:tcPr>
            <w:tcW w:type="dxa" w:w="232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增量贴现DALY</w:t>
              <w:br/>
              <w:t>均值（95% UI），万</w:t>
            </w:r>
          </w:p>
        </w:tc>
        <w:tc>
          <w:tcPr>
            <w:tcW w:type="dxa" w:w="232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增量成本</w:t>
              <w:br/>
              <w:t>均值（95% UI），亿元</w:t>
            </w:r>
          </w:p>
        </w:tc>
        <w:tc>
          <w:tcPr>
            <w:tcW w:type="dxa" w:w="141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增量ICER</w:t>
            </w:r>
          </w:p>
        </w:tc>
        <w:tc>
          <w:tcPr>
            <w:tcW w:type="dxa" w:w="119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更有效概率</w:t>
            </w:r>
          </w:p>
        </w:tc>
        <w:tc>
          <w:tcPr>
            <w:tcW w:type="dxa" w:w="119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节约概率</w:t>
            </w:r>
          </w:p>
        </w:tc>
        <w:tc>
          <w:tcPr>
            <w:tcW w:type="dxa" w:w="119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P成本有效</w:t>
              <w:br/>
              <w:t>5万元</w:t>
            </w:r>
          </w:p>
        </w:tc>
        <w:tc>
          <w:tcPr>
            <w:tcW w:type="dxa" w:w="119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P成本有效</w:t>
              <w:br/>
              <w:t>10万元</w:t>
            </w:r>
          </w:p>
        </w:tc>
        <w:tc>
          <w:tcPr>
            <w:tcW w:type="dxa" w:w="119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P成本有效</w:t>
              <w:br/>
              <w:t>15万元</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5年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政策实施成本</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S4 vs S0</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96.06（54.97～149.56）</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16.21（8.72～27.51）</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1,688</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5年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政策实施成本</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S5 vs S0</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46.44（19.06～85.78）</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8.69（3.74～17.07）</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1,871</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5年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政策实施成本</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S6 vs S4</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11.70（-50.36～71.93）</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148.17（71.42～263.23）</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126,693</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65.50%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28.95%</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46.15%</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52.59%</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5年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政策实施成本</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S4 vs S5</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49.62（-3.06～107.32）</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7.52（-3.64～20.22）</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1,516</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96.91%</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9.08%</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96.47%</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96.74%</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96.82%</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5年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部分公共支付方桥接</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S4 vs S0</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96.06（54.97～149.56）</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3.37（-20.69～18.36）</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350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27.29%</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5年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部分公共支付方桥接</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S5 vs S0</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46.44（19.06～85.78）</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2.47（-10.66～12.55）</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531</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25.35%</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5年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部分公共支付方桥接</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S6 vs S4</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11.70（-50.36～71.93）</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146.62（68.39～261.89）</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125,370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65.50%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29.72%</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46.36%</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52.70%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5年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部分公共支付方桥接</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S4 vs S5</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49.62（-3.06～107.32）</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0.90（-17.38～15.68）</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181</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96.91%</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41.99%</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96.48%</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96.74%</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96.82%</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政策实施成本</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S4 vs S0</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394.25（227.82～609.98）</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34.95（18.79～59.29）</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886</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政策实施成本</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S5 vs S0</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190.60（78.54～349.53）</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14.80（6.37～29.08）</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777</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政策实施成本</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S6 vs S4</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220.46（-71.31～534.27）</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223.96（101.51～405.47）</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10,159</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93.10%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88.07%</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91.02%</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91.72%</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政策实施成本</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S4 vs S5</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203.66（-12.42～439.69）</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20.14（-1.17～46.51）</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989</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96.91%</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3.19%</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96.70%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96.80%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96.85%</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部分公共支付方桥接</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S4 vs S0</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394.25（227.82～609.98）</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-23.66（-114.72～22.82）</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-600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77.14%</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部分公共支付方桥接</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S5 vs S0</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190.60（78.54～349.53）</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-13.56（-62.17～12.06）</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-711</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79.71%</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部分公共支付方桥接</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S6 vs S4</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220.46（-71.31～534.27）</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190.09（52.41～378.55）</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8,623</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93.10%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0.52%</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88.29%</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91.06%</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91.74%</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部分公共支付方桥接</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S4 vs S5</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203.66（-12.42～439.69）</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-10.11（-74.59～31.47）</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-496</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96.91%</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62.36%</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96.70%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96.80%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96.85%</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26年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政策实施成本</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S4 vs S0</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1,476.47（838.72～2,300.46）</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79.27（42.62～134.48）</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537</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26年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政策实施成本</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S5 vs S0</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714.00（292.68～1,322.93）</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29.26（12.59～57.49）</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410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26年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政策实施成本</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S6 vs S4</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1,564.69（254.28～3,069.94）</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403.26（171.66～743.69）</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2,577</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99.00%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98.65%</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98.82%</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98.86%</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26年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政策实施成本</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S4 vs S5</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762.46（-47.34～1,644.71）</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50.00（4.39～109.11）</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656</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96.91%</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1.65%</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96.78%</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96.85%</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96.86%</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26年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部分公共支付方桥接</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S4 vs S0</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1,476.47（838.72～2,300.46）</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-136.53（-443.63～11.91）</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-925</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95.86%</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26年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部分公共支付方桥接</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S5 vs S0</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714.00（292.68～1,322.93）</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-75.11（-243.03～5.02）</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-1,052</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100.00%</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26年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部分公共支付方桥接</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S6 vs S4</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1,564.69（254.28～3,069.94）</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174.66（-258.51～578.84）</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1,116</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99.00%</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16.86%</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98.65%</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98.84%</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98.86%</w:t>
            </w:r>
          </w:p>
        </w:tc>
      </w:tr>
      <w:tr>
        <w:trPr>
          <w:cantSplit/>
        </w:trPr>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26年</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部分公共支付方桥接</w:t>
            </w:r>
          </w:p>
        </w:tc>
        <w:tc>
          <w:tcPr>
            <w:tcW w:type="dxa" w:w="124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S4 vs S5</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762.46（-47.34～1,644.71）</w:t>
            </w:r>
          </w:p>
        </w:tc>
        <w:tc>
          <w:tcPr>
            <w:tcW w:type="dxa" w:w="232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-61.42（-276.75～69.50）</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-806</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96.91%</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77.17%</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96.78%</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96.85%</w:t>
            </w:r>
          </w:p>
        </w:tc>
        <w:tc>
          <w:tcPr>
            <w:tcW w:type="dxa" w:w="119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96.86%</w:t>
            </w:r>
          </w:p>
        </w:tc>
      </w:tr>
    </w:tbl>
    <w:p>
      <w:pPr>
        <w:pStyle w:val="TableNote"/>
      </w:pPr>
      <w:r>
        <w:rPr>
          <w:rFonts w:ascii="Times New Roman" w:hAnsi="Times New Roman" w:eastAsia="宋体"/>
          <w:color w:val="555555"/>
          <w:sz w:val="18"/>
        </w:rPr>
        <w:t>注：部分公共支付方结果为桥接分析。P成本有效表示增量净货币收益&gt;0的概率。</w:t>
      </w:r>
    </w:p>
    <w:p>
      <w:pPr>
        <w:keepLines w:val="0"/>
      </w:pPr>
      <w:r>
        <w:rPr>
          <w:rFonts w:ascii="Times New Roman" w:hAnsi="Times New Roman" w:eastAsia="宋体"/>
          <w:color w:val="000000"/>
          <w:sz w:val="24"/>
        </w:rPr>
        <w:t>五年期S6相对S4新增11.70万贴现DALY（95% UI：−50.36万～71.93万），增加148.17亿元政策成本，增量ICER为126,693元/DALY；S6在65.50%的draw中更有效。在5万、10万和15万元/DALY阈值下，S6相对S4成本有效的概率分别为28.95%、46.15%和52.59%。十年期S6相对S4新增220.46万贴现DALY，增量ICER降至10,159元/DALY，三个阈值下成本有效概率均超过88%。</w:t>
      </w:r>
    </w:p>
    <w:p>
      <w:pPr>
        <w:sectPr>
          <w:pgSz w:w="16838" w:h="11906" w:orient="landscape"/>
          <w:pgMar w:top="1020" w:right="1020" w:bottom="1020" w:left="1020" w:header="624" w:footer="624" w:gutter="0"/>
          <w:cols w:space="720"/>
          <w:docGrid w:linePitch="360"/>
        </w:sectPr>
      </w:pPr>
    </w:p>
    <w:p>
      <w:pPr>
        <w:keepNext/>
        <w:jc w:val="center"/>
      </w:pPr>
      <w:r>
        <w:drawing>
          <wp:inline xmlns:a="http://schemas.openxmlformats.org/drawingml/2006/main" xmlns:pic="http://schemas.openxmlformats.org/drawingml/2006/picture">
            <wp:extent cx="5760000" cy="1980929"/>
            <wp:docPr id="1" name="Picture 1" title="图1 政策实施成本视角下各策略的概率成本效果平面" descr="政策实施成本视角下各策略的概率成本效果平面"/>
            <wp:cNvGraphicFramePr>
              <a:graphicFrameLocks noChangeAspect="1"/>
            </wp:cNvGraphicFramePr>
            <a:graphic>
              <a:graphicData uri="http://schemas.openxmlformats.org/drawingml/2006/picture">
                <pic:pic>
                  <pic:nvPicPr>
                    <pic:cNvPr id="0" name="figure_3_cost_effectiveness_plane_programme.png"/>
                    <pic:cNvPicPr/>
                  </pic:nvPicPr>
                  <pic:blipFill>
                    <a:blip r:embed="rId11"/>
                    <a:stretch>
                      <a:fillRect/>
                    </a:stretch>
                  </pic:blipFill>
                  <pic:spPr>
                    <a:xfrm>
                      <a:off x="0" y="0"/>
                      <a:ext cx="5760000" cy="1980929"/>
                    </a:xfrm>
                    <a:prstGeom prst="rect"/>
                  </pic:spPr>
                </pic:pic>
              </a:graphicData>
            </a:graphic>
          </wp:inline>
        </w:drawing>
      </w:r>
    </w:p>
    <w:p>
      <w:pPr>
        <w:pStyle w:val="Caption"/>
        <w:jc w:val="center"/>
      </w:pPr>
      <w:r>
        <w:rPr>
          <w:rFonts w:ascii="Times New Roman" w:hAnsi="Times New Roman" w:eastAsia="黑体"/>
          <w:b/>
          <w:color w:val="000000"/>
          <w:sz w:val="21"/>
        </w:rPr>
        <w:t>图1  政策实施成本视角下各策略的概率成本效果平面</w:t>
      </w:r>
    </w:p>
    <w:p>
      <w:pPr>
        <w:pStyle w:val="TableNote"/>
        <w:jc w:val="left"/>
      </w:pPr>
      <w:r>
        <w:rPr>
          <w:rFonts w:ascii="Times New Roman" w:hAnsi="Times New Roman" w:eastAsia="宋体"/>
          <w:color w:val="555555"/>
          <w:sz w:val="18"/>
        </w:rPr>
        <w:t>注：散点表示PSA抽样，实心点表示策略均值；2025—2050年为长期结构敏感性。</w:t>
      </w:r>
    </w:p>
    <w:p>
      <w:pPr>
        <w:keepNext/>
        <w:jc w:val="center"/>
      </w:pPr>
      <w:r>
        <w:drawing>
          <wp:inline xmlns:a="http://schemas.openxmlformats.org/drawingml/2006/main" xmlns:pic="http://schemas.openxmlformats.org/drawingml/2006/picture">
            <wp:extent cx="5760000" cy="4174171"/>
            <wp:docPr id="2" name="Picture 2" title="图2 五年期S6相对S4的增量成本效果平面" descr="五年期S6相对S4的增量成本效果平面"/>
            <wp:cNvGraphicFramePr>
              <a:graphicFrameLocks noChangeAspect="1"/>
            </wp:cNvGraphicFramePr>
            <a:graphic>
              <a:graphicData uri="http://schemas.openxmlformats.org/drawingml/2006/picture">
                <pic:pic>
                  <pic:nvPicPr>
                    <pic:cNvPr id="0" name="figure_4_s6_vs_s4_incremental_plane_5y.png"/>
                    <pic:cNvPicPr/>
                  </pic:nvPicPr>
                  <pic:blipFill>
                    <a:blip r:embed="rId12"/>
                    <a:stretch>
                      <a:fillRect/>
                    </a:stretch>
                  </pic:blipFill>
                  <pic:spPr>
                    <a:xfrm>
                      <a:off x="0" y="0"/>
                      <a:ext cx="5760000" cy="4174171"/>
                    </a:xfrm>
                    <a:prstGeom prst="rect"/>
                  </pic:spPr>
                </pic:pic>
              </a:graphicData>
            </a:graphic>
          </wp:inline>
        </w:drawing>
      </w:r>
    </w:p>
    <w:p>
      <w:pPr>
        <w:pStyle w:val="Caption"/>
        <w:jc w:val="center"/>
      </w:pPr>
      <w:r>
        <w:rPr>
          <w:rFonts w:ascii="Times New Roman" w:hAnsi="Times New Roman" w:eastAsia="黑体"/>
          <w:b/>
          <w:color w:val="000000"/>
          <w:sz w:val="21"/>
        </w:rPr>
        <w:t>图2  五年期S6相对S4的增量成本效果平面</w:t>
      </w:r>
    </w:p>
    <w:p>
      <w:pPr>
        <w:pStyle w:val="TableNote"/>
        <w:jc w:val="left"/>
      </w:pPr>
      <w:r>
        <w:rPr>
          <w:rFonts w:ascii="Times New Roman" w:hAnsi="Times New Roman" w:eastAsia="宋体"/>
          <w:color w:val="555555"/>
          <w:sz w:val="18"/>
        </w:rPr>
        <w:t>注：虚线分别表示5万、10万和15万元/DALY支付意愿阈值；星号表示均值。</w:t>
      </w:r>
    </w:p>
    <w:p>
      <w:pPr>
        <w:sectPr>
          <w:pgSz w:w="11906" w:h="16838"/>
          <w:pgMar w:top="1304" w:right="1361" w:bottom="1304" w:left="1361" w:header="624" w:footer="624" w:gutter="0"/>
          <w:cols w:space="720"/>
          <w:docGrid w:linePitch="360"/>
        </w:sectPr>
      </w:pPr>
    </w:p>
    <w:p>
      <w:pPr>
        <w:pStyle w:val="Heading2"/>
        <w:keepNext/>
      </w:pPr>
      <w:r>
        <w:rPr>
          <w:rFonts w:ascii="Times New Roman" w:hAnsi="Times New Roman" w:eastAsia="黑体"/>
          <w:b/>
          <w:color w:val="000000"/>
          <w:sz w:val="28"/>
        </w:rPr>
        <w:t>3.5  决策不确定性：CEAC、CEAF与EVPI</w:t>
      </w:r>
    </w:p>
    <w:p>
      <w:pPr>
        <w:keepLines w:val="0"/>
      </w:pPr>
      <w:r>
        <w:rPr>
          <w:rFonts w:ascii="Times New Roman" w:hAnsi="Times New Roman" w:eastAsia="宋体"/>
          <w:color w:val="000000"/>
          <w:sz w:val="24"/>
        </w:rPr>
        <w:t>五年期最优策略随支付意愿水平发生切换。在5万和10万元/DALY阈值下，S4的期望净货币收益最高；15万元/DALY时S6转为最优。十年期S6在全部预设阈值下均具有最高期望净货币收益；2025—2050年S6最优概率进一步升至98%以上。</w:t>
      </w:r>
    </w:p>
    <w:p>
      <w:pPr>
        <w:pStyle w:val="Caption"/>
        <w:keepNext/>
        <w:jc w:val="center"/>
      </w:pPr>
      <w:r>
        <w:rPr>
          <w:rFonts w:ascii="Times New Roman" w:hAnsi="Times New Roman" w:eastAsia="黑体"/>
          <w:b/>
          <w:color w:val="000000"/>
          <w:sz w:val="21"/>
        </w:rPr>
        <w:t>表12  政策实施成本视角下各策略成为成本效果最优方案的概率</w:t>
      </w:r>
    </w:p>
    <w:tbl>
      <w:tblPr>
        <w:tblW w:type="dxa" w:w="10375"/>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1134"/>
        <w:gridCol w:w="850"/>
        <w:gridCol w:w="2268"/>
        <w:gridCol w:w="2041"/>
        <w:gridCol w:w="2041"/>
        <w:gridCol w:w="2041"/>
      </w:tblGrid>
      <w:tr>
        <w:trPr>
          <w:trBorders>
            <w:bottom w:val="single" w:sz="8" w:color="000000"/>
          </w:trBorders>
          <w:tblHeader w:val="true"/>
        </w:trPr>
        <w:tc>
          <w:tcPr>
            <w:tcW w:type="dxa" w:w="113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评价期</w:t>
            </w:r>
          </w:p>
        </w:tc>
        <w:tc>
          <w:tcPr>
            <w:tcW w:type="dxa" w:w="85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策略</w:t>
            </w:r>
          </w:p>
        </w:tc>
        <w:tc>
          <w:tcPr>
            <w:tcW w:type="dxa" w:w="226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政策</w:t>
            </w:r>
          </w:p>
        </w:tc>
        <w:tc>
          <w:tcPr>
            <w:tcW w:type="dxa" w:w="204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5万元/DALY</w:t>
            </w:r>
          </w:p>
        </w:tc>
        <w:tc>
          <w:tcPr>
            <w:tcW w:type="dxa" w:w="204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10万元/DALY</w:t>
            </w:r>
          </w:p>
        </w:tc>
        <w:tc>
          <w:tcPr>
            <w:tcW w:type="dxa" w:w="204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15万元/DALY</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S1</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健康宣教</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S2</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社区健身</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3.13%</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2.71%</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2.43%</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S3</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公共健身设施</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0.13%</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0.15%</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0.13%</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S4</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体卫融合</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67.63%</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51.75%</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45.85%</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S5</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智慧健身</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1.61%</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0.80%</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0.61%</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S6</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综合政策</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27.50%</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44.59%</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50.98%</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S1</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健康宣教</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S2</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社区健身</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0.38%</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0.34%</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0.33%</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S3</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公共健身设施</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0.59%</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0.44%</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0.40%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S4</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体卫融合</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11.61%</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8.72%</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8.05%</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S5</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智慧健身</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0.11%</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0.05%</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0.05%</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S6</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综合政策</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87.31%</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90.45%</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91.17%</w:t>
            </w:r>
          </w:p>
        </w:tc>
      </w:tr>
    </w:tbl>
    <w:p>
      <w:r>
        <w:br w:type="page"/>
      </w:r>
    </w:p>
    <w:p>
      <w:pPr>
        <w:spacing w:after="360" w:line="20" w:lineRule="exact"/>
      </w:pPr>
      <w:r>
        <w:rPr>
          <w:rFonts w:ascii="Times New Roman" w:hAnsi="Times New Roman" w:eastAsia="宋体"/>
          <w:color w:val="FFFFFF"/>
          <w:sz w:val="24"/>
        </w:rPr>
        <w:t xml:space="preserve"> </w:t>
      </w:r>
    </w:p>
    <w:p>
      <w:pPr>
        <w:pStyle w:val="Caption"/>
        <w:keepNext/>
        <w:jc w:val="center"/>
      </w:pPr>
      <w:r>
        <w:rPr>
          <w:rFonts w:ascii="Times New Roman" w:hAnsi="Times New Roman" w:eastAsia="黑体"/>
          <w:b/>
          <w:color w:val="000000"/>
          <w:sz w:val="21"/>
        </w:rPr>
        <w:t>表12（续）  政策实施成本视角下各策略成为成本效果最优方案的概率</w:t>
      </w:r>
    </w:p>
    <w:tbl>
      <w:tblPr>
        <w:tblW w:type="dxa" w:w="10375"/>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1134"/>
        <w:gridCol w:w="850"/>
        <w:gridCol w:w="2268"/>
        <w:gridCol w:w="2041"/>
        <w:gridCol w:w="2041"/>
        <w:gridCol w:w="2041"/>
      </w:tblGrid>
      <w:tr>
        <w:trPr>
          <w:trBorders>
            <w:bottom w:val="single" w:sz="8" w:color="000000"/>
          </w:trBorders>
          <w:tblHeader w:val="true"/>
        </w:trPr>
        <w:tc>
          <w:tcPr>
            <w:tcW w:type="dxa" w:w="113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评价期</w:t>
            </w:r>
          </w:p>
        </w:tc>
        <w:tc>
          <w:tcPr>
            <w:tcW w:type="dxa" w:w="85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策略</w:t>
            </w:r>
          </w:p>
        </w:tc>
        <w:tc>
          <w:tcPr>
            <w:tcW w:type="dxa" w:w="226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政策</w:t>
            </w:r>
          </w:p>
        </w:tc>
        <w:tc>
          <w:tcPr>
            <w:tcW w:type="dxa" w:w="204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5万元/DALY</w:t>
            </w:r>
          </w:p>
        </w:tc>
        <w:tc>
          <w:tcPr>
            <w:tcW w:type="dxa" w:w="204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10万元/DALY</w:t>
            </w:r>
          </w:p>
        </w:tc>
        <w:tc>
          <w:tcPr>
            <w:tcW w:type="dxa" w:w="204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15万元/DALY</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S1</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健康宣教</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S2</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社区健身</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0.02%</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0.01%</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0.01%</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S3</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公共健身设施</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0.71%</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0.61%</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0.55%</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S4</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体卫融合</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1.22%</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1.07%</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1.04%</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S5</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智慧健身</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0.01%</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0.01%</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0.01%</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S6</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综合政策</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98.04%</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98.30%</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98.39%</w:t>
            </w:r>
          </w:p>
        </w:tc>
      </w:tr>
    </w:tbl>
    <w:p>
      <w:pPr>
        <w:pStyle w:val="TableNote"/>
      </w:pPr>
      <w:r>
        <w:rPr>
          <w:rFonts w:ascii="Times New Roman" w:hAnsi="Times New Roman" w:eastAsia="宋体"/>
          <w:color w:val="555555"/>
          <w:sz w:val="18"/>
        </w:rPr>
        <w:t>注：同一评价期与阈值下各策略概率之和为100%；S7无成本而排除。</w:t>
      </w:r>
    </w:p>
    <w:p>
      <w:pPr>
        <w:sectPr>
          <w:pgSz w:w="16838" w:h="11906" w:orient="landscape"/>
          <w:pgMar w:top="1020" w:right="1020" w:bottom="1020" w:left="1020" w:header="624" w:footer="624" w:gutter="0"/>
          <w:cols w:space="720"/>
          <w:docGrid w:linePitch="360"/>
        </w:sectPr>
      </w:pPr>
    </w:p>
    <w:p>
      <w:pPr>
        <w:pStyle w:val="Caption"/>
        <w:keepNext/>
        <w:jc w:val="center"/>
      </w:pPr>
      <w:r>
        <w:rPr>
          <w:rFonts w:ascii="Times New Roman" w:hAnsi="Times New Roman" w:eastAsia="黑体"/>
          <w:b/>
          <w:color w:val="000000"/>
          <w:sz w:val="21"/>
        </w:rPr>
        <w:t>表13  CEAF与完全信息期望价值（EVPI）结果</w:t>
      </w:r>
    </w:p>
    <w:tbl>
      <w:tblPr>
        <w:tblW w:type="dxa" w:w="9978"/>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1134"/>
        <w:gridCol w:w="1247"/>
        <w:gridCol w:w="2268"/>
        <w:gridCol w:w="1417"/>
        <w:gridCol w:w="2041"/>
        <w:gridCol w:w="1871"/>
      </w:tblGrid>
      <w:tr>
        <w:trPr>
          <w:trBorders>
            <w:bottom w:val="single" w:sz="8" w:color="000000"/>
          </w:trBorders>
          <w:tblHeader w:val="true"/>
        </w:trPr>
        <w:tc>
          <w:tcPr>
            <w:tcW w:type="dxa" w:w="113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评价期</w:t>
            </w:r>
          </w:p>
        </w:tc>
        <w:tc>
          <w:tcPr>
            <w:tcW w:type="dxa" w:w="124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支付意愿</w:t>
            </w:r>
          </w:p>
        </w:tc>
        <w:tc>
          <w:tcPr>
            <w:tcW w:type="dxa" w:w="226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期望NMB最优策略</w:t>
            </w:r>
          </w:p>
        </w:tc>
        <w:tc>
          <w:tcPr>
            <w:tcW w:type="dxa" w:w="141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最优概率</w:t>
            </w:r>
          </w:p>
        </w:tc>
        <w:tc>
          <w:tcPr>
            <w:tcW w:type="dxa" w:w="204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最大期望NMB</w:t>
              <w:br/>
              <w:t>（亿元）</w:t>
            </w:r>
          </w:p>
        </w:tc>
        <w:tc>
          <w:tcPr>
            <w:tcW w:type="dxa" w:w="187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EVPI</w:t>
              <w:br/>
              <w:t>（亿元）</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124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5万元</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S4 体卫融合</w:t>
            </w:r>
          </w:p>
        </w:tc>
        <w:tc>
          <w:tcPr>
            <w:tcW w:type="dxa" w:w="141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67.63%</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464.11</w:t>
            </w:r>
          </w:p>
        </w:tc>
        <w:tc>
          <w:tcPr>
            <w:tcW w:type="dxa" w:w="187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31.09</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124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10万元</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S4 体卫融合</w:t>
            </w:r>
          </w:p>
        </w:tc>
        <w:tc>
          <w:tcPr>
            <w:tcW w:type="dxa" w:w="141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51.75%</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944.43</w:t>
            </w:r>
          </w:p>
        </w:tc>
        <w:tc>
          <w:tcPr>
            <w:tcW w:type="dxa" w:w="187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111.35</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124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15万元</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S6 综合政策</w:t>
            </w:r>
          </w:p>
        </w:tc>
        <w:tc>
          <w:tcPr>
            <w:tcW w:type="dxa" w:w="141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50.98%</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1,452.02</w:t>
            </w:r>
          </w:p>
        </w:tc>
        <w:tc>
          <w:tcPr>
            <w:tcW w:type="dxa" w:w="187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174.13</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124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5万元</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S6 综合政策</w:t>
            </w:r>
          </w:p>
        </w:tc>
        <w:tc>
          <w:tcPr>
            <w:tcW w:type="dxa" w:w="141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87.31%</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2,814.64</w:t>
            </w:r>
          </w:p>
        </w:tc>
        <w:tc>
          <w:tcPr>
            <w:tcW w:type="dxa" w:w="187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46.94</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124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10万元</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S6 综合政策</w:t>
            </w:r>
          </w:p>
        </w:tc>
        <w:tc>
          <w:tcPr>
            <w:tcW w:type="dxa" w:w="141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90.45%</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5,888.18</w:t>
            </w:r>
          </w:p>
        </w:tc>
        <w:tc>
          <w:tcPr>
            <w:tcW w:type="dxa" w:w="187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68.59</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124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15万元</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S6 综合政策</w:t>
            </w:r>
          </w:p>
        </w:tc>
        <w:tc>
          <w:tcPr>
            <w:tcW w:type="dxa" w:w="141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91.17%</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8,961.72</w:t>
            </w:r>
          </w:p>
        </w:tc>
        <w:tc>
          <w:tcPr>
            <w:tcW w:type="dxa" w:w="187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92.51</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124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5万元</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S6 综合政策</w:t>
            </w:r>
          </w:p>
        </w:tc>
        <w:tc>
          <w:tcPr>
            <w:tcW w:type="dxa" w:w="141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98.04%</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14,723.27</w:t>
            </w:r>
          </w:p>
        </w:tc>
        <w:tc>
          <w:tcPr>
            <w:tcW w:type="dxa" w:w="187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22.28</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124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10万元</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S6 综合政策</w:t>
            </w:r>
          </w:p>
        </w:tc>
        <w:tc>
          <w:tcPr>
            <w:tcW w:type="dxa" w:w="141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98.30%</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29,929.07</w:t>
            </w:r>
          </w:p>
        </w:tc>
        <w:tc>
          <w:tcPr>
            <w:tcW w:type="dxa" w:w="187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37.11</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124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15万元</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S6 综合政策</w:t>
            </w:r>
          </w:p>
        </w:tc>
        <w:tc>
          <w:tcPr>
            <w:tcW w:type="dxa" w:w="141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98.39%</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45,134.86</w:t>
            </w:r>
          </w:p>
        </w:tc>
        <w:tc>
          <w:tcPr>
            <w:tcW w:type="dxa" w:w="187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52.41</w:t>
            </w:r>
          </w:p>
        </w:tc>
      </w:tr>
    </w:tbl>
    <w:p>
      <w:pPr>
        <w:pStyle w:val="TableNote"/>
      </w:pPr>
      <w:r>
        <w:rPr>
          <w:rFonts w:ascii="Times New Roman" w:hAnsi="Times New Roman" w:eastAsia="宋体"/>
          <w:color w:val="555555"/>
          <w:sz w:val="18"/>
        </w:rPr>
        <w:t>注：NMB为净货币收益；EVPI为在当前策略集合及模型不确定性下消除参数不确定性的总体价值，不能直接解释为可支付研究预算。</w:t>
      </w:r>
    </w:p>
    <w:p>
      <w:pPr>
        <w:sectPr>
          <w:pgSz w:w="16838" w:h="11906" w:orient="landscape"/>
          <w:pgMar w:top="1020" w:right="1020" w:bottom="1020" w:left="1020" w:header="624" w:footer="624" w:gutter="0"/>
          <w:cols w:space="720"/>
          <w:docGrid w:linePitch="360"/>
        </w:sectPr>
      </w:pPr>
    </w:p>
    <w:p>
      <w:pPr>
        <w:keepNext/>
        <w:jc w:val="center"/>
      </w:pPr>
      <w:r>
        <w:drawing>
          <wp:inline xmlns:a="http://schemas.openxmlformats.org/drawingml/2006/main" xmlns:pic="http://schemas.openxmlformats.org/drawingml/2006/picture">
            <wp:extent cx="5760000" cy="1916975"/>
            <wp:docPr id="3" name="Picture 3" title="图3 政策实施成本视角的成本效果可接受曲线" descr="政策实施成本视角的成本效果可接受曲线"/>
            <wp:cNvGraphicFramePr>
              <a:graphicFrameLocks noChangeAspect="1"/>
            </wp:cNvGraphicFramePr>
            <a:graphic>
              <a:graphicData uri="http://schemas.openxmlformats.org/drawingml/2006/picture">
                <pic:pic>
                  <pic:nvPicPr>
                    <pic:cNvPr id="0" name="figure_1_ceac_programme_only.png"/>
                    <pic:cNvPicPr/>
                  </pic:nvPicPr>
                  <pic:blipFill>
                    <a:blip r:embed="rId13"/>
                    <a:stretch>
                      <a:fillRect/>
                    </a:stretch>
                  </pic:blipFill>
                  <pic:spPr>
                    <a:xfrm>
                      <a:off x="0" y="0"/>
                      <a:ext cx="5760000" cy="1916975"/>
                    </a:xfrm>
                    <a:prstGeom prst="rect"/>
                  </pic:spPr>
                </pic:pic>
              </a:graphicData>
            </a:graphic>
          </wp:inline>
        </w:drawing>
      </w:r>
    </w:p>
    <w:p>
      <w:pPr>
        <w:pStyle w:val="Caption"/>
        <w:jc w:val="center"/>
      </w:pPr>
      <w:r>
        <w:rPr>
          <w:rFonts w:ascii="Times New Roman" w:hAnsi="Times New Roman" w:eastAsia="黑体"/>
          <w:b/>
          <w:color w:val="000000"/>
          <w:sz w:val="21"/>
        </w:rPr>
        <w:t>图3  政策实施成本视角的成本效果可接受曲线</w:t>
      </w:r>
    </w:p>
    <w:p>
      <w:pPr>
        <w:pStyle w:val="TableNote"/>
        <w:jc w:val="left"/>
      </w:pPr>
      <w:r>
        <w:rPr>
          <w:rFonts w:ascii="Times New Roman" w:hAnsi="Times New Roman" w:eastAsia="宋体"/>
          <w:color w:val="555555"/>
          <w:sz w:val="18"/>
        </w:rPr>
        <w:t>注：横轴为支付意愿，纵轴为各策略成为成本效果最优方案的概率。</w:t>
      </w:r>
    </w:p>
    <w:p>
      <w:pPr>
        <w:sectPr>
          <w:pgSz w:w="11906" w:h="16838"/>
          <w:pgMar w:top="1304" w:right="1361" w:bottom="1304" w:left="1361" w:header="624" w:footer="624" w:gutter="0"/>
          <w:cols w:space="720"/>
          <w:docGrid w:linePitch="360"/>
        </w:sectPr>
      </w:pPr>
    </w:p>
    <w:p>
      <w:pPr>
        <w:pStyle w:val="Heading2"/>
        <w:keepNext/>
      </w:pPr>
      <w:r>
        <w:rPr>
          <w:rFonts w:ascii="Times New Roman" w:hAnsi="Times New Roman" w:eastAsia="黑体"/>
          <w:b/>
          <w:color w:val="000000"/>
          <w:sz w:val="28"/>
        </w:rPr>
        <w:t>3.6  部分公共支付方桥接结果</w:t>
      </w:r>
    </w:p>
    <w:p>
      <w:pPr>
        <w:keepLines w:val="0"/>
      </w:pPr>
      <w:r>
        <w:rPr>
          <w:rFonts w:ascii="Times New Roman" w:hAnsi="Times New Roman" w:eastAsia="宋体"/>
          <w:color w:val="000000"/>
          <w:sz w:val="24"/>
        </w:rPr>
        <w:t>D4部分直接医疗费用节约和D5全国公共支付比例纳入后，S6在5年、10年和26年评价期的平均部分公共支付方净成本分别为149.99亿元、166.43亿元和38.13亿元；出现健康改善且部分公共支付方净成本为负的概率分别为0.02%、2.81%和38.56%。S4和S5在十年期及长期桥接结果中的成本节约概率较高，但该结果不代表完整13病种医保节约。</w:t>
      </w:r>
    </w:p>
    <w:p>
      <w:pPr>
        <w:pStyle w:val="Caption"/>
        <w:keepNext/>
        <w:jc w:val="center"/>
      </w:pPr>
      <w:r>
        <w:rPr>
          <w:rFonts w:ascii="Times New Roman" w:hAnsi="Times New Roman" w:eastAsia="黑体"/>
          <w:b/>
          <w:color w:val="000000"/>
          <w:sz w:val="21"/>
        </w:rPr>
        <w:t>表14  各策略的部分医疗费用节约与公共支付方桥接结果</w:t>
      </w:r>
    </w:p>
    <w:tbl>
      <w:tblPr>
        <w:tblW w:type="dxa" w:w="12246"/>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1020"/>
        <w:gridCol w:w="850"/>
        <w:gridCol w:w="1531"/>
        <w:gridCol w:w="1928"/>
        <w:gridCol w:w="3402"/>
        <w:gridCol w:w="1701"/>
        <w:gridCol w:w="1814"/>
      </w:tblGrid>
      <w:tr>
        <w:trPr>
          <w:trBorders>
            <w:bottom w:val="single" w:sz="8" w:color="000000"/>
          </w:trBorders>
          <w:tblHeader w:val="true"/>
        </w:trPr>
        <w:tc>
          <w:tcPr>
            <w:tcW w:type="dxa" w:w="102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评价期</w:t>
            </w:r>
          </w:p>
        </w:tc>
        <w:tc>
          <w:tcPr>
            <w:tcW w:type="dxa" w:w="85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策略</w:t>
            </w:r>
          </w:p>
        </w:tc>
        <w:tc>
          <w:tcPr>
            <w:tcW w:type="dxa" w:w="153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政策</w:t>
            </w:r>
          </w:p>
        </w:tc>
        <w:tc>
          <w:tcPr>
            <w:tcW w:type="dxa" w:w="192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部分直接医疗</w:t>
              <w:br/>
              <w:t>节约均值（亿元）</w:t>
            </w:r>
          </w:p>
        </w:tc>
        <w:tc>
          <w:tcPr>
            <w:tcW w:type="dxa" w:w="3402"/>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部分公共支付方净成本</w:t>
              <w:br/>
              <w:t>均值（95% UI），亿元</w:t>
            </w:r>
          </w:p>
        </w:tc>
        <w:tc>
          <w:tcPr>
            <w:tcW w:type="dxa" w:w="170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净成本&lt;0概率</w:t>
            </w:r>
          </w:p>
        </w:tc>
        <w:tc>
          <w:tcPr>
            <w:tcW w:type="dxa" w:w="181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桥接平均</w:t>
              <w:br/>
              <w:t>成本/DALY</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S1</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健康宣教</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3.49</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5.82（-1.13～13.52）</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3.95%</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3,034</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S2</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社区健身</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10.53</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39.26（18.81～61.48）</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0.17%</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6,801</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S3</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公共健身设施</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8.63</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82.75（40.56～146.33）</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0.01%</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17,560</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S4</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体卫融合</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17.56</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3.37（-20.69～18.36）</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27.29%</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350</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S5</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智慧健身</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8.50</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2.47（-10.66～12.55）</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25.35%</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531</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S6</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综合政策</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19.69</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149.99（72.06～267.13）</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0.02%</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13,919</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S1</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健康宣教</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15.92</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3.59（-20.10～20.51）</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28.17%</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457</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S2</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社区健身</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48.01</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80.78（14.02～140.46）</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1.46%</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3,410</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S3</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公共健身设施</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55.42</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51.40（-22.80～124.76）</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6.41%</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1,911</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S4</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体卫融合</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80.10</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-23.66（-114.72～22.82）</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77.14%</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-600</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S5</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智慧健身</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38.76</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-13.56（-62.17～12.06）</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79.71%</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-711</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S6</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综合政策</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126.45</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166.43（-6.65～363.81）</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2.81%</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2,707</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S1</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健康宣教</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58.62</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-11.40（-92.33～33.60）</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59.17%</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-387</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S2</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社区健身</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176.79</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149.67（-59.54～310.01）</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5.72%</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1,688</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S3</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公共健身设施</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266.33</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-96.05（-382.05～53.19）</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84.84%</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-722</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S4</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体卫融合</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294.93</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-136.53（-443.63～11.91）</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95.86%</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-925</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S5</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智慧健身</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142.65</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-75.11（-243.03～5.02）</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96.00%</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-1,052</w:t>
            </w:r>
          </w:p>
        </w:tc>
      </w:tr>
      <w:tr>
        <w:trPr>
          <w:cantSplit/>
        </w:trPr>
        <w:tc>
          <w:tcPr>
            <w:tcW w:type="dxa" w:w="102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850"/>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S6</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综合政策</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607.65</w:t>
            </w:r>
          </w:p>
        </w:tc>
        <w:tc>
          <w:tcPr>
            <w:tcW w:type="dxa" w:w="3402"/>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38.13（-591.20～487.61）</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38.56%</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125</w:t>
            </w:r>
          </w:p>
        </w:tc>
      </w:tr>
    </w:tbl>
    <w:p>
      <w:pPr>
        <w:pStyle w:val="TableNote"/>
      </w:pPr>
      <w:r>
        <w:rPr>
          <w:rFonts w:ascii="Times New Roman" w:hAnsi="Times New Roman" w:eastAsia="宋体"/>
          <w:color w:val="555555"/>
          <w:sz w:val="18"/>
        </w:rPr>
        <w:t>注：部分公共支付方净成本=政策成本−按全国桥接比例计算的部分医疗费用节约；负值表示成本节约。</w:t>
      </w:r>
    </w:p>
    <w:p>
      <w:pPr>
        <w:pStyle w:val="Caption"/>
        <w:keepNext/>
        <w:jc w:val="center"/>
      </w:pPr>
      <w:r>
        <w:rPr>
          <w:rFonts w:ascii="Times New Roman" w:hAnsi="Times New Roman" w:eastAsia="黑体"/>
          <w:b/>
          <w:color w:val="000000"/>
          <w:sz w:val="21"/>
        </w:rPr>
        <w:t>表15  D4首年直接医疗费用参数覆盖</w:t>
      </w:r>
    </w:p>
    <w:tbl>
      <w:tblPr>
        <w:tblW w:type="dxa" w:w="12132"/>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1814"/>
        <w:gridCol w:w="2268"/>
        <w:gridCol w:w="1701"/>
        <w:gridCol w:w="4535"/>
        <w:gridCol w:w="1814"/>
      </w:tblGrid>
      <w:tr>
        <w:trPr>
          <w:trBorders>
            <w:bottom w:val="single" w:sz="8" w:color="000000"/>
          </w:trBorders>
          <w:tblHeader w:val="true"/>
        </w:trPr>
        <w:tc>
          <w:tcPr>
            <w:tcW w:type="dxa" w:w="181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疾病</w:t>
            </w:r>
          </w:p>
        </w:tc>
        <w:tc>
          <w:tcPr>
            <w:tcW w:type="dxa" w:w="226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D4状态</w:t>
            </w:r>
          </w:p>
        </w:tc>
        <w:tc>
          <w:tcPr>
            <w:tcW w:type="dxa" w:w="170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首年费用</w:t>
              <w:br/>
              <w:t>（2025元）</w:t>
            </w:r>
          </w:p>
        </w:tc>
        <w:tc>
          <w:tcPr>
            <w:tcW w:type="dxa" w:w="4535"/>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费用边界</w:t>
            </w:r>
          </w:p>
        </w:tc>
        <w:tc>
          <w:tcPr>
            <w:tcW w:type="dxa" w:w="181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完整公共支付方CEA就绪</w:t>
            </w:r>
          </w:p>
        </w:tc>
      </w:tr>
      <w:tr>
        <w:trPr>
          <w:cantSplit/>
        </w:trPr>
        <w:tc>
          <w:tcPr>
            <w:tcW w:type="dxa" w:w="1814"/>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缺血性心脏病</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可计入代理</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1,464</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incident case first-year direct medical cost</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否</w:t>
            </w:r>
          </w:p>
        </w:tc>
      </w:tr>
      <w:tr>
        <w:trPr>
          <w:cantSplit/>
        </w:trPr>
        <w:tc>
          <w:tcPr>
            <w:tcW w:type="dxa" w:w="1814"/>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卒中</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可计入代理</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5,639</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incident case first-year direct medical cost</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否</w:t>
            </w:r>
          </w:p>
        </w:tc>
      </w:tr>
      <w:tr>
        <w:trPr>
          <w:cantSplit/>
        </w:trPr>
        <w:tc>
          <w:tcPr>
            <w:tcW w:type="dxa" w:w="1814"/>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2型糖尿病</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严格首年费用缺失</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incident case first-year direct medical cost</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否</w:t>
            </w:r>
          </w:p>
        </w:tc>
      </w:tr>
      <w:tr>
        <w:trPr>
          <w:cantSplit/>
        </w:trPr>
        <w:tc>
          <w:tcPr>
            <w:tcW w:type="dxa" w:w="1814"/>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高血压</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严格首年费用缺失</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incident case first-year direct medical cost</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否</w:t>
            </w:r>
          </w:p>
        </w:tc>
      </w:tr>
      <w:tr>
        <w:trPr>
          <w:cantSplit/>
        </w:trPr>
        <w:tc>
          <w:tcPr>
            <w:tcW w:type="dxa" w:w="1814"/>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膀胱癌</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可计入代理</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17,918</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incident case first-year direct medical cost</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否</w:t>
            </w:r>
          </w:p>
        </w:tc>
      </w:tr>
      <w:tr>
        <w:trPr>
          <w:cantSplit/>
        </w:trPr>
        <w:tc>
          <w:tcPr>
            <w:tcW w:type="dxa" w:w="1814"/>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乳腺癌</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可计入代理</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11,945</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incident case first-year direct medical cost</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否</w:t>
            </w:r>
          </w:p>
        </w:tc>
      </w:tr>
      <w:tr>
        <w:trPr>
          <w:cantSplit/>
        </w:trPr>
        <w:tc>
          <w:tcPr>
            <w:tcW w:type="dxa" w:w="1814"/>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结直肠癌</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可计入代理</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24,567</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incident case first-year direct medical cost</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否</w:t>
            </w:r>
          </w:p>
        </w:tc>
      </w:tr>
      <w:tr>
        <w:trPr>
          <w:cantSplit/>
        </w:trPr>
        <w:tc>
          <w:tcPr>
            <w:tcW w:type="dxa" w:w="1814"/>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子宫内膜癌</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可计入代理</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22,329</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incident case first-year direct medical cost</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否</w:t>
            </w:r>
          </w:p>
        </w:tc>
      </w:tr>
      <w:tr>
        <w:trPr>
          <w:cantSplit/>
        </w:trPr>
        <w:tc>
          <w:tcPr>
            <w:tcW w:type="dxa" w:w="1814"/>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食管癌</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可计入代理</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7,961</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incident case first-year direct medical cost</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否</w:t>
            </w:r>
          </w:p>
        </w:tc>
      </w:tr>
      <w:tr>
        <w:trPr>
          <w:cantSplit/>
        </w:trPr>
        <w:tc>
          <w:tcPr>
            <w:tcW w:type="dxa" w:w="1814"/>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胃癌</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可计入代理</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7,961</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incident case first-year direct medical cost</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否</w:t>
            </w:r>
          </w:p>
        </w:tc>
      </w:tr>
      <w:tr>
        <w:trPr>
          <w:cantSplit/>
        </w:trPr>
        <w:tc>
          <w:tcPr>
            <w:tcW w:type="dxa" w:w="1814"/>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肾癌</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可计入代理</w:t>
            </w:r>
          </w:p>
        </w:tc>
        <w:tc>
          <w:tcPr>
            <w:tcW w:type="dxa" w:w="170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13,135</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incident case first-year direct medical cost</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否</w:t>
            </w:r>
          </w:p>
        </w:tc>
      </w:tr>
      <w:tr>
        <w:trPr>
          <w:cantSplit/>
        </w:trPr>
        <w:tc>
          <w:tcPr>
            <w:tcW w:type="dxa" w:w="1814"/>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痴呆</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严格首年费用缺失</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incident case first-year direct medical cost</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否</w:t>
            </w:r>
          </w:p>
        </w:tc>
      </w:tr>
      <w:tr>
        <w:trPr>
          <w:cantSplit/>
        </w:trPr>
        <w:tc>
          <w:tcPr>
            <w:tcW w:type="dxa" w:w="1814"/>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抑郁症</w:t>
            </w:r>
          </w:p>
        </w:tc>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严格首年费用缺失</w:t>
            </w:r>
          </w:p>
        </w:tc>
        <w:tc>
          <w:tcPr>
            <w:tcW w:type="dxa" w:w="170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incident case first-year direct medical cost</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否</w:t>
            </w:r>
          </w:p>
        </w:tc>
      </w:tr>
    </w:tbl>
    <w:p>
      <w:pPr>
        <w:pStyle w:val="TableNote"/>
      </w:pPr>
      <w:r>
        <w:rPr>
          <w:rFonts w:ascii="Times New Roman" w:hAnsi="Times New Roman" w:eastAsia="宋体"/>
          <w:color w:val="555555"/>
          <w:sz w:val="18"/>
        </w:rPr>
        <w:t>注：可计入代理的疾病为IHD、卒中和7种癌症；费用参数用于部分费用桥接，不等同于中国病种特异最终费用。</w:t>
      </w:r>
    </w:p>
    <w:p>
      <w:pPr>
        <w:sectPr>
          <w:pgSz w:w="16838" w:h="11906" w:orient="landscape"/>
          <w:pgMar w:top="1020" w:right="1020" w:bottom="1020" w:left="1020" w:header="624" w:footer="624" w:gutter="0"/>
          <w:cols w:space="720"/>
          <w:docGrid w:linePitch="360"/>
        </w:sectPr>
      </w:pPr>
    </w:p>
    <w:p>
      <w:pPr>
        <w:keepNext/>
        <w:jc w:val="center"/>
      </w:pPr>
      <w:r>
        <w:drawing>
          <wp:inline xmlns:a="http://schemas.openxmlformats.org/drawingml/2006/main" xmlns:pic="http://schemas.openxmlformats.org/drawingml/2006/picture">
            <wp:extent cx="5760000" cy="1916975"/>
            <wp:docPr id="4" name="Picture 4" title="图4 部分公共支付方桥接视角的成本效果可接受曲线" descr="部分公共支付方桥接视角的成本效果可接受曲线"/>
            <wp:cNvGraphicFramePr>
              <a:graphicFrameLocks noChangeAspect="1"/>
            </wp:cNvGraphicFramePr>
            <a:graphic>
              <a:graphicData uri="http://schemas.openxmlformats.org/drawingml/2006/picture">
                <pic:pic>
                  <pic:nvPicPr>
                    <pic:cNvPr id="0" name="figure_2_ceac_partial_public_payer.png"/>
                    <pic:cNvPicPr/>
                  </pic:nvPicPr>
                  <pic:blipFill>
                    <a:blip r:embed="rId14"/>
                    <a:stretch>
                      <a:fillRect/>
                    </a:stretch>
                  </pic:blipFill>
                  <pic:spPr>
                    <a:xfrm>
                      <a:off x="0" y="0"/>
                      <a:ext cx="5760000" cy="1916975"/>
                    </a:xfrm>
                    <a:prstGeom prst="rect"/>
                  </pic:spPr>
                </pic:pic>
              </a:graphicData>
            </a:graphic>
          </wp:inline>
        </w:drawing>
      </w:r>
    </w:p>
    <w:p>
      <w:pPr>
        <w:pStyle w:val="Caption"/>
        <w:jc w:val="center"/>
      </w:pPr>
      <w:r>
        <w:rPr>
          <w:rFonts w:ascii="Times New Roman" w:hAnsi="Times New Roman" w:eastAsia="黑体"/>
          <w:b/>
          <w:color w:val="000000"/>
          <w:sz w:val="21"/>
        </w:rPr>
        <w:t>图4  部分公共支付方桥接视角的成本效果可接受曲线</w:t>
      </w:r>
    </w:p>
    <w:p>
      <w:pPr>
        <w:pStyle w:val="TableNote"/>
        <w:jc w:val="left"/>
      </w:pPr>
      <w:r>
        <w:rPr>
          <w:rFonts w:ascii="Times New Roman" w:hAnsi="Times New Roman" w:eastAsia="宋体"/>
          <w:color w:val="555555"/>
          <w:sz w:val="18"/>
        </w:rPr>
        <w:t>注：该图仅用于桥接情景；必须与D4部分费用覆盖和D5全国支付比例限定同时报告。</w:t>
      </w:r>
    </w:p>
    <w:p>
      <w:pPr>
        <w:pStyle w:val="Heading2"/>
        <w:keepNext/>
      </w:pPr>
      <w:r>
        <w:rPr>
          <w:rFonts w:ascii="Times New Roman" w:hAnsi="Times New Roman" w:eastAsia="黑体"/>
          <w:b/>
          <w:color w:val="000000"/>
          <w:sz w:val="28"/>
        </w:rPr>
        <w:t>3.7  长期健康收益构成与D10卫星结果</w:t>
      </w:r>
    </w:p>
    <w:p>
      <w:pPr>
        <w:keepLines w:val="0"/>
      </w:pPr>
      <w:r>
        <w:rPr>
          <w:rFonts w:ascii="Times New Roman" w:hAnsi="Times New Roman" w:eastAsia="宋体"/>
          <w:color w:val="000000"/>
          <w:sz w:val="24"/>
        </w:rPr>
        <w:t>在2025—2050年主维持路径下，S6未贴现避免DALY主要来自缺血性心脏病、卒中和痴呆，贡献分别为30.50%、24.77%和19.12%，三者合计74.38%。70岁及以上人群贡献69.86%，男性贡献56.34%。这些结果反映了人口老龄化、疾病基线负担及疾病率趋势的共同作用。</w:t>
      </w:r>
    </w:p>
    <w:p>
      <w:pPr>
        <w:pStyle w:val="Caption"/>
        <w:keepNext/>
        <w:jc w:val="center"/>
      </w:pPr>
      <w:r>
        <w:rPr>
          <w:rFonts w:ascii="Times New Roman" w:hAnsi="Times New Roman" w:eastAsia="黑体"/>
          <w:b/>
          <w:color w:val="000000"/>
          <w:sz w:val="21"/>
        </w:rPr>
        <w:t>表16  2025—2050年S6避免DALY的疾病构成</w:t>
      </w:r>
    </w:p>
    <w:tbl>
      <w:tblPr>
        <w:tblW w:type="dxa" w:w="9071"/>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3628"/>
        <w:gridCol w:w="1928"/>
        <w:gridCol w:w="1928"/>
        <w:gridCol w:w="1587"/>
      </w:tblGrid>
      <w:tr>
        <w:trPr>
          <w:trBorders>
            <w:bottom w:val="single" w:sz="8" w:color="000000"/>
          </w:trBorders>
          <w:tblHeader w:val="true"/>
        </w:trPr>
        <w:tc>
          <w:tcPr>
            <w:tcW w:type="dxa" w:w="362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7"/>
              </w:rPr>
              <w:t>疾病</w:t>
            </w:r>
          </w:p>
        </w:tc>
        <w:tc>
          <w:tcPr>
            <w:tcW w:type="dxa" w:w="192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7"/>
              </w:rPr>
              <w:t>未贴现避免DALY（万）</w:t>
            </w:r>
          </w:p>
        </w:tc>
        <w:tc>
          <w:tcPr>
            <w:tcW w:type="dxa" w:w="192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7"/>
              </w:rPr>
              <w:t>贴现避免DALY（万）</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7"/>
              </w:rPr>
              <w:t>贡献比例</w:t>
            </w:r>
          </w:p>
        </w:tc>
      </w:tr>
      <w:tr>
        <w:trPr>
          <w:cantSplit/>
        </w:trPr>
        <w:tc>
          <w:tcPr>
            <w:tcW w:type="dxa" w:w="3628"/>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7"/>
              </w:rPr>
              <w:t>缺血性心脏病</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1,423.09</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906.10</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30.50%</w:t>
            </w:r>
          </w:p>
        </w:tc>
      </w:tr>
      <w:tr>
        <w:trPr>
          <w:cantSplit/>
        </w:trPr>
        <w:tc>
          <w:tcPr>
            <w:tcW w:type="dxa" w:w="3628"/>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7"/>
              </w:rPr>
              <w:t>卒中（3亚型合计）</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1,146.68</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735.84</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24.77%</w:t>
            </w:r>
          </w:p>
        </w:tc>
      </w:tr>
      <w:tr>
        <w:trPr>
          <w:cantSplit/>
        </w:trPr>
        <w:tc>
          <w:tcPr>
            <w:tcW w:type="dxa" w:w="3628"/>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7"/>
              </w:rPr>
              <w:t>痴呆</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950.86</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567.91</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19.12%</w:t>
            </w:r>
          </w:p>
        </w:tc>
      </w:tr>
      <w:tr>
        <w:trPr>
          <w:cantSplit/>
        </w:trPr>
        <w:tc>
          <w:tcPr>
            <w:tcW w:type="dxa" w:w="3628"/>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7"/>
              </w:rPr>
              <w:t>抑郁症</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323.30</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211.42</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7.12%</w:t>
            </w:r>
          </w:p>
        </w:tc>
      </w:tr>
      <w:tr>
        <w:trPr>
          <w:cantSplit/>
        </w:trPr>
        <w:tc>
          <w:tcPr>
            <w:tcW w:type="dxa" w:w="3628"/>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7"/>
              </w:rPr>
              <w:t>2型糖尿病</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298.96</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192.13</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6.47%</w:t>
            </w:r>
          </w:p>
        </w:tc>
      </w:tr>
      <w:tr>
        <w:trPr>
          <w:cantSplit/>
        </w:trPr>
        <w:tc>
          <w:tcPr>
            <w:tcW w:type="dxa" w:w="3628"/>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7"/>
              </w:rPr>
              <w:t>胃癌</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228.33</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143.70</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4.84%</w:t>
            </w:r>
          </w:p>
        </w:tc>
      </w:tr>
      <w:tr>
        <w:trPr>
          <w:cantSplit/>
        </w:trPr>
        <w:tc>
          <w:tcPr>
            <w:tcW w:type="dxa" w:w="3628"/>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7"/>
              </w:rPr>
              <w:t>食管癌</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176.91</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110.92</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3.73%</w:t>
            </w:r>
          </w:p>
        </w:tc>
      </w:tr>
      <w:tr>
        <w:trPr>
          <w:cantSplit/>
        </w:trPr>
        <w:tc>
          <w:tcPr>
            <w:tcW w:type="dxa" w:w="3628"/>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7"/>
              </w:rPr>
              <w:t>结直肠癌</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100.75</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63.09</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2.12%</w:t>
            </w:r>
          </w:p>
        </w:tc>
      </w:tr>
      <w:tr>
        <w:trPr>
          <w:cantSplit/>
        </w:trPr>
        <w:tc>
          <w:tcPr>
            <w:tcW w:type="dxa" w:w="3628"/>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7"/>
              </w:rPr>
              <w:t>乳腺癌</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25.21</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15.96</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0.54%</w:t>
            </w:r>
          </w:p>
        </w:tc>
      </w:tr>
      <w:tr>
        <w:trPr>
          <w:cantSplit/>
        </w:trPr>
        <w:tc>
          <w:tcPr>
            <w:tcW w:type="dxa" w:w="3628"/>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7"/>
              </w:rPr>
              <w:t>肾癌</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20.58</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12.90</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0.43%</w:t>
            </w:r>
          </w:p>
        </w:tc>
      </w:tr>
      <w:tr>
        <w:trPr>
          <w:cantSplit/>
        </w:trPr>
        <w:tc>
          <w:tcPr>
            <w:tcW w:type="dxa" w:w="3628"/>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7"/>
              </w:rPr>
              <w:t>膀胱癌</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14.61</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9.07</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0.31%</w:t>
            </w:r>
          </w:p>
        </w:tc>
      </w:tr>
      <w:tr>
        <w:trPr>
          <w:cantSplit/>
        </w:trPr>
        <w:tc>
          <w:tcPr>
            <w:tcW w:type="dxa" w:w="3628"/>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7"/>
              </w:rPr>
              <w:t>子宫内膜癌（GBD子宫癌代理）</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2.93</w:t>
            </w:r>
          </w:p>
        </w:tc>
        <w:tc>
          <w:tcPr>
            <w:tcW w:type="dxa" w:w="192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1.86</w:t>
            </w:r>
          </w:p>
        </w:tc>
        <w:tc>
          <w:tcPr>
            <w:tcW w:type="dxa" w:w="158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0.06%</w:t>
            </w:r>
          </w:p>
        </w:tc>
      </w:tr>
    </w:tbl>
    <w:p>
      <w:pPr>
        <w:pStyle w:val="TableNote"/>
      </w:pPr>
      <w:r>
        <w:rPr>
          <w:rFonts w:ascii="Times New Roman" w:hAnsi="Times New Roman" w:eastAsia="宋体"/>
          <w:color w:val="555555"/>
          <w:sz w:val="18"/>
        </w:rPr>
        <w:t>注：卒中为缺血性卒中、脑出血和蛛网膜下腔出血合计；子宫内膜癌采用GBD子宫癌代理。</w:t>
      </w:r>
    </w:p>
    <w:p>
      <w:pPr>
        <w:pStyle w:val="Caption"/>
        <w:keepNext/>
        <w:jc w:val="center"/>
      </w:pPr>
      <w:r>
        <w:rPr>
          <w:rFonts w:ascii="Times New Roman" w:hAnsi="Times New Roman" w:eastAsia="黑体"/>
          <w:b/>
          <w:color w:val="000000"/>
          <w:sz w:val="21"/>
        </w:rPr>
        <w:t>表17  2025—2050年S6避免DALY的年龄构成</w:t>
      </w:r>
    </w:p>
    <w:tbl>
      <w:tblPr>
        <w:tblW w:type="dxa" w:w="9071"/>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2268"/>
        <w:gridCol w:w="2381"/>
        <w:gridCol w:w="2381"/>
        <w:gridCol w:w="2041"/>
      </w:tblGrid>
      <w:tr>
        <w:trPr>
          <w:trBorders>
            <w:bottom w:val="single" w:sz="8" w:color="000000"/>
          </w:trBorders>
          <w:tblHeader w:val="true"/>
        </w:trPr>
        <w:tc>
          <w:tcPr>
            <w:tcW w:type="dxa" w:w="226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7"/>
              </w:rPr>
              <w:t>年龄组</w:t>
            </w:r>
          </w:p>
        </w:tc>
        <w:tc>
          <w:tcPr>
            <w:tcW w:type="dxa" w:w="238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7"/>
              </w:rPr>
              <w:t>未贴现避免DALY（万）</w:t>
            </w:r>
          </w:p>
        </w:tc>
        <w:tc>
          <w:tcPr>
            <w:tcW w:type="dxa" w:w="238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7"/>
              </w:rPr>
              <w:t>贴现避免DALY（万）</w:t>
            </w:r>
          </w:p>
        </w:tc>
        <w:tc>
          <w:tcPr>
            <w:tcW w:type="dxa" w:w="204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7"/>
              </w:rPr>
              <w:t>贡献比例</w:t>
            </w:r>
          </w:p>
        </w:tc>
      </w:tr>
      <w:tr>
        <w:trPr>
          <w:cantSplit/>
        </w:trPr>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20-24</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16.88</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11.55</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0.39%</w:t>
            </w:r>
          </w:p>
        </w:tc>
      </w:tr>
      <w:tr>
        <w:trPr>
          <w:cantSplit/>
        </w:trPr>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25-29</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24.26</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16.14</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0.54%</w:t>
            </w:r>
          </w:p>
        </w:tc>
      </w:tr>
      <w:tr>
        <w:trPr>
          <w:cantSplit/>
        </w:trPr>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30-34</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39.10</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25.44</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0.86%</w:t>
            </w:r>
          </w:p>
        </w:tc>
      </w:tr>
      <w:tr>
        <w:trPr>
          <w:cantSplit/>
        </w:trPr>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35-39</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63.19</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41.48</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1.40%</w:t>
            </w:r>
          </w:p>
        </w:tc>
      </w:tr>
      <w:tr>
        <w:trPr>
          <w:cantSplit/>
        </w:trPr>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40-44</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75.39</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50.37</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1.70%</w:t>
            </w:r>
          </w:p>
        </w:tc>
      </w:tr>
      <w:tr>
        <w:trPr>
          <w:cantSplit/>
        </w:trPr>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45-49</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98.66</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65.78</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2.21%</w:t>
            </w:r>
          </w:p>
        </w:tc>
      </w:tr>
      <w:tr>
        <w:trPr>
          <w:cantSplit/>
        </w:trPr>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50-54</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122.71</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80.38</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2.71%</w:t>
            </w:r>
          </w:p>
        </w:tc>
      </w:tr>
      <w:tr>
        <w:trPr>
          <w:cantSplit/>
        </w:trPr>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55-59</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240.02</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154.66</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5.21%</w:t>
            </w:r>
          </w:p>
        </w:tc>
      </w:tr>
      <w:tr>
        <w:trPr>
          <w:cantSplit/>
        </w:trPr>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60-64</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339.07</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221.13</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7.44%</w:t>
            </w:r>
          </w:p>
        </w:tc>
      </w:tr>
      <w:tr>
        <w:trPr>
          <w:cantSplit/>
        </w:trPr>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65-69</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349.32</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228.39</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7.69%</w:t>
            </w:r>
          </w:p>
        </w:tc>
      </w:tr>
      <w:tr>
        <w:trPr>
          <w:cantSplit/>
        </w:trPr>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70+</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3,343.59</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2,075.58</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69.86%</w:t>
            </w:r>
          </w:p>
        </w:tc>
      </w:tr>
    </w:tbl>
    <w:p>
      <w:pPr>
        <w:pStyle w:val="Caption"/>
        <w:keepNext/>
        <w:jc w:val="center"/>
      </w:pPr>
      <w:r>
        <w:rPr>
          <w:rFonts w:ascii="Times New Roman" w:hAnsi="Times New Roman" w:eastAsia="黑体"/>
          <w:b/>
          <w:color w:val="000000"/>
          <w:sz w:val="21"/>
        </w:rPr>
        <w:t>表18  2025—2050年S6避免DALY的性别构成</w:t>
      </w:r>
    </w:p>
    <w:tbl>
      <w:tblPr>
        <w:tblW w:type="dxa" w:w="9071"/>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2268"/>
        <w:gridCol w:w="2381"/>
        <w:gridCol w:w="2381"/>
        <w:gridCol w:w="2041"/>
      </w:tblGrid>
      <w:tr>
        <w:trPr>
          <w:trBorders>
            <w:bottom w:val="single" w:sz="8" w:color="000000"/>
          </w:trBorders>
          <w:tblHeader w:val="true"/>
        </w:trPr>
        <w:tc>
          <w:tcPr>
            <w:tcW w:type="dxa" w:w="226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7"/>
              </w:rPr>
              <w:t>性别</w:t>
            </w:r>
          </w:p>
        </w:tc>
        <w:tc>
          <w:tcPr>
            <w:tcW w:type="dxa" w:w="238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7"/>
              </w:rPr>
              <w:t>未贴现避免DALY（万）</w:t>
            </w:r>
          </w:p>
        </w:tc>
        <w:tc>
          <w:tcPr>
            <w:tcW w:type="dxa" w:w="238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7"/>
              </w:rPr>
              <w:t>贴现避免DALY（万）</w:t>
            </w:r>
          </w:p>
        </w:tc>
        <w:tc>
          <w:tcPr>
            <w:tcW w:type="dxa" w:w="204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7"/>
              </w:rPr>
              <w:t>贡献比例</w:t>
            </w:r>
          </w:p>
        </w:tc>
      </w:tr>
      <w:tr>
        <w:trPr>
          <w:cantSplit/>
        </w:trPr>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女性</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2,064.48</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1,297.08</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43.66%</w:t>
            </w:r>
          </w:p>
        </w:tc>
      </w:tr>
      <w:tr>
        <w:trPr>
          <w:cantSplit/>
        </w:trPr>
        <w:tc>
          <w:tcPr>
            <w:tcW w:type="dxa" w:w="226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男性</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2,647.73</w:t>
            </w:r>
          </w:p>
        </w:tc>
        <w:tc>
          <w:tcPr>
            <w:tcW w:type="dxa" w:w="238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1,673.82</w:t>
            </w:r>
          </w:p>
        </w:tc>
        <w:tc>
          <w:tcPr>
            <w:tcW w:type="dxa" w:w="204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7"/>
              </w:rPr>
              <w:t>56.34%</w:t>
            </w:r>
          </w:p>
        </w:tc>
      </w:tr>
    </w:tbl>
    <w:p>
      <w:pPr>
        <w:pStyle w:val="Caption"/>
        <w:keepNext/>
        <w:jc w:val="center"/>
      </w:pPr>
      <w:r>
        <w:rPr>
          <w:rFonts w:ascii="Times New Roman" w:hAnsi="Times New Roman" w:eastAsia="黑体"/>
          <w:b/>
          <w:color w:val="000000"/>
          <w:sz w:val="21"/>
        </w:rPr>
        <w:t>表19  D10痴呆长期照护社会成本卫星结果</w:t>
      </w:r>
    </w:p>
    <w:tbl>
      <w:tblPr>
        <w:tblW w:type="dxa" w:w="9071"/>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1134"/>
        <w:gridCol w:w="794"/>
        <w:gridCol w:w="2041"/>
        <w:gridCol w:w="2494"/>
        <w:gridCol w:w="2608"/>
      </w:tblGrid>
      <w:tr>
        <w:trPr>
          <w:trBorders>
            <w:bottom w:val="single" w:sz="8" w:color="000000"/>
          </w:trBorders>
          <w:tblHeader w:val="true"/>
        </w:trPr>
        <w:tc>
          <w:tcPr>
            <w:tcW w:type="dxa" w:w="113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评价期</w:t>
            </w:r>
          </w:p>
        </w:tc>
        <w:tc>
          <w:tcPr>
            <w:tcW w:type="dxa" w:w="79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策略</w:t>
            </w:r>
          </w:p>
        </w:tc>
        <w:tc>
          <w:tcPr>
            <w:tcW w:type="dxa" w:w="204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政策</w:t>
            </w:r>
          </w:p>
        </w:tc>
        <w:tc>
          <w:tcPr>
            <w:tcW w:type="dxa" w:w="249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痴呆避免患者年（万）</w:t>
            </w:r>
          </w:p>
        </w:tc>
        <w:tc>
          <w:tcPr>
            <w:tcW w:type="dxa" w:w="260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非医疗与非正式照护节约（亿元）</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S1</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健康宣教</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S2</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社区健身</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S3</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公共健身设施</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S4</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体卫融合</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S5</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智慧健身</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S6</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综合政策</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S7</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目标阈值</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S1</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健康宣教</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9.86</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91.53</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S2</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社区健身</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29.59</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274.59</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S3</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公共健身设施</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39.94</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370.63</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S4</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体卫融合</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49.32</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457.65</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S5</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智慧健身</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23.67</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219.67</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S6</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综合政策</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91.30</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847.15</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S7</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目标阈值</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147.96</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1,372.95</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S1</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健康宣教</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158.20</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1,467.96</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S2</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社区健身</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474.60</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4,403.87</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S3</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公共健身设施</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730.45</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6,777.89</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S4</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体卫融合</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791.01</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7,339.78</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S5</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智慧健身</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379.68</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3,523.09</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S6</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综合政策</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1,669.60</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15,492.32</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79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S7</w:t>
            </w:r>
          </w:p>
        </w:tc>
        <w:tc>
          <w:tcPr>
            <w:tcW w:type="dxa" w:w="204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目标阈值</w:t>
            </w:r>
          </w:p>
        </w:tc>
        <w:tc>
          <w:tcPr>
            <w:tcW w:type="dxa" w:w="249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2,373.02</w:t>
            </w:r>
          </w:p>
        </w:tc>
        <w:tc>
          <w:tcPr>
            <w:tcW w:type="dxa" w:w="260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22,019.33</w:t>
            </w:r>
          </w:p>
        </w:tc>
      </w:tr>
    </w:tbl>
    <w:p>
      <w:pPr>
        <w:pStyle w:val="TableNote"/>
      </w:pPr>
      <w:r>
        <w:rPr>
          <w:rFonts w:ascii="Times New Roman" w:hAnsi="Times New Roman" w:eastAsia="宋体"/>
          <w:color w:val="555555"/>
          <w:sz w:val="18"/>
        </w:rPr>
        <w:t>注：单位成本为92,790元/患者年；结果未贴现且为暂定社会成本卫星分析，不进入主CEA。5年期因痴呆滞后未形成避免患者年。</w:t>
      </w:r>
    </w:p>
    <w:p>
      <w:pPr>
        <w:sectPr>
          <w:pgSz w:w="11906" w:h="16838"/>
          <w:pgMar w:top="1304" w:right="1361" w:bottom="1304" w:left="1361" w:header="624" w:footer="624" w:gutter="0"/>
          <w:cols w:space="720"/>
          <w:docGrid w:linePitch="360"/>
        </w:sectPr>
      </w:pPr>
    </w:p>
    <w:p>
      <w:pPr>
        <w:pStyle w:val="Heading2"/>
        <w:keepNext/>
      </w:pPr>
      <w:r>
        <w:rPr>
          <w:rFonts w:ascii="Times New Roman" w:hAnsi="Times New Roman" w:eastAsia="黑体"/>
          <w:b/>
          <w:color w:val="000000"/>
          <w:sz w:val="28"/>
        </w:rPr>
        <w:t>3.8  D1、D2、D3与D9结构敏感性分析</w:t>
      </w:r>
    </w:p>
    <w:p>
      <w:pPr>
        <w:keepLines w:val="0"/>
      </w:pPr>
      <w:r>
        <w:rPr>
          <w:rFonts w:ascii="Times New Roman" w:hAnsi="Times New Roman" w:eastAsia="宋体"/>
          <w:color w:val="000000"/>
          <w:sz w:val="24"/>
        </w:rPr>
        <w:t>结构敏感性分析显示，疾病效应滞后是5年期结果的主要结构驱动因素：即时起效时S6避免DALY增至231.41万，延迟2年时降至48.29万。D2基线趋势设定仅影响2034年以后结果。D3趋势窗口主要改变疾病构成与病例趋势，而未导致模型失稳。长期结果对政策维持路径高度敏感：维持75%效应时累计避免DALY为3,696.10万，2034年后停止时降至2,150.63万。</w:t>
      </w:r>
    </w:p>
    <w:p>
      <w:pPr>
        <w:pStyle w:val="Caption"/>
        <w:keepNext/>
        <w:jc w:val="center"/>
      </w:pPr>
      <w:r>
        <w:rPr>
          <w:rFonts w:ascii="Times New Roman" w:hAnsi="Times New Roman" w:eastAsia="黑体"/>
          <w:b/>
          <w:color w:val="000000"/>
          <w:sz w:val="21"/>
        </w:rPr>
        <w:t>表20  D1结构敏感性分析：S6结果</w:t>
      </w:r>
    </w:p>
    <w:tbl>
      <w:tblPr>
        <w:tblW w:type="dxa" w:w="14287"/>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2438"/>
        <w:gridCol w:w="1134"/>
        <w:gridCol w:w="1701"/>
        <w:gridCol w:w="1701"/>
        <w:gridCol w:w="1701"/>
        <w:gridCol w:w="1984"/>
        <w:gridCol w:w="1701"/>
        <w:gridCol w:w="1928"/>
      </w:tblGrid>
      <w:tr>
        <w:trPr>
          <w:trBorders>
            <w:bottom w:val="single" w:sz="8" w:color="000000"/>
          </w:trBorders>
          <w:tblHeader w:val="true"/>
        </w:trPr>
        <w:tc>
          <w:tcPr>
            <w:tcW w:type="dxa" w:w="2438"/>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情景</w:t>
            </w:r>
          </w:p>
        </w:tc>
        <w:tc>
          <w:tcPr>
            <w:tcW w:type="dxa" w:w="1134"/>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评价期</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避免DALY（万）</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避免死亡（万）</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避免新发（万）</w:t>
            </w:r>
          </w:p>
        </w:tc>
        <w:tc>
          <w:tcPr>
            <w:tcW w:type="dxa" w:w="1984"/>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避免高血压患者年（万）</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贴现成本（亿元）</w:t>
            </w:r>
          </w:p>
        </w:tc>
        <w:tc>
          <w:tcPr>
            <w:tcW w:type="dxa" w:w="1928"/>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平均成本/DALY</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主分析</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120.08</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5.29</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100.39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164.32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164.84</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15,112</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主分析</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761.13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35.85</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473.75</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714.12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4,157</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主分析</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4,712.21</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245.90</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2,368.49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3,194.83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483.88</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1,629</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即时起效</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231.41</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10.86</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120.59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167.46</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164.84</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7,742</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即时起效</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999.98</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48.06</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526.38</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717.26</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3,119</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即时起效</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4,999.53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260.78</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2,435.52</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3,197.97</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483.88</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1,506</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额外延迟2年</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48.29</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1.83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72.39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125.43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164.84</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37,992</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额外延迟2年</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614.51</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28.59</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432.96</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675.23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5,216</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额外延迟2年</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4,505.20</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235.33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2,310.60</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3,155.94</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483.88</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1,727</w:t>
            </w:r>
          </w:p>
        </w:tc>
      </w:tr>
    </w:tbl>
    <w:p>
      <w:pPr>
        <w:pStyle w:val="TableNote"/>
      </w:pPr>
      <w:r>
        <w:rPr>
          <w:rFonts w:ascii="Times New Roman" w:hAnsi="Times New Roman" w:eastAsia="宋体"/>
          <w:color w:val="555555"/>
          <w:sz w:val="18"/>
        </w:rPr>
        <w:t>注：除列示决策外，其余参数保持主分析设定。</w:t>
      </w:r>
    </w:p>
    <w:p>
      <w:pPr>
        <w:pStyle w:val="Caption"/>
        <w:keepNext/>
        <w:jc w:val="center"/>
      </w:pPr>
      <w:r>
        <w:rPr>
          <w:rFonts w:ascii="Times New Roman" w:hAnsi="Times New Roman" w:eastAsia="黑体"/>
          <w:b/>
          <w:color w:val="000000"/>
          <w:sz w:val="21"/>
        </w:rPr>
        <w:t>表21  D2结构敏感性分析：S6结果</w:t>
      </w:r>
    </w:p>
    <w:tbl>
      <w:tblPr>
        <w:tblW w:type="dxa" w:w="14287"/>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2438"/>
        <w:gridCol w:w="1134"/>
        <w:gridCol w:w="1701"/>
        <w:gridCol w:w="1701"/>
        <w:gridCol w:w="1701"/>
        <w:gridCol w:w="1984"/>
        <w:gridCol w:w="1701"/>
        <w:gridCol w:w="1928"/>
      </w:tblGrid>
      <w:tr>
        <w:trPr>
          <w:trBorders>
            <w:bottom w:val="single" w:sz="8" w:color="000000"/>
          </w:trBorders>
          <w:tblHeader w:val="true"/>
        </w:trPr>
        <w:tc>
          <w:tcPr>
            <w:tcW w:type="dxa" w:w="2438"/>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情景</w:t>
            </w:r>
          </w:p>
        </w:tc>
        <w:tc>
          <w:tcPr>
            <w:tcW w:type="dxa" w:w="1134"/>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评价期</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避免DALY（万）</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避免死亡（万）</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避免新发（万）</w:t>
            </w:r>
          </w:p>
        </w:tc>
        <w:tc>
          <w:tcPr>
            <w:tcW w:type="dxa" w:w="1984"/>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避免高血压患者年（万）</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贴现成本（亿元）</w:t>
            </w:r>
          </w:p>
        </w:tc>
        <w:tc>
          <w:tcPr>
            <w:tcW w:type="dxa" w:w="1928"/>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平均成本/DALY</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主分析</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120.08</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5.29</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100.39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164.32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164.84</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15,112</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主分析</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761.13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35.85</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473.75</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714.12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4,157</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主分析</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4,712.21</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245.90</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2,368.49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3,194.83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483.88</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1,629</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2034年后稳定</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120.08</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5.29</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100.39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164.32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164.84</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15,112</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2034年后稳定</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761.13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35.85</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473.75</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714.12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4,157</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2034年后稳定</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4,646.34</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242.40</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2,337.43</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3,149.07</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483.88</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1,650</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约束持续趋势</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120.08</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5.29</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100.39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164.32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164.84</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15,112</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约束持续趋势</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761.13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35.85</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473.75</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714.12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4,157</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约束持续趋势</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4,904.99</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256.28</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2,456.53</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3,325.54</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483.88</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1,573</w:t>
            </w:r>
          </w:p>
        </w:tc>
      </w:tr>
    </w:tbl>
    <w:p>
      <w:pPr>
        <w:pStyle w:val="TableNote"/>
      </w:pPr>
      <w:r>
        <w:rPr>
          <w:rFonts w:ascii="Times New Roman" w:hAnsi="Times New Roman" w:eastAsia="宋体"/>
          <w:color w:val="555555"/>
          <w:sz w:val="18"/>
        </w:rPr>
        <w:t>注：除列示决策外，其余参数保持主分析设定。</w:t>
      </w:r>
    </w:p>
    <w:p>
      <w:pPr>
        <w:pStyle w:val="Caption"/>
        <w:keepNext/>
        <w:jc w:val="center"/>
      </w:pPr>
      <w:r>
        <w:rPr>
          <w:rFonts w:ascii="Times New Roman" w:hAnsi="Times New Roman" w:eastAsia="黑体"/>
          <w:b/>
          <w:color w:val="000000"/>
          <w:sz w:val="21"/>
        </w:rPr>
        <w:t>表22  D3结构敏感性分析：S6结果</w:t>
      </w:r>
    </w:p>
    <w:tbl>
      <w:tblPr>
        <w:tblW w:type="dxa" w:w="14287"/>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2438"/>
        <w:gridCol w:w="1134"/>
        <w:gridCol w:w="1701"/>
        <w:gridCol w:w="1701"/>
        <w:gridCol w:w="1701"/>
        <w:gridCol w:w="1984"/>
        <w:gridCol w:w="1701"/>
        <w:gridCol w:w="1928"/>
      </w:tblGrid>
      <w:tr>
        <w:trPr>
          <w:trBorders>
            <w:bottom w:val="single" w:sz="8" w:color="000000"/>
          </w:trBorders>
          <w:tblHeader w:val="true"/>
        </w:trPr>
        <w:tc>
          <w:tcPr>
            <w:tcW w:type="dxa" w:w="2438"/>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情景</w:t>
            </w:r>
          </w:p>
        </w:tc>
        <w:tc>
          <w:tcPr>
            <w:tcW w:type="dxa" w:w="1134"/>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评价期</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避免DALY（万）</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避免死亡（万）</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避免新发（万）</w:t>
            </w:r>
          </w:p>
        </w:tc>
        <w:tc>
          <w:tcPr>
            <w:tcW w:type="dxa" w:w="1984"/>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避免高血压患者年（万）</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贴现成本（亿元）</w:t>
            </w:r>
          </w:p>
        </w:tc>
        <w:tc>
          <w:tcPr>
            <w:tcW w:type="dxa" w:w="1928"/>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平均成本/DALY</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主分析</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120.08</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5.29</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100.39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164.32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164.84</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15,112</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主分析</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761.13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35.85</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473.75</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714.12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4,157</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主分析</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4,712.21</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245.90</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2,368.49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3,194.83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483.88</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1,629</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固定2023年疾病率</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127.13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5.60</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95.40</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164.32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164.84</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14,279</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固定2023年疾病率</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835.87</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38.88</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437.08</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714.12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3,790</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固定2023年疾病率</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5,127.78</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259.87</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2,094.83</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3,194.83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483.88</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1,495</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2018—2023近期趋势</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121.82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5.21</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93.76</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164.32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164.84</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14,897</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2018—2023近期趋势</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790.95</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35.51</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429.25</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714.12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4,004</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2018—2023近期趋势</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4,871.70</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238.65</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2,087.40</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3,194.83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483.88</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1,574</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疾病趋势约束持续</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120.08</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5.29</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100.39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164.32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164.84</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15,112</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疾病趋势约束持续</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761.13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35.85</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473.75</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714.12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4,157</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疾病趋势约束持续</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4,677.36</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247.25</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2,508.23</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3,194.83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483.88</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1,640</w:t>
            </w:r>
          </w:p>
        </w:tc>
      </w:tr>
    </w:tbl>
    <w:p>
      <w:pPr>
        <w:pStyle w:val="TableNote"/>
      </w:pPr>
      <w:r>
        <w:rPr>
          <w:rFonts w:ascii="Times New Roman" w:hAnsi="Times New Roman" w:eastAsia="宋体"/>
          <w:color w:val="555555"/>
          <w:sz w:val="18"/>
        </w:rPr>
        <w:t>注：除列示决策外，其余参数保持主分析设定。</w:t>
      </w:r>
    </w:p>
    <w:p>
      <w:pPr>
        <w:pStyle w:val="Caption"/>
        <w:keepNext/>
        <w:jc w:val="center"/>
      </w:pPr>
      <w:r>
        <w:rPr>
          <w:rFonts w:ascii="Times New Roman" w:hAnsi="Times New Roman" w:eastAsia="黑体"/>
          <w:b/>
          <w:color w:val="000000"/>
          <w:sz w:val="21"/>
        </w:rPr>
        <w:t>表23  D9结构敏感性分析：S6结果</w:t>
      </w:r>
    </w:p>
    <w:tbl>
      <w:tblPr>
        <w:tblW w:type="dxa" w:w="14287"/>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2438"/>
        <w:gridCol w:w="1134"/>
        <w:gridCol w:w="1701"/>
        <w:gridCol w:w="1701"/>
        <w:gridCol w:w="1701"/>
        <w:gridCol w:w="1984"/>
        <w:gridCol w:w="1701"/>
        <w:gridCol w:w="1928"/>
      </w:tblGrid>
      <w:tr>
        <w:trPr>
          <w:trBorders>
            <w:bottom w:val="single" w:sz="8" w:color="000000"/>
          </w:trBorders>
          <w:tblHeader w:val="true"/>
        </w:trPr>
        <w:tc>
          <w:tcPr>
            <w:tcW w:type="dxa" w:w="2438"/>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情景</w:t>
            </w:r>
          </w:p>
        </w:tc>
        <w:tc>
          <w:tcPr>
            <w:tcW w:type="dxa" w:w="1134"/>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评价期</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避免DALY（万）</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避免死亡（万）</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避免新发（万）</w:t>
            </w:r>
          </w:p>
        </w:tc>
        <w:tc>
          <w:tcPr>
            <w:tcW w:type="dxa" w:w="1984"/>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避免高血压患者年（万）</w:t>
            </w:r>
          </w:p>
        </w:tc>
        <w:tc>
          <w:tcPr>
            <w:tcW w:type="dxa" w:w="170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贴现成本（亿元）</w:t>
            </w:r>
          </w:p>
        </w:tc>
        <w:tc>
          <w:tcPr>
            <w:tcW w:type="dxa" w:w="1928"/>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5"/>
              </w:rPr>
              <w:t>平均成本/DALY</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主分析</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120.08</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5.29</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100.39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164.32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164.84</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15,112</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主分析</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761.13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35.85</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473.75</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714.12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4,157</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主分析</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4,712.21</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245.90</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2,368.49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3,194.83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483.88</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1,629</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2034年后维持75%</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120.08</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5.29</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100.39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164.32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164.84</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15,112</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2034年后维持75%</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761.13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35.85</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473.75</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714.12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4,157</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2034年后维持75%</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3,696.10</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191.26</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1,894.86</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2,579.10</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427.82</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1,779</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2034年后停止</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120.08</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5.29</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100.39</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164.32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164.84</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15,112</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2034年后停止</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761.13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35.85</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473.75</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714.12</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4,157</w:t>
            </w:r>
          </w:p>
        </w:tc>
      </w:tr>
      <w:tr>
        <w:trPr>
          <w:cantSplit/>
        </w:trPr>
        <w:tc>
          <w:tcPr>
            <w:tcW w:type="dxa" w:w="243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2034年后停止</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26年</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2,150.63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108.50</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1,166.01</w:t>
            </w:r>
          </w:p>
        </w:tc>
        <w:tc>
          <w:tcPr>
            <w:tcW w:type="dxa" w:w="1984"/>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1,630.33</w:t>
            </w:r>
          </w:p>
        </w:tc>
        <w:tc>
          <w:tcPr>
            <w:tcW w:type="dxa" w:w="1701"/>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259.63</w:t>
            </w:r>
          </w:p>
        </w:tc>
        <w:tc>
          <w:tcPr>
            <w:tcW w:type="dxa" w:w="1928"/>
            <w:vAlign w:val="center"/>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5"/>
              </w:rPr>
              <w:t>1,711</w:t>
            </w:r>
          </w:p>
        </w:tc>
      </w:tr>
    </w:tbl>
    <w:p>
      <w:pPr>
        <w:pStyle w:val="TableNote"/>
      </w:pPr>
      <w:r>
        <w:rPr>
          <w:rFonts w:ascii="Times New Roman" w:hAnsi="Times New Roman" w:eastAsia="宋体"/>
          <w:color w:val="555555"/>
          <w:sz w:val="18"/>
        </w:rPr>
        <w:t>注：除列示决策外，其余参数保持主分析设定。</w:t>
      </w:r>
    </w:p>
    <w:p>
      <w:pPr>
        <w:sectPr>
          <w:pgSz w:w="16838" w:h="11906" w:orient="landscape"/>
          <w:pgMar w:top="1020" w:right="1020" w:bottom="1020" w:left="1020" w:header="624" w:footer="624" w:gutter="0"/>
          <w:cols w:space="720"/>
          <w:docGrid w:linePitch="360"/>
        </w:sectPr>
      </w:pPr>
    </w:p>
    <w:p>
      <w:pPr>
        <w:pStyle w:val="Heading2"/>
        <w:keepNext/>
      </w:pPr>
      <w:r>
        <w:rPr>
          <w:rFonts w:ascii="Times New Roman" w:hAnsi="Times New Roman" w:eastAsia="黑体"/>
          <w:b/>
          <w:color w:val="000000"/>
          <w:sz w:val="28"/>
        </w:rPr>
        <w:t>3.9  收敛性与不确定性驱动因素</w:t>
      </w:r>
    </w:p>
    <w:p>
      <w:pPr>
        <w:keepLines w:val="0"/>
      </w:pPr>
      <w:r>
        <w:rPr>
          <w:rFonts w:ascii="Times New Roman" w:hAnsi="Times New Roman" w:eastAsia="宋体"/>
          <w:color w:val="000000"/>
          <w:sz w:val="24"/>
        </w:rPr>
        <w:t>5年和10年正式主分析的批次均值最大相对差异为5.35%，低于预设15%阈值。以十年期S6为例，10,000次抽样时贴现避免DALY、政策成本和部分公共支付方净成本的相对蒙特卡洛标准误分别为0.22%、0.30%和0.56%。关键CEAF概率的蒙特卡洛标准误为0.13～0.50个百分点，10,000次抽样已足以支持策略排序。</w:t>
      </w:r>
    </w:p>
    <w:p>
      <w:pPr>
        <w:pStyle w:val="Caption"/>
        <w:keepNext/>
        <w:jc w:val="center"/>
      </w:pPr>
      <w:r>
        <w:rPr>
          <w:rFonts w:ascii="Times New Roman" w:hAnsi="Times New Roman" w:eastAsia="黑体"/>
          <w:b/>
          <w:color w:val="000000"/>
          <w:sz w:val="21"/>
        </w:rPr>
        <w:t>表24  十年期S6主要指标的累计收敛</w:t>
      </w:r>
    </w:p>
    <w:tbl>
      <w:tblPr>
        <w:tblW w:type="dxa" w:w="9638"/>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1417"/>
        <w:gridCol w:w="2835"/>
        <w:gridCol w:w="2098"/>
        <w:gridCol w:w="1531"/>
        <w:gridCol w:w="1757"/>
      </w:tblGrid>
      <w:tr>
        <w:trPr>
          <w:trBorders>
            <w:bottom w:val="single" w:sz="8" w:color="000000"/>
          </w:trBorders>
          <w:tblHeader w:val="true"/>
        </w:trPr>
        <w:tc>
          <w:tcPr>
            <w:tcW w:type="dxa" w:w="141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累计draw</w:t>
            </w:r>
          </w:p>
        </w:tc>
        <w:tc>
          <w:tcPr>
            <w:tcW w:type="dxa" w:w="2835"/>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十年期S6指标</w:t>
            </w:r>
          </w:p>
        </w:tc>
        <w:tc>
          <w:tcPr>
            <w:tcW w:type="dxa" w:w="209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累计均值</w:t>
            </w:r>
          </w:p>
        </w:tc>
        <w:tc>
          <w:tcPr>
            <w:tcW w:type="dxa" w:w="153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相对MCSE</w:t>
            </w:r>
          </w:p>
        </w:tc>
        <w:tc>
          <w:tcPr>
            <w:tcW w:type="dxa" w:w="175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相对最终均值偏差</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贴现避免DALY</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6,089,331</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2.11%</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-0.94%</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贴现政策成本</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26,751,034,299</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3.02%</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3.32%</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部分公共支付方净成本</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17,845,412,173</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5.05%</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7.22%</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贴现避免DALY</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6,095,153</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1.01%</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-0.84%</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贴现政策成本</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25,585,697,033</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1.33%</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-1.18%</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部分公共支付方净成本</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16,237,625,301</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2.49%</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-2.44%</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贴现避免DALY</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6,136,996</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0.73%</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-0.16%</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贴现政策成本</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25,813,834,599</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0.97%</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-0.30%</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部分公共支付方净成本</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16,602,265,629</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1.79%</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-0.24%</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2,000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贴现避免DALY</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6,147,958</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0.50%</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0.01%</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2,000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贴现政策成本</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25,778,077,551</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0.68%</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-0.43%</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2,000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部分公共支付方净成本</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16,327,311,662</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1.32%</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-1.90%</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5,000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贴现避免DALY</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6,146,407</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0.31%</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-0.01%</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5,000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贴现政策成本</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25,892,121,205</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0.42%</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0.01%</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5,000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部分公共支付方净成本</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16,583,053,264</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0.81%</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-0.36%</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贴现避免DALY</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6,147,079</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0.22%</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贴现政策成本</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25,890,241,146</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0.30%</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r>
      <w:tr>
        <w:trPr>
          <w:cantSplit/>
        </w:trPr>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10,000</w:t>
            </w:r>
          </w:p>
        </w:tc>
        <w:tc>
          <w:tcPr>
            <w:tcW w:type="dxa" w:w="2835"/>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部分公共支付方净成本</w:t>
            </w:r>
          </w:p>
        </w:tc>
        <w:tc>
          <w:tcPr>
            <w:tcW w:type="dxa" w:w="209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16,642,966,688</w:t>
            </w:r>
          </w:p>
        </w:tc>
        <w:tc>
          <w:tcPr>
            <w:tcW w:type="dxa" w:w="1531"/>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0.56%</w:t>
            </w:r>
          </w:p>
        </w:tc>
        <w:tc>
          <w:tcPr>
            <w:tcW w:type="dxa" w:w="1757"/>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0.00%</w:t>
            </w:r>
          </w:p>
        </w:tc>
      </w:tr>
    </w:tbl>
    <w:p>
      <w:pPr>
        <w:pStyle w:val="TableNote"/>
      </w:pPr>
      <w:r>
        <w:rPr>
          <w:rFonts w:ascii="Times New Roman" w:hAnsi="Times New Roman" w:eastAsia="宋体"/>
          <w:color w:val="555555"/>
          <w:sz w:val="18"/>
        </w:rPr>
        <w:t>注：MCSE为蒙特卡洛标准误。</w:t>
      </w:r>
    </w:p>
    <w:p>
      <w:pPr>
        <w:keepNext/>
        <w:jc w:val="center"/>
      </w:pPr>
      <w:r>
        <w:drawing>
          <wp:inline xmlns:a="http://schemas.openxmlformats.org/drawingml/2006/main" xmlns:pic="http://schemas.openxmlformats.org/drawingml/2006/picture">
            <wp:extent cx="5760000" cy="3396490"/>
            <wp:docPr id="5" name="Picture 5" title="图5 十年期S6主要结果的累计均值收敛" descr="十年期S6主要结果的累计均值收敛"/>
            <wp:cNvGraphicFramePr>
              <a:graphicFrameLocks noChangeAspect="1"/>
            </wp:cNvGraphicFramePr>
            <a:graphic>
              <a:graphicData uri="http://schemas.openxmlformats.org/drawingml/2006/picture">
                <pic:pic>
                  <pic:nvPicPr>
                    <pic:cNvPr id="0" name="figure_5_convergence_s6_10y.png"/>
                    <pic:cNvPicPr/>
                  </pic:nvPicPr>
                  <pic:blipFill>
                    <a:blip r:embed="rId15"/>
                    <a:stretch>
                      <a:fillRect/>
                    </a:stretch>
                  </pic:blipFill>
                  <pic:spPr>
                    <a:xfrm>
                      <a:off x="0" y="0"/>
                      <a:ext cx="5760000" cy="3396490"/>
                    </a:xfrm>
                    <a:prstGeom prst="rect"/>
                  </pic:spPr>
                </pic:pic>
              </a:graphicData>
            </a:graphic>
          </wp:inline>
        </w:drawing>
      </w:r>
    </w:p>
    <w:p>
      <w:pPr>
        <w:pStyle w:val="Caption"/>
        <w:jc w:val="center"/>
      </w:pPr>
      <w:r>
        <w:rPr>
          <w:rFonts w:ascii="Times New Roman" w:hAnsi="Times New Roman" w:eastAsia="黑体"/>
          <w:b/>
          <w:color w:val="000000"/>
          <w:sz w:val="21"/>
        </w:rPr>
        <w:t>图5  十年期S6主要结果的累计均值收敛</w:t>
      </w:r>
    </w:p>
    <w:p>
      <w:pPr>
        <w:pStyle w:val="TableNote"/>
        <w:jc w:val="left"/>
      </w:pPr>
      <w:r>
        <w:rPr>
          <w:rFonts w:ascii="Times New Roman" w:hAnsi="Times New Roman" w:eastAsia="宋体"/>
          <w:color w:val="555555"/>
          <w:sz w:val="18"/>
        </w:rPr>
        <w:t>注：纵轴为累计均值相对最终10,000次均值的偏差。</w:t>
      </w:r>
    </w:p>
    <w:p>
      <w:pPr>
        <w:pStyle w:val="Caption"/>
        <w:keepNext/>
        <w:jc w:val="center"/>
      </w:pPr>
      <w:r>
        <w:rPr>
          <w:rFonts w:ascii="Times New Roman" w:hAnsi="Times New Roman" w:eastAsia="黑体"/>
          <w:b/>
          <w:color w:val="000000"/>
          <w:sz w:val="21"/>
        </w:rPr>
        <w:t>表25  5万元/DALY下S6净货币收益的主要不确定性驱动因素</w:t>
      </w:r>
    </w:p>
    <w:tbl>
      <w:tblPr>
        <w:tblW w:type="dxa" w:w="9071"/>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1134"/>
        <w:gridCol w:w="850"/>
        <w:gridCol w:w="3969"/>
        <w:gridCol w:w="1531"/>
        <w:gridCol w:w="1587"/>
      </w:tblGrid>
      <w:tr>
        <w:trPr>
          <w:trBorders>
            <w:bottom w:val="single" w:sz="8" w:color="000000"/>
          </w:trBorders>
          <w:tblHeader w:val="true"/>
        </w:trPr>
        <w:tc>
          <w:tcPr>
            <w:tcW w:type="dxa" w:w="113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评价期</w:t>
            </w:r>
          </w:p>
        </w:tc>
        <w:tc>
          <w:tcPr>
            <w:tcW w:type="dxa" w:w="850"/>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排序</w:t>
            </w:r>
          </w:p>
        </w:tc>
        <w:tc>
          <w:tcPr>
            <w:tcW w:type="dxa" w:w="3969"/>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参数</w:t>
            </w:r>
          </w:p>
        </w:tc>
        <w:tc>
          <w:tcPr>
            <w:tcW w:type="dxa" w:w="153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SRRC</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|SRRC|</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S6政策效应</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0.801</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0.801</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S6政策成本</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-0.352</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0.352</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抑郁症RR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0.273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0.273</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脑出血RR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0.153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0.153</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缺血性心脏病RR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0.082</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0.082</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缺血性卒中RR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0.062</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0.062</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7</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2型糖尿病RR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0.060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0.060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8</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胃癌RR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0.045</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0.045</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食管癌RR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0.044</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0.044</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蛛网膜下腔出血RR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0.018</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0.018</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S6政策效应</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0.877</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0.877</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抑郁症RR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0.206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0.206</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脑出血RR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0.140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0.140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食管癌RR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0.126</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0.126</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胃癌RR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0.125</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0.125</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S6政策成本</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-0.104</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0.104</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7</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缺血性心脏病RR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0.085</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0.085</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8</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痴呆RR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0.070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0.070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2型糖尿病RR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0.060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0.060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缺血性卒中RR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0.059</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0.059</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S6政策效应</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0.859</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0.859</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痴呆RR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0.199</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0.199</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抑郁症RR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0.147</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0.147</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4</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食管癌RR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0.139</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0.139</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胃癌RR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0.130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0.130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6</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脑出血RR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0.110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0.110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7</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缺血性心脏病RR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0.073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0.073</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8</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S0身体活动不足趋势</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0.063</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0.063</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9</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2型糖尿病RR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0.050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0.050</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850"/>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6"/>
              </w:rPr>
              <w:t>缺血性卒中RR</w:t>
            </w:r>
          </w:p>
        </w:tc>
        <w:tc>
          <w:tcPr>
            <w:tcW w:type="dxa" w:w="153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0.048</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0.048</w:t>
            </w:r>
          </w:p>
        </w:tc>
      </w:tr>
    </w:tbl>
    <w:p>
      <w:pPr>
        <w:pStyle w:val="TableNote"/>
      </w:pPr>
      <w:r>
        <w:rPr>
          <w:rFonts w:ascii="Times New Roman" w:hAnsi="Times New Roman" w:eastAsia="宋体"/>
          <w:color w:val="555555"/>
          <w:sz w:val="18"/>
        </w:rPr>
        <w:t>注：SRRC为标准化秩回归系数；该结果为探索性驱动分析，不替代预设单因素敏感性分析。</w:t>
      </w:r>
    </w:p>
    <w:p>
      <w:pPr>
        <w:pStyle w:val="Caption"/>
        <w:keepNext/>
        <w:jc w:val="center"/>
      </w:pPr>
      <w:r>
        <w:rPr>
          <w:rFonts w:ascii="Times New Roman" w:hAnsi="Times New Roman" w:eastAsia="黑体"/>
          <w:b/>
          <w:color w:val="000000"/>
          <w:sz w:val="21"/>
        </w:rPr>
        <w:t>表26  SRRC驱动模型拟合度</w:t>
      </w:r>
    </w:p>
    <w:tbl>
      <w:tblPr>
        <w:tblW w:type="dxa" w:w="9071"/>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1304"/>
        <w:gridCol w:w="2948"/>
        <w:gridCol w:w="1417"/>
        <w:gridCol w:w="1587"/>
        <w:gridCol w:w="1814"/>
      </w:tblGrid>
      <w:tr>
        <w:trPr>
          <w:trBorders>
            <w:bottom w:val="single" w:sz="8" w:color="000000"/>
          </w:trBorders>
          <w:tblHeader w:val="true"/>
        </w:trPr>
        <w:tc>
          <w:tcPr>
            <w:tcW w:type="dxa" w:w="130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评价期</w:t>
            </w:r>
          </w:p>
        </w:tc>
        <w:tc>
          <w:tcPr>
            <w:tcW w:type="dxa" w:w="2948"/>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视角</w:t>
            </w:r>
          </w:p>
        </w:tc>
        <w:tc>
          <w:tcPr>
            <w:tcW w:type="dxa" w:w="141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draw数</w:t>
            </w:r>
          </w:p>
        </w:tc>
        <w:tc>
          <w:tcPr>
            <w:tcW w:type="dxa" w:w="1587"/>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预测变量数</w:t>
            </w:r>
          </w:p>
        </w:tc>
        <w:tc>
          <w:tcPr>
            <w:tcW w:type="dxa" w:w="181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6"/>
              </w:rPr>
              <w:t>秩回归R²</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政策实施成本</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19</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0.888</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5年</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部分公共支付方桥接</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30</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0.887</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政策实施成本</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19</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0.901</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10年</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部分公共支付方桥接</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30</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0.900</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政策实施成本</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19</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0.869</w:t>
            </w:r>
          </w:p>
        </w:tc>
      </w:tr>
      <w:tr>
        <w:trPr>
          <w:cantSplit/>
        </w:trPr>
        <w:tc>
          <w:tcPr>
            <w:tcW w:type="dxa" w:w="130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26年</w:t>
            </w:r>
          </w:p>
        </w:tc>
        <w:tc>
          <w:tcPr>
            <w:tcW w:type="dxa" w:w="2948"/>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部分公共支付方桥接</w:t>
            </w:r>
          </w:p>
        </w:tc>
        <w:tc>
          <w:tcPr>
            <w:tcW w:type="dxa" w:w="141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10,000</w:t>
            </w:r>
          </w:p>
        </w:tc>
        <w:tc>
          <w:tcPr>
            <w:tcW w:type="dxa" w:w="1587"/>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30</w:t>
            </w:r>
          </w:p>
        </w:tc>
        <w:tc>
          <w:tcPr>
            <w:tcW w:type="dxa" w:w="1814"/>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6"/>
              </w:rPr>
              <w:t>0.870</w:t>
            </w:r>
          </w:p>
        </w:tc>
      </w:tr>
    </w:tbl>
    <w:p>
      <w:pPr>
        <w:keepNext/>
        <w:jc w:val="center"/>
      </w:pPr>
      <w:r>
        <w:drawing>
          <wp:inline xmlns:a="http://schemas.openxmlformats.org/drawingml/2006/main" xmlns:pic="http://schemas.openxmlformats.org/drawingml/2006/picture">
            <wp:extent cx="5760000" cy="2700553"/>
            <wp:docPr id="6" name="Picture 6" title="图6 5万元/DALY下S6净货币收益的主要驱动因素" descr="5万元/DALY下S6净货币收益的主要驱动因素"/>
            <wp:cNvGraphicFramePr>
              <a:graphicFrameLocks noChangeAspect="1"/>
            </wp:cNvGraphicFramePr>
            <a:graphic>
              <a:graphicData uri="http://schemas.openxmlformats.org/drawingml/2006/picture">
                <pic:pic>
                  <pic:nvPicPr>
                    <pic:cNvPr id="0" name="figure_6_srrc_s6_nmb.png"/>
                    <pic:cNvPicPr/>
                  </pic:nvPicPr>
                  <pic:blipFill>
                    <a:blip r:embed="rId16"/>
                    <a:stretch>
                      <a:fillRect/>
                    </a:stretch>
                  </pic:blipFill>
                  <pic:spPr>
                    <a:xfrm>
                      <a:off x="0" y="0"/>
                      <a:ext cx="5760000" cy="2700553"/>
                    </a:xfrm>
                    <a:prstGeom prst="rect"/>
                  </pic:spPr>
                </pic:pic>
              </a:graphicData>
            </a:graphic>
          </wp:inline>
        </w:drawing>
      </w:r>
    </w:p>
    <w:p>
      <w:pPr>
        <w:pStyle w:val="Caption"/>
        <w:jc w:val="center"/>
      </w:pPr>
      <w:r>
        <w:rPr>
          <w:rFonts w:ascii="Times New Roman" w:hAnsi="Times New Roman" w:eastAsia="黑体"/>
          <w:b/>
          <w:color w:val="000000"/>
          <w:sz w:val="21"/>
        </w:rPr>
        <w:t>图6  5万元/DALY下S6净货币收益的主要驱动因素</w:t>
      </w:r>
    </w:p>
    <w:p>
      <w:pPr>
        <w:pStyle w:val="TableNote"/>
        <w:jc w:val="left"/>
      </w:pPr>
      <w:r>
        <w:rPr>
          <w:rFonts w:ascii="Times New Roman" w:hAnsi="Times New Roman" w:eastAsia="宋体"/>
          <w:color w:val="555555"/>
          <w:sz w:val="18"/>
        </w:rPr>
        <w:t>注：蓝色为正向驱动，红色为负向驱动；图中展示5年和10年主分析。</w:t>
      </w:r>
    </w:p>
    <w:p>
      <w:pPr>
        <w:sectPr>
          <w:pgSz w:w="11906" w:h="16838"/>
          <w:pgMar w:top="1304" w:right="1361" w:bottom="1304" w:left="1361" w:header="624" w:footer="624" w:gutter="0"/>
          <w:cols w:space="720"/>
          <w:docGrid w:linePitch="360"/>
        </w:sectPr>
      </w:pPr>
    </w:p>
    <w:p>
      <w:pPr>
        <w:pStyle w:val="Heading2"/>
        <w:keepNext/>
      </w:pPr>
      <w:r>
        <w:rPr>
          <w:rFonts w:ascii="Times New Roman" w:hAnsi="Times New Roman" w:eastAsia="黑体"/>
          <w:b/>
          <w:color w:val="000000"/>
          <w:sz w:val="28"/>
        </w:rPr>
        <w:t>3.10  D1—D10结果成熟度与报告层级</w:t>
      </w:r>
    </w:p>
    <w:p>
      <w:pPr>
        <w:keepLines w:val="0"/>
      </w:pPr>
      <w:r>
        <w:rPr>
          <w:rFonts w:ascii="Times New Roman" w:hAnsi="Times New Roman" w:eastAsia="宋体"/>
          <w:color w:val="000000"/>
          <w:sz w:val="24"/>
        </w:rPr>
        <w:t>D1、D2、D3已形成可报告的健康结果和结构敏感性；D4仅形成部分疾病直接医疗费用节约；D5为全国支付比例桥接；D6—D8仅建立接口，尚未形成生产率和宏观经济数值；D9的5年和10年结果可作为正式主分析，2025—2050年仍为长期结构敏感性；D10高血压避免患者年已计入，痴呆长期照护为暂定社会成本卫星结果。</w:t>
      </w:r>
    </w:p>
    <w:p>
      <w:pPr>
        <w:pStyle w:val="Caption"/>
        <w:keepNext/>
        <w:jc w:val="center"/>
      </w:pPr>
      <w:r>
        <w:rPr>
          <w:rFonts w:ascii="Times New Roman" w:hAnsi="Times New Roman" w:eastAsia="黑体"/>
          <w:b/>
          <w:color w:val="000000"/>
          <w:sz w:val="21"/>
        </w:rPr>
        <w:t>表27  D1—D10分析完成状态与结果解释边界</w:t>
      </w:r>
    </w:p>
    <w:tbl>
      <w:tblPr>
        <w:tblW w:type="dxa" w:w="14343"/>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1134"/>
        <w:gridCol w:w="4535"/>
        <w:gridCol w:w="2551"/>
        <w:gridCol w:w="6123"/>
      </w:tblGrid>
      <w:tr>
        <w:trPr>
          <w:trBorders>
            <w:bottom w:val="single" w:sz="8" w:color="000000"/>
          </w:trBorders>
          <w:tblHeader w:val="true"/>
        </w:trPr>
        <w:tc>
          <w:tcPr>
            <w:tcW w:type="dxa" w:w="113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决策</w:t>
            </w:r>
          </w:p>
        </w:tc>
        <w:tc>
          <w:tcPr>
            <w:tcW w:type="dxa" w:w="4535"/>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锁定规则</w:t>
            </w:r>
          </w:p>
        </w:tc>
        <w:tc>
          <w:tcPr>
            <w:tcW w:type="dxa" w:w="255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结果层级</w:t>
            </w:r>
          </w:p>
        </w:tc>
        <w:tc>
          <w:tcPr>
            <w:tcW w:type="dxa" w:w="6123"/>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5"/>
              </w:rPr>
              <w:t>当前说明</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D1</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疾病组特异性累积滞后</w:t>
            </w:r>
          </w:p>
        </w:tc>
        <w:tc>
          <w:tcPr>
            <w:tcW w:type="dxa" w:w="255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已实施，可报告</w:t>
            </w:r>
          </w:p>
        </w:tc>
        <w:tc>
          <w:tcPr>
            <w:tcW w:type="dxa" w:w="6123"/>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主分析按fast/medium/cancer/dementia分组；即时和+2年敏感性已运行</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D2</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S0 0.84%至2034；2035—2040衰减至0</w:t>
            </w:r>
          </w:p>
        </w:tc>
        <w:tc>
          <w:tcPr>
            <w:tcW w:type="dxa" w:w="255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已实施，可报告</w:t>
            </w:r>
          </w:p>
        </w:tc>
        <w:tc>
          <w:tcPr>
            <w:tcW w:type="dxa" w:w="6123"/>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2034后稳定和持续趋势敏感性已运行</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D3</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2010—2023年龄—性别疾病率趋势，并于2035—2040衰减</w:t>
            </w:r>
          </w:p>
        </w:tc>
        <w:tc>
          <w:tcPr>
            <w:tcW w:type="dxa" w:w="255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已实施，可报告</w:t>
            </w:r>
          </w:p>
        </w:tc>
        <w:tc>
          <w:tcPr>
            <w:tcW w:type="dxa" w:w="6123"/>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主分析使用2010—2023；2018—2023近期窗口、2023固定率和趋势持续作为结构敏感性</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D4</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新发病例/首次事件×首年直接医疗费用</w:t>
            </w:r>
          </w:p>
        </w:tc>
        <w:tc>
          <w:tcPr>
            <w:tcW w:type="dxa" w:w="255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部分结果</w:t>
            </w:r>
          </w:p>
        </w:tc>
        <w:tc>
          <w:tcPr>
            <w:tcW w:type="dxa" w:w="6123"/>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IHD、卒中和7癌可算；T2D、抑郁、痴呆及高血压严格接口仍缺</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D5</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公共支付方主视角；总直接费用扩展</w:t>
            </w:r>
          </w:p>
        </w:tc>
        <w:tc>
          <w:tcPr>
            <w:tcW w:type="dxa" w:w="255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桥接结果，非主结论</w:t>
            </w:r>
          </w:p>
        </w:tc>
        <w:tc>
          <w:tcPr>
            <w:tcW w:type="dxa" w:w="6123"/>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公共支付比例缺失，暂报政策实施成本桥接CEA</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D6</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劳动生产率卫星模块；RAND外部对标</w:t>
            </w:r>
          </w:p>
        </w:tc>
        <w:tc>
          <w:tcPr>
            <w:tcW w:type="dxa" w:w="255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仅接口，无数值</w:t>
            </w:r>
          </w:p>
        </w:tc>
        <w:tc>
          <w:tcPr>
            <w:tcW w:type="dxa" w:w="6123"/>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父数据库不含劳动参数</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D7</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有效劳动×产出弹性；工资法敏感性</w:t>
            </w:r>
          </w:p>
        </w:tc>
        <w:tc>
          <w:tcPr>
            <w:tcW w:type="dxa" w:w="255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仅接口，无数值</w:t>
            </w:r>
          </w:p>
        </w:tc>
        <w:tc>
          <w:tcPr>
            <w:tcW w:type="dxa" w:w="6123"/>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父数据库不含年龄性别就业和生产率参数</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D8</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20—69岁，65—69按实际就业率</w:t>
            </w:r>
          </w:p>
        </w:tc>
        <w:tc>
          <w:tcPr>
            <w:tcW w:type="dxa" w:w="255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仅接口，无数值</w:t>
            </w:r>
          </w:p>
        </w:tc>
        <w:tc>
          <w:tcPr>
            <w:tcW w:type="dxa" w:w="6123"/>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年龄边界已锁定，数值待劳动输入</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D9</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政策特异性维护—持续—衰减</w:t>
            </w:r>
          </w:p>
        </w:tc>
        <w:tc>
          <w:tcPr>
            <w:tcW w:type="dxa" w:w="255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短中期正式；长期暂定</w:t>
            </w:r>
          </w:p>
        </w:tc>
        <w:tc>
          <w:tcPr>
            <w:tcW w:type="dxa" w:w="6123"/>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full/reduced75%/stop已运行；2035后资本更新仍为INTERIM</w:t>
            </w:r>
          </w:p>
        </w:tc>
      </w:tr>
      <w:tr>
        <w:trPr>
          <w:cantSplit/>
        </w:trPr>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D10</w:t>
            </w:r>
          </w:p>
        </w:tc>
        <w:tc>
          <w:tcPr>
            <w:tcW w:type="dxa" w:w="4535"/>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高血压直接诊疗；痴呆长期照护入社会成本</w:t>
            </w:r>
          </w:p>
        </w:tc>
        <w:tc>
          <w:tcPr>
            <w:tcW w:type="dxa" w:w="2551"/>
            <w:vAlign w:val="center"/>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5"/>
              </w:rPr>
              <w:t>已计算，卫星结果</w:t>
            </w:r>
          </w:p>
        </w:tc>
        <w:tc>
          <w:tcPr>
            <w:tcW w:type="dxa" w:w="6123"/>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5"/>
              </w:rPr>
              <w:t>高血压避免患者年已算；痴呆长期照护为社会成本卫星结果</w:t>
            </w:r>
          </w:p>
        </w:tc>
      </w:tr>
    </w:tbl>
    <w:p>
      <w:pPr>
        <w:pStyle w:val="Heading2"/>
        <w:keepNext/>
      </w:pPr>
      <w:r>
        <w:rPr>
          <w:rFonts w:ascii="Times New Roman" w:hAnsi="Times New Roman" w:eastAsia="黑体"/>
          <w:b/>
          <w:color w:val="000000"/>
          <w:sz w:val="28"/>
        </w:rPr>
        <w:t>3.11  正式PSA独立审核明细（35/35项通过）</w:t>
      </w:r>
    </w:p>
    <w:p>
      <w:pPr>
        <w:pStyle w:val="Caption"/>
        <w:keepNext/>
        <w:jc w:val="center"/>
      </w:pPr>
      <w:r>
        <w:rPr>
          <w:rFonts w:ascii="Times New Roman" w:hAnsi="Times New Roman" w:eastAsia="黑体"/>
          <w:b/>
          <w:color w:val="000000"/>
          <w:sz w:val="21"/>
        </w:rPr>
        <w:t>表28  正式PSA独立复算35项质量控制</w:t>
      </w:r>
    </w:p>
    <w:tbl>
      <w:tblPr>
        <w:tblW w:type="dxa" w:w="14343"/>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3402"/>
        <w:gridCol w:w="1134"/>
        <w:gridCol w:w="3969"/>
        <w:gridCol w:w="3969"/>
        <w:gridCol w:w="1871"/>
      </w:tblGrid>
      <w:tr>
        <w:trPr>
          <w:trBorders>
            <w:bottom w:val="single" w:sz="8" w:color="000000"/>
          </w:trBorders>
          <w:tblHeader w:val="true"/>
        </w:trPr>
        <w:tc>
          <w:tcPr>
            <w:tcW w:type="dxa" w:w="3402"/>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检查项</w:t>
            </w:r>
          </w:p>
        </w:tc>
        <w:tc>
          <w:tcPr>
            <w:tcW w:type="dxa" w:w="1134"/>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状态</w:t>
            </w:r>
          </w:p>
        </w:tc>
        <w:tc>
          <w:tcPr>
            <w:tcW w:type="dxa" w:w="3969"/>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观测值</w:t>
            </w:r>
          </w:p>
        </w:tc>
        <w:tc>
          <w:tcPr>
            <w:tcW w:type="dxa" w:w="3969"/>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期望值</w:t>
            </w:r>
          </w:p>
        </w:tc>
        <w:tc>
          <w:tcPr>
            <w:tcW w:type="dxa" w:w="1871"/>
            <w:tcMar>
              <w:top w:w="80" w:type="dxa"/>
              <w:start w:w="90" w:type="dxa"/>
              <w:bottom w:w="80" w:type="dxa"/>
              <w:end w:w="90" w:type="dxa"/>
            </w:tcMar>
            <w:vAlign w:val="center"/>
          </w:tcPr>
          <w:p>
            <w:pPr>
              <w:spacing w:before="0" w:after="0" w:line="252" w:lineRule="auto"/>
              <w:jc w:val="center"/>
            </w:pPr>
            <w:r/>
            <w:r>
              <w:rPr>
                <w:rFonts w:ascii="Times New Roman" w:hAnsi="Times New Roman" w:eastAsia="黑体"/>
                <w:b/>
                <w:color w:val="000000"/>
                <w:sz w:val="13"/>
              </w:rPr>
              <w:t>说明</w:t>
            </w:r>
          </w:p>
        </w:tc>
      </w:tr>
      <w:tr>
        <w:trPr>
          <w:cantSplit/>
        </w:trPr>
        <w:tc>
          <w:tcPr>
            <w:tcW w:type="dxa" w:w="3402"/>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BATCH_COUNT</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PASS</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20</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20</w:t>
            </w:r>
          </w:p>
        </w:tc>
        <w:tc>
          <w:tcPr>
            <w:tcW w:type="dxa" w:w="1871"/>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r>
          </w:p>
        </w:tc>
      </w:tr>
      <w:tr>
        <w:trPr>
          <w:cantSplit/>
        </w:trPr>
        <w:tc>
          <w:tcPr>
            <w:tcW w:type="dxa" w:w="3402"/>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ALL_BATCH_MANIFEST_PASS</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PASS</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20</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20</w:t>
            </w:r>
          </w:p>
        </w:tc>
        <w:tc>
          <w:tcPr>
            <w:tcW w:type="dxa" w:w="1871"/>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r>
          </w:p>
        </w:tc>
      </w:tr>
      <w:tr>
        <w:trPr>
          <w:cantSplit/>
        </w:trPr>
        <w:tc>
          <w:tcPr>
            <w:tcW w:type="dxa" w:w="3402"/>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FORMAL_FLAGS</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PASS</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20</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20</w:t>
            </w:r>
          </w:p>
        </w:tc>
        <w:tc>
          <w:tcPr>
            <w:tcW w:type="dxa" w:w="1871"/>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r>
          </w:p>
        </w:tc>
      </w:tr>
      <w:tr>
        <w:trPr>
          <w:cantSplit/>
        </w:trPr>
        <w:tc>
          <w:tcPr>
            <w:tcW w:type="dxa" w:w="3402"/>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DRAWS_COMPLETED</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PASS</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10000</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10000</w:t>
            </w:r>
          </w:p>
        </w:tc>
        <w:tc>
          <w:tcPr>
            <w:tcW w:type="dxa" w:w="1871"/>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r>
          </w:p>
        </w:tc>
      </w:tr>
      <w:tr>
        <w:trPr>
          <w:cantSplit/>
        </w:trPr>
        <w:tc>
          <w:tcPr>
            <w:tcW w:type="dxa" w:w="3402"/>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CEA_ROWS_MANIFEST</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PASS</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240000</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240000</w:t>
            </w:r>
          </w:p>
        </w:tc>
        <w:tc>
          <w:tcPr>
            <w:tcW w:type="dxa" w:w="1871"/>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r>
          </w:p>
        </w:tc>
      </w:tr>
      <w:tr>
        <w:trPr>
          <w:cantSplit/>
        </w:trPr>
        <w:tc>
          <w:tcPr>
            <w:tcW w:type="dxa" w:w="3402"/>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DRAW_RANGES_CONTIGUOUS</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PASS</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[(1, 500), (501, 1000), (1001, 1500), (1501, 2000), (2001, 2500), (…</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[(1, 500), (501, 1000), (1001, 1500), (1501, 2000), (2001, 2500), (…</w:t>
            </w:r>
          </w:p>
        </w:tc>
        <w:tc>
          <w:tcPr>
            <w:tcW w:type="dxa" w:w="1871"/>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r>
          </w:p>
        </w:tc>
      </w:tr>
      <w:tr>
        <w:trPr>
          <w:cantSplit/>
        </w:trPr>
        <w:tc>
          <w:tcPr>
            <w:tcW w:type="dxa" w:w="3402"/>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MERGED_ROW_COUNT</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PASS</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240000</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240000</w:t>
            </w:r>
          </w:p>
        </w:tc>
        <w:tc>
          <w:tcPr>
            <w:tcW w:type="dxa" w:w="1871"/>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r>
          </w:p>
        </w:tc>
      </w:tr>
      <w:tr>
        <w:trPr>
          <w:cantSplit/>
        </w:trPr>
        <w:tc>
          <w:tcPr>
            <w:tcW w:type="dxa" w:w="3402"/>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MERGED_KEY_UNIQUE</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PASS</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0</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0</w:t>
            </w:r>
          </w:p>
        </w:tc>
        <w:tc>
          <w:tcPr>
            <w:tcW w:type="dxa" w:w="1871"/>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r>
          </w:p>
        </w:tc>
      </w:tr>
      <w:tr>
        <w:trPr>
          <w:cantSplit/>
        </w:trPr>
        <w:tc>
          <w:tcPr>
            <w:tcW w:type="dxa" w:w="3402"/>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DRAW_ID_COUNT</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PASS</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10000</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10000</w:t>
            </w:r>
          </w:p>
        </w:tc>
        <w:tc>
          <w:tcPr>
            <w:tcW w:type="dxa" w:w="1871"/>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r>
          </w:p>
        </w:tc>
      </w:tr>
      <w:tr>
        <w:trPr>
          <w:cantSplit/>
        </w:trPr>
        <w:tc>
          <w:tcPr>
            <w:tcW w:type="dxa" w:w="3402"/>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SCENARIO_SET</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PASS</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['S0', 'S1', 'S2', 'S3', 'S4', 'S5', 'S6', 'S7']</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['S0', 'S1', 'S2', 'S3', 'S4', 'S5', 'S6', 'S7']</w:t>
            </w:r>
          </w:p>
        </w:tc>
        <w:tc>
          <w:tcPr>
            <w:tcW w:type="dxa" w:w="1871"/>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r>
          </w:p>
        </w:tc>
      </w:tr>
      <w:tr>
        <w:trPr>
          <w:cantSplit/>
        </w:trPr>
        <w:tc>
          <w:tcPr>
            <w:tcW w:type="dxa" w:w="3402"/>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HORIZON_SET</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PASS</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[np.int64(5), np.int64(10), np.int64(26)]</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[5, 10, 26]</w:t>
            </w:r>
          </w:p>
        </w:tc>
        <w:tc>
          <w:tcPr>
            <w:tcW w:type="dxa" w:w="1871"/>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r>
          </w:p>
        </w:tc>
      </w:tr>
      <w:tr>
        <w:trPr>
          <w:cantSplit/>
        </w:trPr>
        <w:tc>
          <w:tcPr>
            <w:tcW w:type="dxa" w:w="3402"/>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GROUP_DRAW_COUNT</w:t>
            </w:r>
          </w:p>
        </w:tc>
        <w:tc>
          <w:tcPr>
            <w:tcW w:type="dxa" w:w="1134"/>
            <w:vAlign w:val="center"/>
            <w:noWrap/>
            <w:tcMar>
              <w:top w:w="80" w:type="dxa"/>
              <w:start w:w="90" w:type="dxa"/>
              <w:bottom w:w="80" w:type="dxa"/>
              <w:end w:w="90" w:type="dxa"/>
            </w:tcMar>
          </w:tcPr>
          <w:p>
            <w:pPr>
              <w:spacing w:before="0" w:after="0" w:line="252" w:lineRule="auto"/>
              <w:jc w:val="center"/>
            </w:pPr>
            <w:r/>
            <w:r>
              <w:rPr>
                <w:rFonts w:ascii="Times New Roman" w:hAnsi="Times New Roman" w:eastAsia="宋体"/>
                <w:b w:val="0"/>
                <w:color w:val="000000"/>
                <w:sz w:val="13"/>
              </w:rPr>
              <w:t>PASS</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[10000, 10000]</w:t>
            </w:r>
          </w:p>
        </w:tc>
        <w:tc>
          <w:tcPr>
            <w:tcW w:type="dxa" w:w="3969"/>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t>[10000, 10000]</w:t>
            </w:r>
          </w:p>
        </w:tc>
        <w:tc>
          <w:tcPr>
            <w:tcW w:type="dxa" w:w="1871"/>
            <w:vAlign w:val="center"/>
            <w:tcMar>
              <w:top w:w="80" w:type="dxa"/>
              <w:start w:w="90" w:type="dxa"/>
              <w:bottom w:w="80" w:type="dxa"/>
              <w:end w:w="90" w:type="dxa"/>
            </w:tcMar>
          </w:tcPr>
          <w:p>
            <w:pPr>
              <w:spacing w:before="0" w:after="0" w:line="252" w:lineRule="auto"/>
              <w:jc w:val="left"/>
            </w:pPr>
            <w:r/>
            <w:r>
              <w:rPr>
                <w:rFonts w:ascii="Times New Roman" w:hAnsi="Times New Roman" w:eastAsia="宋体"/>
                <w:b w:val="0"/>
                <w:color w:val="000000"/>
                <w:sz w:val="13"/>
              </w:rPr>
            </w:r>
          </w:p>
        </w:tc>
      </w:tr>
    </w:tbl>
    <w:p>
      <w:r>
        <w:br w:type="page"/>
      </w:r>
    </w:p>
    <w:p>
      <w:pPr>
        <w:spacing w:after="360" w:line="20" w:lineRule="exact"/>
      </w:pPr>
      <w:r>
        <w:rPr>
          <w:rFonts w:ascii="Times New Roman" w:hAnsi="Times New Roman" w:eastAsia="宋体"/>
          <w:color w:val="FFFFFF"/>
          <w:sz w:val="24"/>
        </w:rPr>
        <w:t xml:space="preserve"> </w:t>
      </w:r>
    </w:p>
    <w:p>
      <w:pPr>
        <w:pStyle w:val="Caption"/>
        <w:keepNext/>
        <w:jc w:val="center"/>
      </w:pPr>
      <w:r>
        <w:rPr>
          <w:rFonts w:ascii="Times New Roman" w:hAnsi="Times New Roman" w:eastAsia="黑体"/>
          <w:b/>
          <w:color w:val="000000"/>
          <w:sz w:val="21"/>
        </w:rPr>
        <w:t>表28（续）  正式PSA独立复算35项质量控制（长值保留可读缩略）</w:t>
      </w:r>
    </w:p>
    <w:tbl>
      <w:tblPr>
        <w:tblW w:type="dxa" w:w="14343"/>
        <w:tblLayout w:type="fixed"/>
        <w:tblLook w:firstColumn="1" w:firstRow="1" w:lastColumn="0" w:lastRow="0" w:noHBand="0" w:noVBand="1" w:val="04A0"/>
        <w:jc w:val="center"/>
        <w:tblInd w:w="90" w:type="dxa"/>
        <w:tblBorders>
          <w:top w:val="single" w:sz="8" w:color="000000"/>
          <w:bottom w:val="single" w:sz="8" w:color="000000"/>
          <w:insideH w:val="single" w:sz="4" w:color="BFBFBF"/>
          <w:insideV w:val="nil" w:sz="0" w:color="000000"/>
          <w:left w:val="nil" w:sz="0" w:color="000000"/>
          <w:right w:val="nil" w:sz="0" w:color="000000"/>
        </w:tblBorders>
      </w:tblPr>
      <w:tblGrid>
        <w:gridCol w:w="3402"/>
        <w:gridCol w:w="1134"/>
        <w:gridCol w:w="3969"/>
        <w:gridCol w:w="3969"/>
        <w:gridCol w:w="1871"/>
      </w:tblGrid>
      <w:tr>
        <w:trPr>
          <w:trBorders>
            <w:bottom w:val="single" w:sz="8" w:color="000000"/>
          </w:trBorders>
          <w:tblHeader w:val="true"/>
        </w:trPr>
        <w:tc>
          <w:tcPr>
            <w:tcW w:type="dxa" w:w="3402"/>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2"/>
              </w:rPr>
              <w:t>检查项</w:t>
            </w:r>
          </w:p>
        </w:tc>
        <w:tc>
          <w:tcPr>
            <w:tcW w:type="dxa" w:w="1134"/>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2"/>
              </w:rPr>
              <w:t>状态</w:t>
            </w:r>
          </w:p>
        </w:tc>
        <w:tc>
          <w:tcPr>
            <w:tcW w:type="dxa" w:w="3969"/>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2"/>
              </w:rPr>
              <w:t>观测值</w:t>
            </w:r>
          </w:p>
        </w:tc>
        <w:tc>
          <w:tcPr>
            <w:tcW w:type="dxa" w:w="3969"/>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2"/>
              </w:rPr>
              <w:t>期望值</w:t>
            </w:r>
          </w:p>
        </w:tc>
        <w:tc>
          <w:tcPr>
            <w:tcW w:type="dxa" w:w="1871"/>
            <w:tcMar>
              <w:top w:w="35" w:type="dxa"/>
              <w:start w:w="90" w:type="dxa"/>
              <w:bottom w:w="35" w:type="dxa"/>
              <w:end w:w="90" w:type="dxa"/>
            </w:tcMar>
            <w:vAlign w:val="center"/>
          </w:tcPr>
          <w:p>
            <w:pPr>
              <w:spacing w:before="0" w:after="0" w:line="252" w:lineRule="auto"/>
              <w:jc w:val="center"/>
            </w:pPr>
            <w:r/>
            <w:r>
              <w:rPr>
                <w:rFonts w:ascii="Times New Roman" w:hAnsi="Times New Roman" w:eastAsia="黑体"/>
                <w:b/>
                <w:color w:val="000000"/>
                <w:sz w:val="12"/>
              </w:rPr>
              <w:t>说明</w:t>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AUDIT_ROW_COUNT</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10000</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10000</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AUDIT_DRAW_UNIQUE</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AUDIT_MERGED_DRAW_MATCH</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BATCH_SCHEMA_MATCH</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True</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True</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BATCH_TO_MERGED_RECONCILIATION</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max_numeric_diff=0.000488281; string_mismatch=0</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exact/float-roundtrip equivalent</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ELIGIBLE_HEALTH_FINITE</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True</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True</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ELIGIBLE_COST_FINITE</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True</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True</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S0_ZERO</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0.0</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0.0</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S7_COST_MISSING</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S7_FRONTIER_EXCLUDED</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D4_SAVINGS_NONNEGATIVE</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0.0</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&gt;=0</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PAYER_SHARE_RANGE</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[0.5129521809117791, 0.929948027924944]</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[0,1]</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PA_PROBABILITY_SUM</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2.220446049250313e-16</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&lt;1e-12</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POSITIVE_SAMPLED_PARAMETERS</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0.25</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&gt;0</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POLICY_EFFECT_RANGE</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[0.0, 0.2549923985082842]</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[0,1]</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D4_COVERAGE_STATUS</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{'PARTIAL'}</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{'PARTIAL'}</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D5_STATUS</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{'INTERIM_NATIONAL_BRIDGE'}</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{'INTERIM_NATIONAL_BRIDGE'}</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D9_5_10_STATUS</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{'FORMAL_PARENT'}</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{'FORMAL_PARENT'}</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D9_26_STATUS</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{'INTERIM_LONG_TERM'}</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{'INTERIM_LONG_TERM'}</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RECALC_CEAC_PROBABILITY</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0.0</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&lt;1e-12</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RECALC_CEAC_EXPECTED_NMB</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0.01806640625</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&lt;0.1 CNY (floating-point summation tolerance)</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RECALC_CEAF_SCENARIO</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True</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True</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r>
        <w:trPr>
          <w:cantSplit/>
        </w:trPr>
        <w:tc>
          <w:tcPr>
            <w:tcW w:type="dxa" w:w="3402"/>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RECALC_CEAF_PROBABILITY</w:t>
            </w:r>
          </w:p>
        </w:tc>
        <w:tc>
          <w:tcPr>
            <w:tcW w:type="dxa" w:w="1134"/>
            <w:vAlign w:val="center"/>
            <w:noWrap/>
            <w:tcMar>
              <w:top w:w="35" w:type="dxa"/>
              <w:start w:w="90" w:type="dxa"/>
              <w:bottom w:w="35" w:type="dxa"/>
              <w:end w:w="90" w:type="dxa"/>
            </w:tcMar>
          </w:tcPr>
          <w:p>
            <w:pPr>
              <w:spacing w:before="0" w:after="0" w:line="252" w:lineRule="auto"/>
              <w:jc w:val="center"/>
            </w:pPr>
            <w:r/>
            <w:r>
              <w:rPr>
                <w:rFonts w:ascii="Times New Roman" w:hAnsi="Times New Roman" w:eastAsia="宋体"/>
                <w:b w:val="0"/>
                <w:color w:val="000000"/>
                <w:sz w:val="12"/>
              </w:rPr>
              <w:t>PASS</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0.0</w:t>
            </w:r>
          </w:p>
        </w:tc>
        <w:tc>
          <w:tcPr>
            <w:tcW w:type="dxa" w:w="3969"/>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t>&lt;1e-12</w:t>
            </w:r>
          </w:p>
        </w:tc>
        <w:tc>
          <w:tcPr>
            <w:tcW w:type="dxa" w:w="1871"/>
            <w:vAlign w:val="center"/>
            <w:tcMar>
              <w:top w:w="35" w:type="dxa"/>
              <w:start w:w="90" w:type="dxa"/>
              <w:bottom w:w="35" w:type="dxa"/>
              <w:end w:w="90" w:type="dxa"/>
            </w:tcMar>
          </w:tcPr>
          <w:p>
            <w:pPr>
              <w:spacing w:before="0" w:after="0" w:line="252" w:lineRule="auto"/>
              <w:jc w:val="left"/>
            </w:pPr>
            <w:r/>
            <w:r>
              <w:rPr>
                <w:rFonts w:ascii="Times New Roman" w:hAnsi="Times New Roman" w:eastAsia="宋体"/>
                <w:b w:val="0"/>
                <w:color w:val="000000"/>
                <w:sz w:val="12"/>
              </w:rPr>
            </w:r>
          </w:p>
        </w:tc>
      </w:tr>
    </w:tbl>
    <w:p>
      <w:pPr>
        <w:sectPr>
          <w:pgSz w:w="16838" w:h="11906" w:orient="landscape"/>
          <w:pgMar w:top="1020" w:right="1020" w:bottom="1020" w:left="1020" w:header="624" w:footer="624" w:gutter="0"/>
          <w:cols w:space="720"/>
          <w:docGrid w:linePitch="360"/>
        </w:sectPr>
      </w:pPr>
    </w:p>
    <w:p>
      <w:pPr>
        <w:pStyle w:val="Heading2"/>
        <w:keepNext/>
      </w:pPr>
      <w:r>
        <w:rPr>
          <w:rFonts w:ascii="Times New Roman" w:hAnsi="Times New Roman" w:eastAsia="黑体"/>
          <w:b/>
          <w:color w:val="000000"/>
          <w:sz w:val="28"/>
        </w:rPr>
        <w:t>3.12  结果小结</w:t>
      </w:r>
    </w:p>
    <w:p>
      <w:pPr>
        <w:keepLines w:val="0"/>
      </w:pPr>
      <w:r>
        <w:rPr>
          <w:rFonts w:ascii="Times New Roman" w:hAnsi="Times New Roman" w:eastAsia="宋体"/>
          <w:color w:val="000000"/>
          <w:sz w:val="24"/>
        </w:rPr>
        <w:t>综合政策S6相对动态基线在5年和10年均表现出较低的平均成本/DALY，但短期决策应以前沿增量比较为准。五年期在5万和10万元/DALY阈值下S4具有最高期望净货币收益，S6仅在15万元/DALY阈值下转为最优；十年期S6在全部预设阈值下均为最优，成本效果最优概率为87.31%～91.17%。</w:t>
      </w:r>
    </w:p>
    <w:p>
      <w:pPr>
        <w:keepLines w:val="0"/>
      </w:pPr>
      <w:r>
        <w:rPr>
          <w:rFonts w:ascii="Times New Roman" w:hAnsi="Times New Roman" w:eastAsia="宋体"/>
          <w:color w:val="000000"/>
          <w:sz w:val="24"/>
        </w:rPr>
        <w:t>长期持续实施显著增强S6的健康收益和经济性，但2025—2050年政策成本、部分公共支付方净成本和维持路径仍受D9暂定边界约束。公共支付方桥接结果及痴呆长期照护结果应作为补充或卫星分析呈现，不应替代政策实施成本视角的5年和10年主分析结论。</w:t>
      </w:r>
    </w:p>
    <w:sectPr w:rsidR="00FC693F" w:rsidRPr="0006063C" w:rsidSect="00034616">
      <w:pgSz w:w="11906" w:h="16838"/>
      <w:pgMar w:top="1304" w:right="1361" w:bottom="1304" w:left="1361"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color w:val="555555"/>
        <w:sz w:val="18"/>
      </w:rPr>
      <w:t>ALLdis 13病种综合政策成本效果研究｜结果部分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ind w:firstLine="42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pPr>
    <w:rPr>
      <w:rFonts w:ascii="Times New Roman" w:hAnsi="Times New Roman" w:eastAsia="黑体"/>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before="80" w:after="120" w:line="276" w:lineRule="auto"/>
    </w:pPr>
    <w:rPr>
      <w:rFonts w:ascii="Times New Roman" w:hAnsi="Times New Roman" w:eastAsia="宋体"/>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ALLdis 13病种D1—D10及正式10,000次PSA结果部分完整展示稿</dc:title>
  <dc:subject>身体活动促进政策成本效果研究结果</dc:subject>
  <dc:creator>Research Team</dc:creator>
  <cp:keywords>physical activity; cost-effectiveness; DALY; PSA; China</cp:keywords>
  <dc:description>Generated from locked v1.3 deterministic outputs and audited v1.4 formal PSA outputs.</dc:description>
  <cp:lastModifiedBy/>
  <cp:revision>1</cp:revision>
  <dcterms:created xsi:type="dcterms:W3CDTF">2013-12-23T23:15:00Z</dcterms:created>
  <dcterms:modified xsi:type="dcterms:W3CDTF">2013-12-23T23:15:00Z</dcterms:modified>
  <cp:category/>
</cp:coreProperties>
</file>