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中国身体活动促进政策13病种成本效果分析：扩展结果展示（v2.0）</w:t>
      </w:r>
    </w:p>
    <w:p>
      <w:r>
        <w:rPr>
          <w:rFonts w:ascii="SimSun" w:hAnsi="SimSun" w:eastAsia="SimSun"/>
          <w:b/>
          <w:sz w:val="28"/>
        </w:rPr>
        <w:t>核心结论</w:t>
      </w:r>
    </w:p>
    <w:p>
      <w:pPr>
        <w:spacing w:after="100"/>
      </w:pPr>
      <w:r>
        <w:rPr>
          <w:rFonts w:ascii="SimSun" w:hAnsi="SimSun" w:eastAsia="SimSun"/>
          <w:sz w:val="21"/>
        </w:rPr>
        <w:t>本报告在原5年和10年正式10,000次PSA不变的前提下，补充了2型糖尿病、抑郁症、痴呆和高血压的健康结局、医疗费用与生产率收益。新增经济结果属于扩展卫生系统/社会视角卫星分析，不替代原programme-only主分析。</w:t>
      </w:r>
    </w:p>
    <w:p>
      <w:r>
        <w:rPr>
          <w:rFonts w:ascii="SimSun" w:hAnsi="SimSun" w:eastAsia="SimSun"/>
          <w:b/>
          <w:sz w:val="28"/>
        </w:rPr>
        <w:t>四病种十年期S6健康收益</w:t>
      </w:r>
    </w:p>
    <w:p>
      <w:pPr>
        <w:spacing w:after="100"/>
      </w:pPr>
      <w:r>
        <w:rPr>
          <w:rFonts w:ascii="SimSun" w:hAnsi="SimSun" w:eastAsia="SimSun"/>
          <w:sz w:val="21"/>
        </w:rPr>
        <w:t>2型糖尿病：避免新发143,291例、患者年5,424,453、DALY 594,884、死亡11,129。</w:t>
      </w:r>
    </w:p>
    <w:p>
      <w:pPr>
        <w:spacing w:after="100"/>
      </w:pPr>
      <w:r>
        <w:rPr>
          <w:rFonts w:ascii="SimSun" w:hAnsi="SimSun" w:eastAsia="SimSun"/>
          <w:sz w:val="21"/>
        </w:rPr>
        <w:t>抑郁症：避免新发3,946,130例、患者年4,692,930、DALY 735,091；当前GBD映射不计Deaths/YLL。</w:t>
      </w:r>
    </w:p>
    <w:p>
      <w:pPr>
        <w:spacing w:after="100"/>
      </w:pPr>
      <w:r>
        <w:rPr>
          <w:rFonts w:ascii="SimSun" w:hAnsi="SimSun" w:eastAsia="SimSun"/>
          <w:sz w:val="21"/>
        </w:rPr>
        <w:t>痴呆：避免新发154,374例、患者年912,972、DALY 517,800、死亡27,873。</w:t>
      </w:r>
    </w:p>
    <w:p>
      <w:pPr>
        <w:spacing w:after="100"/>
      </w:pPr>
      <w:r>
        <w:rPr>
          <w:rFonts w:ascii="SimSun" w:hAnsi="SimSun" w:eastAsia="SimSun"/>
          <w:sz w:val="21"/>
        </w:rPr>
        <w:t>高血压：避免患者年7,141,165；当前无可靠新发病例接口。</w:t>
      </w:r>
    </w:p>
    <w:p>
      <w:r>
        <w:rPr>
          <w:rFonts w:ascii="SimSun" w:hAnsi="SimSun" w:eastAsia="SimSun"/>
          <w:b/>
          <w:sz w:val="28"/>
        </w:rPr>
        <w:t>扩展经济结果（2025年人民币，3%贴现）</w:t>
      </w:r>
    </w:p>
    <w:p>
      <w:pPr>
        <w:spacing w:after="100"/>
      </w:pPr>
      <w:r>
        <w:rPr>
          <w:rFonts w:ascii="SimSun" w:hAnsi="SimSun" w:eastAsia="SimSun"/>
          <w:sz w:val="21"/>
        </w:rPr>
        <w:t>5年：直接医疗节约114.80亿元；公共支付方净成本+83.01亿元；GDP等价生产率收益801.49亿元；社会收益成本比8.27。</w:t>
      </w:r>
    </w:p>
    <w:p>
      <w:pPr>
        <w:spacing w:after="100"/>
      </w:pPr>
      <w:r>
        <w:rPr>
          <w:rFonts w:ascii="SimSun" w:hAnsi="SimSun" w:eastAsia="SimSun"/>
          <w:sz w:val="21"/>
        </w:rPr>
        <w:t>10年：直接医疗节约878.42亿元；公共支付方净节约366.55亿元；GDP等价生产率收益3,041.44亿元；社会收益成本比16.75。</w:t>
      </w:r>
    </w:p>
    <w:p>
      <w:pPr>
        <w:spacing w:after="100"/>
      </w:pPr>
      <w:r>
        <w:rPr>
          <w:rFonts w:ascii="SimSun" w:hAnsi="SimSun" w:eastAsia="SimSun"/>
          <w:sz w:val="21"/>
        </w:rPr>
        <w:t>2025—2050年：直接医疗节约6,597.42亿元；公共支付方净节约4,219.10亿元；GDP等价生产率收益9,770.13亿元；社会收益成本比38.79。</w:t>
      </w:r>
    </w:p>
    <w:p>
      <w:pPr>
        <w:spacing w:after="100"/>
      </w:pPr>
      <w:r>
        <w:rPr>
          <w:rFonts w:ascii="SimSun" w:hAnsi="SimSun" w:eastAsia="SimSun"/>
          <w:sz w:val="21"/>
        </w:rPr>
        <w:t>10年公共支付方成本节约概率为95.4%，预计2031年回收公共投入。</w:t>
      </w:r>
    </w:p>
    <w:p>
      <w:r>
        <w:rPr>
          <w:rFonts w:ascii="SimSun" w:hAnsi="SimSun" w:eastAsia="SimSun"/>
          <w:b/>
          <w:sz w:val="28"/>
        </w:rPr>
        <w:t>解释与边界</w:t>
      </w:r>
    </w:p>
    <w:p>
      <w:pPr>
        <w:spacing w:after="100"/>
      </w:pPr>
      <w:r>
        <w:rPr>
          <w:rFonts w:ascii="SimSun" w:hAnsi="SimSun" w:eastAsia="SimSun"/>
          <w:sz w:val="21"/>
        </w:rPr>
        <w:t>此前未单列四病种，是因为可得证据多为患者年年度管理费用，而原D4严格采用“避免新发病例×首年费用”；直接混用会造成费用边界混乱，并可能与IHD、卒中费用重复。GDP此前未报告，是因为原模型没有劳动参与、缺勤、带病出勤与动态CGE参数。本轮输出的是GDP等价生产率收益，不能称为严格GDP效应。</w:t>
      </w:r>
    </w:p>
    <w:p>
      <w:r>
        <w:rPr>
          <w:rFonts w:ascii="SimSun" w:hAnsi="SimSun" w:eastAsia="SimSun"/>
          <w:b/>
          <w:sz w:val="28"/>
        </w:rPr>
        <w:t>投稿使用建议</w:t>
      </w:r>
    </w:p>
    <w:p>
      <w:pPr>
        <w:spacing w:after="100"/>
      </w:pPr>
      <w:r>
        <w:rPr>
          <w:rFonts w:ascii="SimSun" w:hAnsi="SimSun" w:eastAsia="SimSun"/>
          <w:sz w:val="21"/>
        </w:rPr>
        <w:t>正文保持原正式PSA为主分析；将扩展医疗节约、照护节约、公共支付方和生产率收益作为卫星分析单列。痴呆5年结果为0源于预设长期滞后，不是数据缺失；高血压患者年不得表述为避免新发病例。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