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中国身体活动不足结果与Lancet、RAND研究的量化对标报告（v2.0）</w:t>
      </w:r>
    </w:p>
    <w:p>
      <w:r>
        <w:rPr>
          <w:rFonts w:ascii="SimSun" w:hAnsi="SimSun" w:eastAsia="SimSun"/>
          <w:b/>
          <w:sz w:val="28"/>
        </w:rPr>
        <w:t>总体判断</w:t>
      </w:r>
    </w:p>
    <w:p>
      <w:pPr>
        <w:spacing w:after="100"/>
      </w:pPr>
      <w:r>
        <w:rPr>
          <w:rFonts w:ascii="SimSun" w:hAnsi="SimSun" w:eastAsia="SimSun"/>
          <w:sz w:val="21"/>
        </w:rPr>
        <w:t>在统一中国PA不足率后，本研究疾病负担量级与Lancet高度一致；现阶段最大审稿风险是父数据库约50%的低PA暴露率与国际调查口径的外部效度差异。RAND对标显示本研究收益低于其完整宏观情景，方向合理，因为本研究是渐进政策效果且没有CGE反馈。</w:t>
      </w:r>
    </w:p>
    <w:p>
      <w:r>
        <w:rPr>
          <w:rFonts w:ascii="SimSun" w:hAnsi="SimSun" w:eastAsia="SimSun"/>
          <w:b/>
          <w:sz w:val="28"/>
        </w:rPr>
        <w:t>Lancet同口径结果</w:t>
      </w:r>
    </w:p>
    <w:p>
      <w:pPr>
        <w:spacing w:after="100"/>
      </w:pPr>
      <w:r>
        <w:rPr>
          <w:rFonts w:ascii="SimSun" w:hAnsi="SimSun" w:eastAsia="SimSun"/>
          <w:sz w:val="21"/>
        </w:rPr>
        <w:t>2020—2030年、五个共同疾病组：本研究23,863,523例，Lancet 23,272,022例，病例比值1.025；费用比值1.022。</w:t>
      </w:r>
    </w:p>
    <w:p>
      <w:pPr>
        <w:spacing w:after="100"/>
      </w:pPr>
      <w:r>
        <w:rPr>
          <w:rFonts w:ascii="SimSun" w:hAnsi="SimSun" w:eastAsia="SimSun"/>
          <w:sz w:val="21"/>
        </w:rPr>
        <w:t>分病种病例比值：7类癌症1.017、冠心病0.833、抑郁症1.023、卒中1.377、2型糖尿病0.865。卒中高37.7%，需继续核查RR、卒中亚型、GBD版本与年龄结构。</w:t>
      </w:r>
    </w:p>
    <w:p>
      <w:pPr>
        <w:spacing w:after="100"/>
      </w:pPr>
      <w:r>
        <w:rPr>
          <w:rFonts w:ascii="SimSun" w:hAnsi="SimSun" w:eastAsia="SimSun"/>
          <w:sz w:val="21"/>
        </w:rPr>
        <w:t>若直接使用父数据库PA不足率，五组病例与费用约为Lancet的3.61倍与3.63倍，差异主要由PA暴露基线造成。</w:t>
      </w:r>
    </w:p>
    <w:p>
      <w:r>
        <w:rPr>
          <w:rFonts w:ascii="SimSun" w:hAnsi="SimSun" w:eastAsia="SimSun"/>
          <w:b/>
          <w:sz w:val="28"/>
        </w:rPr>
        <w:t>RAND对标</w:t>
      </w:r>
    </w:p>
    <w:p>
      <w:pPr>
        <w:spacing w:after="100"/>
      </w:pPr>
      <w:r>
        <w:rPr>
          <w:rFonts w:ascii="SimSun" w:hAnsi="SimSun" w:eastAsia="SimSun"/>
          <w:sz w:val="21"/>
        </w:rPr>
        <w:t>S6在2050年使约6.0%的20—69岁人口从低PA转为达标，约相当于RAND情景1改善规模的42.4%。按规模校准，2050年收益175.27亿—251.48亿美元（2019年美元）；RAND完整情景1为413.5亿—593.3亿美元。</w:t>
      </w:r>
    </w:p>
    <w:p>
      <w:pPr>
        <w:spacing w:after="100"/>
      </w:pPr>
      <w:r>
        <w:rPr>
          <w:rFonts w:ascii="SimSun" w:hAnsi="SimSun" w:eastAsia="SimSun"/>
          <w:sz w:val="21"/>
        </w:rPr>
        <w:t>本研究机制核算的2050年GDP等价生产率收益为653.68亿元（419.20亿—1,113.02亿元），不含资本、贸易与一般均衡反馈，不能直接称为CGE GDP效应。</w:t>
      </w:r>
    </w:p>
    <w:p>
      <w:r>
        <w:rPr>
          <w:rFonts w:ascii="SimSun" w:hAnsi="SimSun" w:eastAsia="SimSun"/>
          <w:b/>
          <w:sz w:val="28"/>
        </w:rPr>
        <w:t>差异是否构成拒稿风险</w:t>
      </w:r>
    </w:p>
    <w:p>
      <w:pPr>
        <w:spacing w:after="100"/>
      </w:pPr>
      <w:r>
        <w:rPr>
          <w:rFonts w:ascii="SimSun" w:hAnsi="SimSun" w:eastAsia="SimSun"/>
          <w:sz w:val="21"/>
        </w:rPr>
        <w:t>不是“整体低一个数量级”的问题：Lancet同口径五组总量已接近一致。真正需要在投稿中主动处理的是暴露率定义、卒中差异、病种特异医保支付比例以及GDP结果名称与模型边界。</w:t>
      </w:r>
    </w:p>
    <w:p>
      <w:r>
        <w:rPr>
          <w:rFonts w:ascii="SimSun" w:hAnsi="SimSun" w:eastAsia="SimSun"/>
          <w:b/>
          <w:sz w:val="28"/>
        </w:rPr>
        <w:t>仍需补强</w:t>
      </w:r>
    </w:p>
    <w:p>
      <w:pPr>
        <w:spacing w:after="100"/>
      </w:pPr>
      <w:r>
        <w:rPr>
          <w:rFonts w:ascii="SimSun" w:hAnsi="SimSun" w:eastAsia="SimSun"/>
          <w:sz w:val="21"/>
        </w:rPr>
        <w:t>采用全国代表性PA不足率作为结构敏感性；完成卒中差异分解；如公共支付方结果进入摘要则补病种特异医保比例；若需使用“GDP增加”表述，另建中国动态CGE或宏观计量模型。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