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文献学习总结与详细写作大纲</w:t>
      </w:r>
    </w:p>
    <w:p>
      <w:r>
        <w:t>胶质瘤治疗后鉴别研究  |  2026年10月29日</w:t>
      </w:r>
    </w:p>
    <w:p>
      <w:pPr>
        <w:pStyle w:val="Heading1"/>
      </w:pPr>
      <w:r>
        <w:t>研究定位</w:t>
      </w:r>
    </w:p>
    <w:p>
      <w:r>
        <w:t>研究问题是：在现有公开队列中，将FLAIR及增强T1的8项固定计算特征与5项临床输入融合，是否比仅临床信息更能区分扫描当时的残余或复发肿瘤与治疗相关改变？重点是增量价值、患者隔离的内部验证和结果的稳定程度。</w:t>
      </w:r>
    </w:p>
    <w:p>
      <w:r>
        <w:t>论文属于医学影像计算与信息融合的应用验证研究。计算贡献落实在三维图像处理、定量特征定义、特征级融合和可复现验证，不以成熟Logistic算法或Python软件本身作为原创方法。</w:t>
      </w:r>
    </w:p>
    <w:p>
      <w:pPr>
        <w:pStyle w:val="Heading1"/>
      </w:pPr>
      <w:r>
        <w:t>建议暂定题目</w:t>
      </w:r>
    </w:p>
    <w:p>
      <w:r>
        <w:t>Clinical-MRI Feature Fusion for Distinguishing Residual or Recurrent Tumor from Treatment-Related Changes after Glioma Treatment: A Public-Data Internal Validation Study</w:t>
      </w:r>
    </w:p>
    <w:p>
      <w:r>
        <w:t>中文释义：临床与MRI特征融合鉴别胶质瘤治疗后的残余或复发肿瘤与治疗相关改变：一项公开数据内部验证研究。</w:t>
      </w:r>
    </w:p>
    <w:p>
      <w:r>
        <w:t>题目使用glioma以准确覆盖实际来源中并非全部为现代分子分型胶质母细胞瘤的记录；这不改变既有队列、标签或分析。最终题目在收到写作模板后再定。</w:t>
      </w:r>
    </w:p>
    <w:p>
      <w:pPr>
        <w:pStyle w:val="Heading1"/>
      </w:pPr>
      <w:r>
        <w:t>本轮交付与后续方式</w:t>
      </w:r>
    </w:p>
    <w:p>
      <w:r>
        <w:t>本轮交付文献学习、实际词数统计和逐段大纲。论文正文将在收到作者写作要求模板后开始：每个英文段落后紧跟对应中文译文；图、表、图题、表题及图表注释只使用英文。英文正文建议约3,800-4,500词，中文译文不计入英文篇幅。</w:t>
      </w:r>
    </w:p>
    <w:p>
      <w:r>
        <w:br w:type="page"/>
      </w:r>
    </w:p>
    <w:p>
      <w:pPr>
        <w:pStyle w:val="Heading1"/>
      </w:pPr>
      <w:r>
        <w:t>1  文献学习：融合获益与相反证据</w:t>
      </w:r>
    </w:p>
    <w:p>
      <w:pPr>
        <w:pStyle w:val="Heading2"/>
      </w:pPr>
      <w:r>
        <w:t>L1  McKenney等：以病理参考与融合对照组织论文</w:t>
      </w:r>
    </w:p>
    <w:p>
      <w:r>
        <w:t>74名患者、手术病理二分类；影像特征与MGMT结合的交叉验证AUC由0.81增至0.89。结构先讲鉴别困难，再界定参考标准和计算流程，结果从人群到模型及对照，讨论再回到补充信息与验证不足。写法以方法细节支撑发现。[L1]</w:t>
      </w:r>
    </w:p>
    <w:p>
      <w:r>
        <w:t>对我们的启发：先说明标签，再说明特征，最后比较增量；但其病理标准、灌注输入及MGMT均不能移植成我们的已完成工作。</w:t>
      </w:r>
    </w:p>
    <w:p>
      <w:pPr>
        <w:pStyle w:val="Heading2"/>
      </w:pPr>
      <w:r>
        <w:t>L2  Leone等：围绕“额外信息是否有用”组织负向结果</w:t>
      </w:r>
    </w:p>
    <w:p>
      <w:r>
        <w:t>105名患者；临床加MGMT模型AUC约0.69，增加影像信息并未稳定改善，高维特征模型反而较弱。引言逐步提出增量问题，方法按信息组合列模型，结果与讨论均围绕同一临床参考展开，结论保留阴性发现。[L2]</w:t>
      </w:r>
    </w:p>
    <w:p>
      <w:r>
        <w:t>对我们的启发：主要对照应固定为M1，不能只展示Fusion的单个AUC。单扫描增量不确定与Brier区间跨0，应与有利结果同样清楚地写出。</w:t>
      </w:r>
    </w:p>
    <w:p>
      <w:pPr>
        <w:pStyle w:val="Heading2"/>
      </w:pPr>
      <w:r>
        <w:t>两篇论文共同支持的写作顺序</w:t>
      </w:r>
    </w:p>
    <w:p>
      <w:r>
        <w:t>临床问题 → 可用信息及缺口 → 参考标准与比较设计 → 同条件性能比较 → 限定适用范围。我们采用这一论证顺序，所有数值和方法仍以项目已冻结资料为准。</w:t>
      </w:r>
    </w:p>
    <w:p>
      <w:r>
        <w:br w:type="page"/>
      </w:r>
    </w:p>
    <w:p>
      <w:pPr>
        <w:pStyle w:val="Heading1"/>
      </w:pPr>
      <w:r>
        <w:t>2  文献学习：常规序列、简洁模型与近期研究</w:t>
      </w:r>
    </w:p>
    <w:p>
      <w:pPr>
        <w:pStyle w:val="Heading2"/>
      </w:pPr>
      <w:r>
        <w:t>L3  Sun等：常规增强T1与计算流程</w:t>
      </w:r>
    </w:p>
    <w:p>
      <w:r>
        <w:t>77名患者，增强T1高维纹理和随机森林；总体准确率约72.8%。背景从常规MRI的可及性进入，方法依次讲分割、特征、筛选和分类，结果再作读者比较。讨论将纹理解释与局限分开，但部分措辞偏强。[L3]</w:t>
      </w:r>
    </w:p>
    <w:p>
      <w:r>
        <w:t>对我们的启发：常规序列的计算分析可以构成文章主线；借鉴清楚的流程顺序，避免照搬长句、重复背景或过强结论。我们没有读者比较，不能声称优于放射科医师。</w:t>
      </w:r>
    </w:p>
    <w:p>
      <w:pPr>
        <w:pStyle w:val="Heading2"/>
      </w:pPr>
      <w:r>
        <w:t>L4  de Godoy等：少量MRI参数与新队列验证</w:t>
      </w:r>
    </w:p>
    <w:p>
      <w:r>
        <w:t>56名患者，用三个MRI参数构成的既有Logistic模型在新队列中验证，AUC约0.757。文章先解释为何要验证，再给诊断参考、参数和模型，结果重点报告类别识别；讨论解释性能变化及分组标准差异。[L4]</w:t>
      </w:r>
    </w:p>
    <w:p>
      <w:r>
        <w:t>对我们的启发：模型简单不妨碍提出明确研究问题；证据质量、对照和验证比输入数量更关键。其新队列验证性质不能套用为我们的外部验证。</w:t>
      </w:r>
    </w:p>
    <w:p>
      <w:pPr>
        <w:pStyle w:val="Heading2"/>
      </w:pPr>
      <w:r>
        <w:t>L5  2026年近期融合研究</w:t>
      </w:r>
    </w:p>
    <w:p>
      <w:r>
        <w:t>Zhou等在222名高级别胶质瘤患者中整合影像、分子及其他临床指标，内部留出验证AUC约0.811。结构明确区分队列、终点、预处理、建模和验证；讨论同时呈现增量、可能解释和外部验证需求。[L5]</w:t>
      </w:r>
    </w:p>
    <w:p>
      <w:r>
        <w:t>对我们的启发：可将影像与临床模型并列展示，并区分内部验证与外部推广。本文学习了其结构，不复制其17项特征、额外生物标志物、列线图或决策曲线。L5只作近期结构补充，未纳入下页统一XML词数统计。</w:t>
      </w:r>
    </w:p>
    <w:p>
      <w:r>
        <w:br w:type="page"/>
      </w:r>
    </w:p>
    <w:p>
      <w:pPr>
        <w:pStyle w:val="Heading1"/>
      </w:pPr>
      <w:r>
        <w:t>3  实际英文词数与本研究篇幅安排</w:t>
      </w:r>
    </w:p>
    <w:p>
      <w:r>
        <w:t>下表为对4篇全文采用同一脚本计算的近似英文词数。Main为引言、方法、结果、讨论及独立结论之和；不包括参考文献、图表内容、标题、声明和补充材料。Total仅为Abstract + Main，不代表投稿系统的全文字数。</w:t>
      </w:r>
    </w:p>
    <w:tbl>
      <w:tblPr>
        <w:tblW w:type="auto" w:w="0"/>
        <w:jc w:val="center"/>
        <w:tblLayout w:type="fixed"/>
        <w:tblLook w:firstColumn="1" w:firstRow="1" w:lastColumn="0" w:lastRow="0" w:noHBand="0" w:noVBand="1" w:val="04A0"/>
      </w:tblPr>
      <w:tblGrid>
        <w:gridCol w:w="792"/>
        <w:gridCol w:w="792"/>
        <w:gridCol w:w="864"/>
        <w:gridCol w:w="936"/>
        <w:gridCol w:w="792"/>
        <w:gridCol w:w="936"/>
        <w:gridCol w:w="792"/>
        <w:gridCol w:w="1008"/>
        <w:gridCol w:w="1008"/>
      </w:tblGrid>
      <w:tr>
        <w:trPr>
          <w:cantSplit/>
          <w:tblHeader/>
        </w:trPr>
        <w:tc>
          <w:tcPr>
            <w:tcW w:type="dxa" w:w="792"/>
            <w:vAlign w:val="center"/>
            <w:tcMar>
              <w:top w:w="80" w:type="dxa"/>
              <w:bottom w:w="80" w:type="dxa"/>
              <w:left w:w="80" w:type="dxa"/>
              <w:right w:w="80" w:type="dxa"/>
            </w:tcMar>
            <w:shd w:fill="EEF1F3"/>
          </w:tcPr>
          <w:p>
            <w:pPr>
              <w:spacing w:after="0" w:line="252" w:lineRule="auto"/>
              <w:jc w:val="left"/>
            </w:pPr>
            <w:r>
              <w:rPr>
                <w:b/>
                <w:sz w:val="19"/>
              </w:rPr>
              <w:t>Study</w:t>
            </w:r>
          </w:p>
        </w:tc>
        <w:tc>
          <w:tcPr>
            <w:tcW w:type="dxa" w:w="792"/>
            <w:vAlign w:val="center"/>
            <w:tcMar>
              <w:top w:w="80" w:type="dxa"/>
              <w:bottom w:w="80" w:type="dxa"/>
              <w:left w:w="80" w:type="dxa"/>
              <w:right w:w="80" w:type="dxa"/>
            </w:tcMar>
            <w:shd w:fill="EEF1F3"/>
          </w:tcPr>
          <w:p>
            <w:pPr>
              <w:spacing w:after="0" w:line="252" w:lineRule="auto"/>
              <w:jc w:val="center"/>
            </w:pPr>
            <w:r>
              <w:rPr>
                <w:b/>
                <w:sz w:val="19"/>
              </w:rPr>
              <w:t>Abs.</w:t>
            </w:r>
          </w:p>
        </w:tc>
        <w:tc>
          <w:tcPr>
            <w:tcW w:type="dxa" w:w="864"/>
            <w:vAlign w:val="center"/>
            <w:tcMar>
              <w:top w:w="80" w:type="dxa"/>
              <w:bottom w:w="80" w:type="dxa"/>
              <w:left w:w="80" w:type="dxa"/>
              <w:right w:w="80" w:type="dxa"/>
            </w:tcMar>
            <w:shd w:fill="EEF1F3"/>
          </w:tcPr>
          <w:p>
            <w:pPr>
              <w:spacing w:after="0" w:line="252" w:lineRule="auto"/>
              <w:jc w:val="center"/>
            </w:pPr>
            <w:r>
              <w:rPr>
                <w:b/>
                <w:sz w:val="19"/>
              </w:rPr>
              <w:t>Intro.</w:t>
            </w:r>
          </w:p>
        </w:tc>
        <w:tc>
          <w:tcPr>
            <w:tcW w:type="dxa" w:w="936"/>
            <w:vAlign w:val="center"/>
            <w:tcMar>
              <w:top w:w="80" w:type="dxa"/>
              <w:bottom w:w="80" w:type="dxa"/>
              <w:left w:w="80" w:type="dxa"/>
              <w:right w:w="80" w:type="dxa"/>
            </w:tcMar>
            <w:shd w:fill="EEF1F3"/>
          </w:tcPr>
          <w:p>
            <w:pPr>
              <w:spacing w:after="0" w:line="252" w:lineRule="auto"/>
              <w:jc w:val="center"/>
            </w:pPr>
            <w:r>
              <w:rPr>
                <w:b/>
                <w:sz w:val="19"/>
              </w:rPr>
              <w:t>Meth.</w:t>
            </w:r>
          </w:p>
        </w:tc>
        <w:tc>
          <w:tcPr>
            <w:tcW w:type="dxa" w:w="792"/>
            <w:vAlign w:val="center"/>
            <w:tcMar>
              <w:top w:w="80" w:type="dxa"/>
              <w:bottom w:w="80" w:type="dxa"/>
              <w:left w:w="80" w:type="dxa"/>
              <w:right w:w="80" w:type="dxa"/>
            </w:tcMar>
            <w:shd w:fill="EEF1F3"/>
          </w:tcPr>
          <w:p>
            <w:pPr>
              <w:spacing w:after="0" w:line="252" w:lineRule="auto"/>
              <w:jc w:val="center"/>
            </w:pPr>
            <w:r>
              <w:rPr>
                <w:b/>
                <w:sz w:val="19"/>
              </w:rPr>
              <w:t>Res.</w:t>
            </w:r>
          </w:p>
        </w:tc>
        <w:tc>
          <w:tcPr>
            <w:tcW w:type="dxa" w:w="936"/>
            <w:vAlign w:val="center"/>
            <w:tcMar>
              <w:top w:w="80" w:type="dxa"/>
              <w:bottom w:w="80" w:type="dxa"/>
              <w:left w:w="80" w:type="dxa"/>
              <w:right w:w="80" w:type="dxa"/>
            </w:tcMar>
            <w:shd w:fill="EEF1F3"/>
          </w:tcPr>
          <w:p>
            <w:pPr>
              <w:spacing w:after="0" w:line="252" w:lineRule="auto"/>
              <w:jc w:val="center"/>
            </w:pPr>
            <w:r>
              <w:rPr>
                <w:b/>
                <w:sz w:val="19"/>
              </w:rPr>
              <w:t>Disc.</w:t>
            </w:r>
          </w:p>
        </w:tc>
        <w:tc>
          <w:tcPr>
            <w:tcW w:type="dxa" w:w="792"/>
            <w:vAlign w:val="center"/>
            <w:tcMar>
              <w:top w:w="80" w:type="dxa"/>
              <w:bottom w:w="80" w:type="dxa"/>
              <w:left w:w="80" w:type="dxa"/>
              <w:right w:w="80" w:type="dxa"/>
            </w:tcMar>
            <w:shd w:fill="EEF1F3"/>
          </w:tcPr>
          <w:p>
            <w:pPr>
              <w:spacing w:after="0" w:line="252" w:lineRule="auto"/>
              <w:jc w:val="center"/>
            </w:pPr>
            <w:r>
              <w:rPr>
                <w:b/>
                <w:sz w:val="19"/>
              </w:rPr>
              <w:t>Conc.</w:t>
            </w:r>
          </w:p>
        </w:tc>
        <w:tc>
          <w:tcPr>
            <w:tcW w:type="dxa" w:w="1008"/>
            <w:vAlign w:val="center"/>
            <w:tcMar>
              <w:top w:w="80" w:type="dxa"/>
              <w:bottom w:w="80" w:type="dxa"/>
              <w:left w:w="80" w:type="dxa"/>
              <w:right w:w="80" w:type="dxa"/>
            </w:tcMar>
            <w:shd w:fill="EEF1F3"/>
          </w:tcPr>
          <w:p>
            <w:pPr>
              <w:spacing w:after="0" w:line="252" w:lineRule="auto"/>
              <w:jc w:val="center"/>
            </w:pPr>
            <w:r>
              <w:rPr>
                <w:b/>
                <w:sz w:val="19"/>
              </w:rPr>
              <w:t>Main</w:t>
            </w:r>
          </w:p>
        </w:tc>
        <w:tc>
          <w:tcPr>
            <w:tcW w:type="dxa" w:w="1008"/>
            <w:vAlign w:val="center"/>
            <w:tcMar>
              <w:top w:w="80" w:type="dxa"/>
              <w:bottom w:w="80" w:type="dxa"/>
              <w:left w:w="80" w:type="dxa"/>
              <w:right w:w="80" w:type="dxa"/>
            </w:tcMar>
            <w:shd w:fill="EEF1F3"/>
          </w:tcPr>
          <w:p>
            <w:pPr>
              <w:spacing w:after="0" w:line="252" w:lineRule="auto"/>
              <w:jc w:val="center"/>
            </w:pPr>
            <w:r>
              <w:rPr>
                <w:b/>
                <w:sz w:val="19"/>
              </w:rPr>
              <w:t>Total</w:t>
            </w:r>
          </w:p>
        </w:tc>
      </w:tr>
      <w:tr>
        <w:trPr>
          <w:cantSplit/>
        </w:trPr>
        <w:tc>
          <w:tcPr>
            <w:tcW w:type="dxa" w:w="792"/>
            <w:vAlign w:val="center"/>
            <w:tcMar>
              <w:top w:w="80" w:type="dxa"/>
              <w:bottom w:w="80" w:type="dxa"/>
              <w:left w:w="80" w:type="dxa"/>
              <w:right w:w="80" w:type="dxa"/>
            </w:tcMar>
          </w:tcPr>
          <w:p>
            <w:pPr>
              <w:spacing w:after="0" w:line="252" w:lineRule="auto"/>
              <w:jc w:val="left"/>
            </w:pPr>
            <w:r>
              <w:rPr>
                <w:b w:val="0"/>
                <w:sz w:val="19"/>
              </w:rPr>
              <w:t>L1</w:t>
            </w:r>
          </w:p>
        </w:tc>
        <w:tc>
          <w:tcPr>
            <w:tcW w:type="dxa" w:w="792"/>
            <w:vAlign w:val="center"/>
            <w:tcMar>
              <w:top w:w="80" w:type="dxa"/>
              <w:bottom w:w="80" w:type="dxa"/>
              <w:left w:w="80" w:type="dxa"/>
              <w:right w:w="80" w:type="dxa"/>
            </w:tcMar>
          </w:tcPr>
          <w:p>
            <w:pPr>
              <w:spacing w:after="0" w:line="252" w:lineRule="auto"/>
              <w:jc w:val="center"/>
            </w:pPr>
            <w:r>
              <w:rPr>
                <w:b w:val="0"/>
                <w:sz w:val="19"/>
              </w:rPr>
              <w:t>189</w:t>
            </w:r>
          </w:p>
        </w:tc>
        <w:tc>
          <w:tcPr>
            <w:tcW w:type="dxa" w:w="864"/>
            <w:vAlign w:val="center"/>
            <w:tcMar>
              <w:top w:w="80" w:type="dxa"/>
              <w:bottom w:w="80" w:type="dxa"/>
              <w:left w:w="80" w:type="dxa"/>
              <w:right w:w="80" w:type="dxa"/>
            </w:tcMar>
          </w:tcPr>
          <w:p>
            <w:pPr>
              <w:spacing w:after="0" w:line="252" w:lineRule="auto"/>
              <w:jc w:val="center"/>
            </w:pPr>
            <w:r>
              <w:rPr>
                <w:b w:val="0"/>
                <w:sz w:val="19"/>
              </w:rPr>
              <w:t>419</w:t>
            </w:r>
          </w:p>
        </w:tc>
        <w:tc>
          <w:tcPr>
            <w:tcW w:type="dxa" w:w="936"/>
            <w:vAlign w:val="center"/>
            <w:tcMar>
              <w:top w:w="80" w:type="dxa"/>
              <w:bottom w:w="80" w:type="dxa"/>
              <w:left w:w="80" w:type="dxa"/>
              <w:right w:w="80" w:type="dxa"/>
            </w:tcMar>
          </w:tcPr>
          <w:p>
            <w:pPr>
              <w:spacing w:after="0" w:line="252" w:lineRule="auto"/>
              <w:jc w:val="center"/>
            </w:pPr>
            <w:r>
              <w:rPr>
                <w:b w:val="0"/>
                <w:sz w:val="19"/>
              </w:rPr>
              <w:t>1250</w:t>
            </w:r>
          </w:p>
        </w:tc>
        <w:tc>
          <w:tcPr>
            <w:tcW w:type="dxa" w:w="792"/>
            <w:vAlign w:val="center"/>
            <w:tcMar>
              <w:top w:w="80" w:type="dxa"/>
              <w:bottom w:w="80" w:type="dxa"/>
              <w:left w:w="80" w:type="dxa"/>
              <w:right w:w="80" w:type="dxa"/>
            </w:tcMar>
          </w:tcPr>
          <w:p>
            <w:pPr>
              <w:spacing w:after="0" w:line="252" w:lineRule="auto"/>
              <w:jc w:val="center"/>
            </w:pPr>
            <w:r>
              <w:rPr>
                <w:b w:val="0"/>
                <w:sz w:val="19"/>
              </w:rPr>
              <w:t>808</w:t>
            </w:r>
          </w:p>
        </w:tc>
        <w:tc>
          <w:tcPr>
            <w:tcW w:type="dxa" w:w="936"/>
            <w:vAlign w:val="center"/>
            <w:tcMar>
              <w:top w:w="80" w:type="dxa"/>
              <w:bottom w:w="80" w:type="dxa"/>
              <w:left w:w="80" w:type="dxa"/>
              <w:right w:w="80" w:type="dxa"/>
            </w:tcMar>
          </w:tcPr>
          <w:p>
            <w:pPr>
              <w:spacing w:after="0" w:line="252" w:lineRule="auto"/>
              <w:jc w:val="center"/>
            </w:pPr>
            <w:r>
              <w:rPr>
                <w:b w:val="0"/>
                <w:sz w:val="19"/>
              </w:rPr>
              <w:t>1434</w:t>
            </w:r>
          </w:p>
        </w:tc>
        <w:tc>
          <w:tcPr>
            <w:tcW w:type="dxa" w:w="792"/>
            <w:vAlign w:val="center"/>
            <w:tcMar>
              <w:top w:w="80" w:type="dxa"/>
              <w:bottom w:w="80" w:type="dxa"/>
              <w:left w:w="80" w:type="dxa"/>
              <w:right w:w="80" w:type="dxa"/>
            </w:tcMar>
          </w:tcPr>
          <w:p>
            <w:pPr>
              <w:spacing w:after="0" w:line="252" w:lineRule="auto"/>
              <w:jc w:val="center"/>
            </w:pPr>
            <w:r>
              <w:rPr>
                <w:b w:val="0"/>
                <w:sz w:val="19"/>
              </w:rPr>
              <w:t>102</w:t>
            </w:r>
          </w:p>
        </w:tc>
        <w:tc>
          <w:tcPr>
            <w:tcW w:type="dxa" w:w="1008"/>
            <w:vAlign w:val="center"/>
            <w:tcMar>
              <w:top w:w="80" w:type="dxa"/>
              <w:bottom w:w="80" w:type="dxa"/>
              <w:left w:w="80" w:type="dxa"/>
              <w:right w:w="80" w:type="dxa"/>
            </w:tcMar>
          </w:tcPr>
          <w:p>
            <w:pPr>
              <w:spacing w:after="0" w:line="252" w:lineRule="auto"/>
              <w:jc w:val="center"/>
            </w:pPr>
            <w:r>
              <w:rPr>
                <w:b w:val="0"/>
                <w:sz w:val="19"/>
              </w:rPr>
              <w:t>4013</w:t>
            </w:r>
          </w:p>
        </w:tc>
        <w:tc>
          <w:tcPr>
            <w:tcW w:type="dxa" w:w="1008"/>
            <w:vAlign w:val="center"/>
            <w:tcMar>
              <w:top w:w="80" w:type="dxa"/>
              <w:bottom w:w="80" w:type="dxa"/>
              <w:left w:w="80" w:type="dxa"/>
              <w:right w:w="80" w:type="dxa"/>
            </w:tcMar>
          </w:tcPr>
          <w:p>
            <w:pPr>
              <w:spacing w:after="0" w:line="252" w:lineRule="auto"/>
              <w:jc w:val="center"/>
            </w:pPr>
            <w:r>
              <w:rPr>
                <w:b w:val="0"/>
                <w:sz w:val="19"/>
              </w:rPr>
              <w:t>4202</w:t>
            </w:r>
          </w:p>
        </w:tc>
      </w:tr>
      <w:tr>
        <w:trPr>
          <w:cantSplit/>
        </w:trPr>
        <w:tc>
          <w:tcPr>
            <w:tcW w:type="dxa" w:w="792"/>
            <w:vAlign w:val="center"/>
            <w:tcMar>
              <w:top w:w="80" w:type="dxa"/>
              <w:bottom w:w="80" w:type="dxa"/>
              <w:left w:w="80" w:type="dxa"/>
              <w:right w:w="80" w:type="dxa"/>
            </w:tcMar>
          </w:tcPr>
          <w:p>
            <w:pPr>
              <w:spacing w:after="0" w:line="252" w:lineRule="auto"/>
              <w:jc w:val="left"/>
            </w:pPr>
            <w:r>
              <w:rPr>
                <w:b w:val="0"/>
                <w:sz w:val="19"/>
              </w:rPr>
              <w:t>L2</w:t>
            </w:r>
          </w:p>
        </w:tc>
        <w:tc>
          <w:tcPr>
            <w:tcW w:type="dxa" w:w="792"/>
            <w:vAlign w:val="center"/>
            <w:tcMar>
              <w:top w:w="80" w:type="dxa"/>
              <w:bottom w:w="80" w:type="dxa"/>
              <w:left w:w="80" w:type="dxa"/>
              <w:right w:w="80" w:type="dxa"/>
            </w:tcMar>
          </w:tcPr>
          <w:p>
            <w:pPr>
              <w:spacing w:after="0" w:line="252" w:lineRule="auto"/>
              <w:jc w:val="center"/>
            </w:pPr>
            <w:r>
              <w:rPr>
                <w:b w:val="0"/>
                <w:sz w:val="19"/>
              </w:rPr>
              <w:t>285</w:t>
            </w:r>
          </w:p>
        </w:tc>
        <w:tc>
          <w:tcPr>
            <w:tcW w:type="dxa" w:w="864"/>
            <w:vAlign w:val="center"/>
            <w:tcMar>
              <w:top w:w="80" w:type="dxa"/>
              <w:bottom w:w="80" w:type="dxa"/>
              <w:left w:w="80" w:type="dxa"/>
              <w:right w:w="80" w:type="dxa"/>
            </w:tcMar>
          </w:tcPr>
          <w:p>
            <w:pPr>
              <w:spacing w:after="0" w:line="252" w:lineRule="auto"/>
              <w:jc w:val="center"/>
            </w:pPr>
            <w:r>
              <w:rPr>
                <w:b w:val="0"/>
                <w:sz w:val="19"/>
              </w:rPr>
              <w:t>676</w:t>
            </w:r>
          </w:p>
        </w:tc>
        <w:tc>
          <w:tcPr>
            <w:tcW w:type="dxa" w:w="936"/>
            <w:vAlign w:val="center"/>
            <w:tcMar>
              <w:top w:w="80" w:type="dxa"/>
              <w:bottom w:w="80" w:type="dxa"/>
              <w:left w:w="80" w:type="dxa"/>
              <w:right w:w="80" w:type="dxa"/>
            </w:tcMar>
          </w:tcPr>
          <w:p>
            <w:pPr>
              <w:spacing w:after="0" w:line="252" w:lineRule="auto"/>
              <w:jc w:val="center"/>
            </w:pPr>
            <w:r>
              <w:rPr>
                <w:b w:val="0"/>
                <w:sz w:val="19"/>
              </w:rPr>
              <w:t>1904</w:t>
            </w:r>
          </w:p>
        </w:tc>
        <w:tc>
          <w:tcPr>
            <w:tcW w:type="dxa" w:w="792"/>
            <w:vAlign w:val="center"/>
            <w:tcMar>
              <w:top w:w="80" w:type="dxa"/>
              <w:bottom w:w="80" w:type="dxa"/>
              <w:left w:w="80" w:type="dxa"/>
              <w:right w:w="80" w:type="dxa"/>
            </w:tcMar>
          </w:tcPr>
          <w:p>
            <w:pPr>
              <w:spacing w:after="0" w:line="252" w:lineRule="auto"/>
              <w:jc w:val="center"/>
            </w:pPr>
            <w:r>
              <w:rPr>
                <w:b w:val="0"/>
                <w:sz w:val="19"/>
              </w:rPr>
              <w:t>477</w:t>
            </w:r>
          </w:p>
        </w:tc>
        <w:tc>
          <w:tcPr>
            <w:tcW w:type="dxa" w:w="936"/>
            <w:vAlign w:val="center"/>
            <w:tcMar>
              <w:top w:w="80" w:type="dxa"/>
              <w:bottom w:w="80" w:type="dxa"/>
              <w:left w:w="80" w:type="dxa"/>
              <w:right w:w="80" w:type="dxa"/>
            </w:tcMar>
          </w:tcPr>
          <w:p>
            <w:pPr>
              <w:spacing w:after="0" w:line="252" w:lineRule="auto"/>
              <w:jc w:val="center"/>
            </w:pPr>
            <w:r>
              <w:rPr>
                <w:b w:val="0"/>
                <w:sz w:val="19"/>
              </w:rPr>
              <w:t>1757</w:t>
            </w:r>
          </w:p>
        </w:tc>
        <w:tc>
          <w:tcPr>
            <w:tcW w:type="dxa" w:w="792"/>
            <w:vAlign w:val="center"/>
            <w:tcMar>
              <w:top w:w="80" w:type="dxa"/>
              <w:bottom w:w="80" w:type="dxa"/>
              <w:left w:w="80" w:type="dxa"/>
              <w:right w:w="80" w:type="dxa"/>
            </w:tcMar>
          </w:tcPr>
          <w:p>
            <w:pPr>
              <w:spacing w:after="0" w:line="252" w:lineRule="auto"/>
              <w:jc w:val="center"/>
            </w:pPr>
            <w:r>
              <w:rPr>
                <w:b w:val="0"/>
                <w:sz w:val="19"/>
              </w:rPr>
              <w:t>in D</w:t>
            </w:r>
          </w:p>
        </w:tc>
        <w:tc>
          <w:tcPr>
            <w:tcW w:type="dxa" w:w="1008"/>
            <w:vAlign w:val="center"/>
            <w:tcMar>
              <w:top w:w="80" w:type="dxa"/>
              <w:bottom w:w="80" w:type="dxa"/>
              <w:left w:w="80" w:type="dxa"/>
              <w:right w:w="80" w:type="dxa"/>
            </w:tcMar>
          </w:tcPr>
          <w:p>
            <w:pPr>
              <w:spacing w:after="0" w:line="252" w:lineRule="auto"/>
              <w:jc w:val="center"/>
            </w:pPr>
            <w:r>
              <w:rPr>
                <w:b w:val="0"/>
                <w:sz w:val="19"/>
              </w:rPr>
              <w:t>4814</w:t>
            </w:r>
          </w:p>
        </w:tc>
        <w:tc>
          <w:tcPr>
            <w:tcW w:type="dxa" w:w="1008"/>
            <w:vAlign w:val="center"/>
            <w:tcMar>
              <w:top w:w="80" w:type="dxa"/>
              <w:bottom w:w="80" w:type="dxa"/>
              <w:left w:w="80" w:type="dxa"/>
              <w:right w:w="80" w:type="dxa"/>
            </w:tcMar>
          </w:tcPr>
          <w:p>
            <w:pPr>
              <w:spacing w:after="0" w:line="252" w:lineRule="auto"/>
              <w:jc w:val="center"/>
            </w:pPr>
            <w:r>
              <w:rPr>
                <w:b w:val="0"/>
                <w:sz w:val="19"/>
              </w:rPr>
              <w:t>5099</w:t>
            </w:r>
          </w:p>
        </w:tc>
      </w:tr>
      <w:tr>
        <w:trPr>
          <w:cantSplit/>
        </w:trPr>
        <w:tc>
          <w:tcPr>
            <w:tcW w:type="dxa" w:w="792"/>
            <w:vAlign w:val="center"/>
            <w:tcMar>
              <w:top w:w="80" w:type="dxa"/>
              <w:bottom w:w="80" w:type="dxa"/>
              <w:left w:w="80" w:type="dxa"/>
              <w:right w:w="80" w:type="dxa"/>
            </w:tcMar>
          </w:tcPr>
          <w:p>
            <w:pPr>
              <w:spacing w:after="0" w:line="252" w:lineRule="auto"/>
              <w:jc w:val="left"/>
            </w:pPr>
            <w:r>
              <w:rPr>
                <w:b w:val="0"/>
                <w:sz w:val="19"/>
              </w:rPr>
              <w:t>L3</w:t>
            </w:r>
          </w:p>
        </w:tc>
        <w:tc>
          <w:tcPr>
            <w:tcW w:type="dxa" w:w="792"/>
            <w:vAlign w:val="center"/>
            <w:tcMar>
              <w:top w:w="80" w:type="dxa"/>
              <w:bottom w:w="80" w:type="dxa"/>
              <w:left w:w="80" w:type="dxa"/>
              <w:right w:w="80" w:type="dxa"/>
            </w:tcMar>
          </w:tcPr>
          <w:p>
            <w:pPr>
              <w:spacing w:after="0" w:line="252" w:lineRule="auto"/>
              <w:jc w:val="center"/>
            </w:pPr>
            <w:r>
              <w:rPr>
                <w:b w:val="0"/>
                <w:sz w:val="19"/>
              </w:rPr>
              <w:t>313</w:t>
            </w:r>
          </w:p>
        </w:tc>
        <w:tc>
          <w:tcPr>
            <w:tcW w:type="dxa" w:w="864"/>
            <w:vAlign w:val="center"/>
            <w:tcMar>
              <w:top w:w="80" w:type="dxa"/>
              <w:bottom w:w="80" w:type="dxa"/>
              <w:left w:w="80" w:type="dxa"/>
              <w:right w:w="80" w:type="dxa"/>
            </w:tcMar>
          </w:tcPr>
          <w:p>
            <w:pPr>
              <w:spacing w:after="0" w:line="252" w:lineRule="auto"/>
              <w:jc w:val="center"/>
            </w:pPr>
            <w:r>
              <w:rPr>
                <w:b w:val="0"/>
                <w:sz w:val="19"/>
              </w:rPr>
              <w:t>582</w:t>
            </w:r>
          </w:p>
        </w:tc>
        <w:tc>
          <w:tcPr>
            <w:tcW w:type="dxa" w:w="936"/>
            <w:vAlign w:val="center"/>
            <w:tcMar>
              <w:top w:w="80" w:type="dxa"/>
              <w:bottom w:w="80" w:type="dxa"/>
              <w:left w:w="80" w:type="dxa"/>
              <w:right w:w="80" w:type="dxa"/>
            </w:tcMar>
          </w:tcPr>
          <w:p>
            <w:pPr>
              <w:spacing w:after="0" w:line="252" w:lineRule="auto"/>
              <w:jc w:val="center"/>
            </w:pPr>
            <w:r>
              <w:rPr>
                <w:b w:val="0"/>
                <w:sz w:val="19"/>
              </w:rPr>
              <w:t>1253</w:t>
            </w:r>
          </w:p>
        </w:tc>
        <w:tc>
          <w:tcPr>
            <w:tcW w:type="dxa" w:w="792"/>
            <w:vAlign w:val="center"/>
            <w:tcMar>
              <w:top w:w="80" w:type="dxa"/>
              <w:bottom w:w="80" w:type="dxa"/>
              <w:left w:w="80" w:type="dxa"/>
              <w:right w:w="80" w:type="dxa"/>
            </w:tcMar>
          </w:tcPr>
          <w:p>
            <w:pPr>
              <w:spacing w:after="0" w:line="252" w:lineRule="auto"/>
              <w:jc w:val="center"/>
            </w:pPr>
            <w:r>
              <w:rPr>
                <w:b w:val="0"/>
                <w:sz w:val="19"/>
              </w:rPr>
              <w:t>643</w:t>
            </w:r>
          </w:p>
        </w:tc>
        <w:tc>
          <w:tcPr>
            <w:tcW w:type="dxa" w:w="936"/>
            <w:vAlign w:val="center"/>
            <w:tcMar>
              <w:top w:w="80" w:type="dxa"/>
              <w:bottom w:w="80" w:type="dxa"/>
              <w:left w:w="80" w:type="dxa"/>
              <w:right w:w="80" w:type="dxa"/>
            </w:tcMar>
          </w:tcPr>
          <w:p>
            <w:pPr>
              <w:spacing w:after="0" w:line="252" w:lineRule="auto"/>
              <w:jc w:val="center"/>
            </w:pPr>
            <w:r>
              <w:rPr>
                <w:b w:val="0"/>
                <w:sz w:val="19"/>
              </w:rPr>
              <w:t>792</w:t>
            </w:r>
          </w:p>
        </w:tc>
        <w:tc>
          <w:tcPr>
            <w:tcW w:type="dxa" w:w="792"/>
            <w:vAlign w:val="center"/>
            <w:tcMar>
              <w:top w:w="80" w:type="dxa"/>
              <w:bottom w:w="80" w:type="dxa"/>
              <w:left w:w="80" w:type="dxa"/>
              <w:right w:w="80" w:type="dxa"/>
            </w:tcMar>
          </w:tcPr>
          <w:p>
            <w:pPr>
              <w:spacing w:after="0" w:line="252" w:lineRule="auto"/>
              <w:jc w:val="center"/>
            </w:pPr>
            <w:r>
              <w:rPr>
                <w:b w:val="0"/>
                <w:sz w:val="19"/>
              </w:rPr>
              <w:t>61</w:t>
            </w:r>
          </w:p>
        </w:tc>
        <w:tc>
          <w:tcPr>
            <w:tcW w:type="dxa" w:w="1008"/>
            <w:vAlign w:val="center"/>
            <w:tcMar>
              <w:top w:w="80" w:type="dxa"/>
              <w:bottom w:w="80" w:type="dxa"/>
              <w:left w:w="80" w:type="dxa"/>
              <w:right w:w="80" w:type="dxa"/>
            </w:tcMar>
          </w:tcPr>
          <w:p>
            <w:pPr>
              <w:spacing w:after="0" w:line="252" w:lineRule="auto"/>
              <w:jc w:val="center"/>
            </w:pPr>
            <w:r>
              <w:rPr>
                <w:b w:val="0"/>
                <w:sz w:val="19"/>
              </w:rPr>
              <w:t>3331</w:t>
            </w:r>
          </w:p>
        </w:tc>
        <w:tc>
          <w:tcPr>
            <w:tcW w:type="dxa" w:w="1008"/>
            <w:vAlign w:val="center"/>
            <w:tcMar>
              <w:top w:w="80" w:type="dxa"/>
              <w:bottom w:w="80" w:type="dxa"/>
              <w:left w:w="80" w:type="dxa"/>
              <w:right w:w="80" w:type="dxa"/>
            </w:tcMar>
          </w:tcPr>
          <w:p>
            <w:pPr>
              <w:spacing w:after="0" w:line="252" w:lineRule="auto"/>
              <w:jc w:val="center"/>
            </w:pPr>
            <w:r>
              <w:rPr>
                <w:b w:val="0"/>
                <w:sz w:val="19"/>
              </w:rPr>
              <w:t>3644</w:t>
            </w:r>
          </w:p>
        </w:tc>
      </w:tr>
      <w:tr>
        <w:trPr>
          <w:cantSplit/>
        </w:trPr>
        <w:tc>
          <w:tcPr>
            <w:tcW w:type="dxa" w:w="792"/>
            <w:vAlign w:val="center"/>
            <w:tcMar>
              <w:top w:w="80" w:type="dxa"/>
              <w:bottom w:w="80" w:type="dxa"/>
              <w:left w:w="80" w:type="dxa"/>
              <w:right w:w="80" w:type="dxa"/>
            </w:tcMar>
          </w:tcPr>
          <w:p>
            <w:pPr>
              <w:spacing w:after="0" w:line="252" w:lineRule="auto"/>
              <w:jc w:val="left"/>
            </w:pPr>
            <w:r>
              <w:rPr>
                <w:b w:val="0"/>
                <w:sz w:val="19"/>
              </w:rPr>
              <w:t>L4</w:t>
            </w:r>
          </w:p>
        </w:tc>
        <w:tc>
          <w:tcPr>
            <w:tcW w:type="dxa" w:w="792"/>
            <w:vAlign w:val="center"/>
            <w:tcMar>
              <w:top w:w="80" w:type="dxa"/>
              <w:bottom w:w="80" w:type="dxa"/>
              <w:left w:w="80" w:type="dxa"/>
              <w:right w:w="80" w:type="dxa"/>
            </w:tcMar>
          </w:tcPr>
          <w:p>
            <w:pPr>
              <w:spacing w:after="0" w:line="252" w:lineRule="auto"/>
              <w:jc w:val="center"/>
            </w:pPr>
            <w:r>
              <w:rPr>
                <w:b w:val="0"/>
                <w:sz w:val="19"/>
              </w:rPr>
              <w:t>363</w:t>
            </w:r>
          </w:p>
        </w:tc>
        <w:tc>
          <w:tcPr>
            <w:tcW w:type="dxa" w:w="864"/>
            <w:vAlign w:val="center"/>
            <w:tcMar>
              <w:top w:w="80" w:type="dxa"/>
              <w:bottom w:w="80" w:type="dxa"/>
              <w:left w:w="80" w:type="dxa"/>
              <w:right w:w="80" w:type="dxa"/>
            </w:tcMar>
          </w:tcPr>
          <w:p>
            <w:pPr>
              <w:spacing w:after="0" w:line="252" w:lineRule="auto"/>
              <w:jc w:val="center"/>
            </w:pPr>
            <w:r>
              <w:rPr>
                <w:b w:val="0"/>
                <w:sz w:val="19"/>
              </w:rPr>
              <w:t>461</w:t>
            </w:r>
          </w:p>
        </w:tc>
        <w:tc>
          <w:tcPr>
            <w:tcW w:type="dxa" w:w="936"/>
            <w:vAlign w:val="center"/>
            <w:tcMar>
              <w:top w:w="80" w:type="dxa"/>
              <w:bottom w:w="80" w:type="dxa"/>
              <w:left w:w="80" w:type="dxa"/>
              <w:right w:w="80" w:type="dxa"/>
            </w:tcMar>
          </w:tcPr>
          <w:p>
            <w:pPr>
              <w:spacing w:after="0" w:line="252" w:lineRule="auto"/>
              <w:jc w:val="center"/>
            </w:pPr>
            <w:r>
              <w:rPr>
                <w:b w:val="0"/>
                <w:sz w:val="19"/>
              </w:rPr>
              <w:t>1384</w:t>
            </w:r>
          </w:p>
        </w:tc>
        <w:tc>
          <w:tcPr>
            <w:tcW w:type="dxa" w:w="792"/>
            <w:vAlign w:val="center"/>
            <w:tcMar>
              <w:top w:w="80" w:type="dxa"/>
              <w:bottom w:w="80" w:type="dxa"/>
              <w:left w:w="80" w:type="dxa"/>
              <w:right w:w="80" w:type="dxa"/>
            </w:tcMar>
          </w:tcPr>
          <w:p>
            <w:pPr>
              <w:spacing w:after="0" w:line="252" w:lineRule="auto"/>
              <w:jc w:val="center"/>
            </w:pPr>
            <w:r>
              <w:rPr>
                <w:b w:val="0"/>
                <w:sz w:val="19"/>
              </w:rPr>
              <w:t>262</w:t>
            </w:r>
          </w:p>
        </w:tc>
        <w:tc>
          <w:tcPr>
            <w:tcW w:type="dxa" w:w="936"/>
            <w:vAlign w:val="center"/>
            <w:tcMar>
              <w:top w:w="80" w:type="dxa"/>
              <w:bottom w:w="80" w:type="dxa"/>
              <w:left w:w="80" w:type="dxa"/>
              <w:right w:w="80" w:type="dxa"/>
            </w:tcMar>
          </w:tcPr>
          <w:p>
            <w:pPr>
              <w:spacing w:after="0" w:line="252" w:lineRule="auto"/>
              <w:jc w:val="center"/>
            </w:pPr>
            <w:r>
              <w:rPr>
                <w:b w:val="0"/>
                <w:sz w:val="19"/>
              </w:rPr>
              <w:t>724</w:t>
            </w:r>
          </w:p>
        </w:tc>
        <w:tc>
          <w:tcPr>
            <w:tcW w:type="dxa" w:w="792"/>
            <w:vAlign w:val="center"/>
            <w:tcMar>
              <w:top w:w="80" w:type="dxa"/>
              <w:bottom w:w="80" w:type="dxa"/>
              <w:left w:w="80" w:type="dxa"/>
              <w:right w:w="80" w:type="dxa"/>
            </w:tcMar>
          </w:tcPr>
          <w:p>
            <w:pPr>
              <w:spacing w:after="0" w:line="252" w:lineRule="auto"/>
              <w:jc w:val="center"/>
            </w:pPr>
            <w:r>
              <w:rPr>
                <w:b w:val="0"/>
                <w:sz w:val="19"/>
              </w:rPr>
              <w:t>in D</w:t>
            </w:r>
          </w:p>
        </w:tc>
        <w:tc>
          <w:tcPr>
            <w:tcW w:type="dxa" w:w="1008"/>
            <w:vAlign w:val="center"/>
            <w:tcMar>
              <w:top w:w="80" w:type="dxa"/>
              <w:bottom w:w="80" w:type="dxa"/>
              <w:left w:w="80" w:type="dxa"/>
              <w:right w:w="80" w:type="dxa"/>
            </w:tcMar>
          </w:tcPr>
          <w:p>
            <w:pPr>
              <w:spacing w:after="0" w:line="252" w:lineRule="auto"/>
              <w:jc w:val="center"/>
            </w:pPr>
            <w:r>
              <w:rPr>
                <w:b w:val="0"/>
                <w:sz w:val="19"/>
              </w:rPr>
              <w:t>2831</w:t>
            </w:r>
          </w:p>
        </w:tc>
        <w:tc>
          <w:tcPr>
            <w:tcW w:type="dxa" w:w="1008"/>
            <w:vAlign w:val="center"/>
            <w:tcMar>
              <w:top w:w="80" w:type="dxa"/>
              <w:bottom w:w="80" w:type="dxa"/>
              <w:left w:w="80" w:type="dxa"/>
              <w:right w:w="80" w:type="dxa"/>
            </w:tcMar>
          </w:tcPr>
          <w:p>
            <w:pPr>
              <w:spacing w:after="0" w:line="252" w:lineRule="auto"/>
              <w:jc w:val="center"/>
            </w:pPr>
            <w:r>
              <w:rPr>
                <w:b w:val="0"/>
                <w:sz w:val="19"/>
              </w:rPr>
              <w:t>3194</w:t>
            </w:r>
          </w:p>
        </w:tc>
      </w:tr>
    </w:tbl>
    <w:p>
      <w:r>
        <w:t>计数说明：读取全文JATS的叙述段落，去除引用标记、公式、图注和表格等；字母/数字及词内连字符、斜杠或撇号按固定规则识别。L2无标题的开头4段计入Introduction；L3的Methods和Radiomics Strategy合并；L2/L4的结论仍计在Discussion。原文个别连写、公式及各软件规则会造成与Word不同的结果，因此这些不是出版社公布的字数。</w:t>
      </w:r>
    </w:p>
    <w:p>
      <w:r>
        <w:t>四篇Main约2,831-4,814词。我们的方法、聚类验证与敏感性内容较多，建议正文目标4,180词，而不是为追随某篇论文强行压缩方法。以下是规划值，收到模板或选定期刊后调整，不是期刊字数限制。</w:t>
      </w:r>
    </w:p>
    <w:tbl>
      <w:tblPr>
        <w:tblW w:type="auto" w:w="0"/>
        <w:jc w:val="center"/>
        <w:tblLayout w:type="fixed"/>
        <w:tblLook w:firstColumn="1" w:firstRow="1" w:lastColumn="0" w:lastRow="0" w:noHBand="0" w:noVBand="1" w:val="04A0"/>
      </w:tblPr>
      <w:tblGrid>
        <w:gridCol w:w="4176"/>
        <w:gridCol w:w="2016"/>
        <w:gridCol w:w="1728"/>
      </w:tblGrid>
      <w:tr>
        <w:trPr>
          <w:cantSplit/>
          <w:tblHeader/>
        </w:trPr>
        <w:tc>
          <w:tcPr>
            <w:tcW w:type="dxa" w:w="4176"/>
            <w:vAlign w:val="center"/>
            <w:tcMar>
              <w:top w:w="80" w:type="dxa"/>
              <w:bottom w:w="80" w:type="dxa"/>
              <w:left w:w="80" w:type="dxa"/>
              <w:right w:w="80" w:type="dxa"/>
            </w:tcMar>
            <w:shd w:fill="EEF1F3"/>
          </w:tcPr>
          <w:p>
            <w:pPr>
              <w:spacing w:after="0" w:line="252" w:lineRule="auto"/>
              <w:jc w:val="left"/>
            </w:pPr>
            <w:r>
              <w:rPr>
                <w:b/>
                <w:sz w:val="19"/>
              </w:rPr>
              <w:t>Section</w:t>
            </w:r>
          </w:p>
        </w:tc>
        <w:tc>
          <w:tcPr>
            <w:tcW w:type="dxa" w:w="2016"/>
            <w:vAlign w:val="center"/>
            <w:tcMar>
              <w:top w:w="80" w:type="dxa"/>
              <w:bottom w:w="80" w:type="dxa"/>
              <w:left w:w="80" w:type="dxa"/>
              <w:right w:w="80" w:type="dxa"/>
            </w:tcMar>
            <w:shd w:fill="EEF1F3"/>
          </w:tcPr>
          <w:p>
            <w:pPr>
              <w:spacing w:after="0" w:line="252" w:lineRule="auto"/>
              <w:jc w:val="center"/>
            </w:pPr>
            <w:r>
              <w:rPr>
                <w:b/>
                <w:sz w:val="19"/>
              </w:rPr>
              <w:t>Target words</w:t>
            </w:r>
          </w:p>
        </w:tc>
        <w:tc>
          <w:tcPr>
            <w:tcW w:type="dxa" w:w="1728"/>
            <w:vAlign w:val="center"/>
            <w:tcMar>
              <w:top w:w="80" w:type="dxa"/>
              <w:bottom w:w="80" w:type="dxa"/>
              <w:left w:w="80" w:type="dxa"/>
              <w:right w:w="80" w:type="dxa"/>
            </w:tcMar>
            <w:shd w:fill="EEF1F3"/>
          </w:tcPr>
          <w:p>
            <w:pPr>
              <w:spacing w:after="0" w:line="252" w:lineRule="auto"/>
              <w:jc w:val="center"/>
            </w:pPr>
            <w:r>
              <w:rPr>
                <w:b/>
                <w:sz w:val="19"/>
              </w:rPr>
              <w:t>Paragraphs</w:t>
            </w:r>
          </w:p>
        </w:tc>
      </w:tr>
      <w:tr>
        <w:trPr>
          <w:cantSplit/>
        </w:trPr>
        <w:tc>
          <w:tcPr>
            <w:tcW w:type="dxa" w:w="4176"/>
            <w:vAlign w:val="center"/>
            <w:tcMar>
              <w:top w:w="80" w:type="dxa"/>
              <w:bottom w:w="80" w:type="dxa"/>
              <w:left w:w="80" w:type="dxa"/>
              <w:right w:w="80" w:type="dxa"/>
            </w:tcMar>
          </w:tcPr>
          <w:p>
            <w:pPr>
              <w:spacing w:after="0" w:line="252" w:lineRule="auto"/>
              <w:jc w:val="left"/>
            </w:pPr>
            <w:r>
              <w:rPr>
                <w:b w:val="0"/>
                <w:sz w:val="19"/>
              </w:rPr>
              <w:t>Abstract</w:t>
            </w:r>
          </w:p>
        </w:tc>
        <w:tc>
          <w:tcPr>
            <w:tcW w:type="dxa" w:w="2016"/>
            <w:vAlign w:val="center"/>
            <w:tcMar>
              <w:top w:w="80" w:type="dxa"/>
              <w:bottom w:w="80" w:type="dxa"/>
              <w:left w:w="80" w:type="dxa"/>
              <w:right w:w="80" w:type="dxa"/>
            </w:tcMar>
          </w:tcPr>
          <w:p>
            <w:pPr>
              <w:spacing w:after="0" w:line="252" w:lineRule="auto"/>
              <w:jc w:val="center"/>
            </w:pPr>
            <w:r>
              <w:rPr>
                <w:b w:val="0"/>
                <w:sz w:val="19"/>
              </w:rPr>
              <w:t>250</w:t>
            </w:r>
          </w:p>
        </w:tc>
        <w:tc>
          <w:tcPr>
            <w:tcW w:type="dxa" w:w="1728"/>
            <w:vAlign w:val="center"/>
            <w:tcMar>
              <w:top w:w="80" w:type="dxa"/>
              <w:bottom w:w="80" w:type="dxa"/>
              <w:left w:w="80" w:type="dxa"/>
              <w:right w:w="80" w:type="dxa"/>
            </w:tcMar>
          </w:tcPr>
          <w:p>
            <w:pPr>
              <w:spacing w:after="0" w:line="252" w:lineRule="auto"/>
              <w:jc w:val="center"/>
            </w:pPr>
            <w:r>
              <w:rPr>
                <w:b w:val="0"/>
                <w:sz w:val="19"/>
              </w:rPr>
              <w:t>4</w:t>
            </w:r>
          </w:p>
        </w:tc>
      </w:tr>
      <w:tr>
        <w:trPr>
          <w:cantSplit/>
        </w:trPr>
        <w:tc>
          <w:tcPr>
            <w:tcW w:type="dxa" w:w="4176"/>
            <w:vAlign w:val="center"/>
            <w:tcMar>
              <w:top w:w="80" w:type="dxa"/>
              <w:bottom w:w="80" w:type="dxa"/>
              <w:left w:w="80" w:type="dxa"/>
              <w:right w:w="80" w:type="dxa"/>
            </w:tcMar>
          </w:tcPr>
          <w:p>
            <w:pPr>
              <w:spacing w:after="0" w:line="252" w:lineRule="auto"/>
              <w:jc w:val="left"/>
            </w:pPr>
            <w:r>
              <w:rPr>
                <w:b w:val="0"/>
                <w:sz w:val="19"/>
              </w:rPr>
              <w:t>Introduction</w:t>
            </w:r>
          </w:p>
        </w:tc>
        <w:tc>
          <w:tcPr>
            <w:tcW w:type="dxa" w:w="2016"/>
            <w:vAlign w:val="center"/>
            <w:tcMar>
              <w:top w:w="80" w:type="dxa"/>
              <w:bottom w:w="80" w:type="dxa"/>
              <w:left w:w="80" w:type="dxa"/>
              <w:right w:w="80" w:type="dxa"/>
            </w:tcMar>
          </w:tcPr>
          <w:p>
            <w:pPr>
              <w:spacing w:after="0" w:line="252" w:lineRule="auto"/>
              <w:jc w:val="center"/>
            </w:pPr>
            <w:r>
              <w:rPr>
                <w:b w:val="0"/>
                <w:sz w:val="19"/>
              </w:rPr>
              <w:t>600</w:t>
            </w:r>
          </w:p>
        </w:tc>
        <w:tc>
          <w:tcPr>
            <w:tcW w:type="dxa" w:w="1728"/>
            <w:vAlign w:val="center"/>
            <w:tcMar>
              <w:top w:w="80" w:type="dxa"/>
              <w:bottom w:w="80" w:type="dxa"/>
              <w:left w:w="80" w:type="dxa"/>
              <w:right w:w="80" w:type="dxa"/>
            </w:tcMar>
          </w:tcPr>
          <w:p>
            <w:pPr>
              <w:spacing w:after="0" w:line="252" w:lineRule="auto"/>
              <w:jc w:val="center"/>
            </w:pPr>
            <w:r>
              <w:rPr>
                <w:b w:val="0"/>
                <w:sz w:val="19"/>
              </w:rPr>
              <w:t>4</w:t>
            </w:r>
          </w:p>
        </w:tc>
      </w:tr>
      <w:tr>
        <w:trPr>
          <w:cantSplit/>
        </w:trPr>
        <w:tc>
          <w:tcPr>
            <w:tcW w:type="dxa" w:w="4176"/>
            <w:vAlign w:val="center"/>
            <w:tcMar>
              <w:top w:w="80" w:type="dxa"/>
              <w:bottom w:w="80" w:type="dxa"/>
              <w:left w:w="80" w:type="dxa"/>
              <w:right w:w="80" w:type="dxa"/>
            </w:tcMar>
          </w:tcPr>
          <w:p>
            <w:pPr>
              <w:spacing w:after="0" w:line="252" w:lineRule="auto"/>
              <w:jc w:val="left"/>
            </w:pPr>
            <w:r>
              <w:rPr>
                <w:b w:val="0"/>
                <w:sz w:val="19"/>
              </w:rPr>
              <w:t>Methods</w:t>
            </w:r>
          </w:p>
        </w:tc>
        <w:tc>
          <w:tcPr>
            <w:tcW w:type="dxa" w:w="2016"/>
            <w:vAlign w:val="center"/>
            <w:tcMar>
              <w:top w:w="80" w:type="dxa"/>
              <w:bottom w:w="80" w:type="dxa"/>
              <w:left w:w="80" w:type="dxa"/>
              <w:right w:w="80" w:type="dxa"/>
            </w:tcMar>
          </w:tcPr>
          <w:p>
            <w:pPr>
              <w:spacing w:after="0" w:line="252" w:lineRule="auto"/>
              <w:jc w:val="center"/>
            </w:pPr>
            <w:r>
              <w:rPr>
                <w:b w:val="0"/>
                <w:sz w:val="19"/>
              </w:rPr>
              <w:t>1750</w:t>
            </w:r>
          </w:p>
        </w:tc>
        <w:tc>
          <w:tcPr>
            <w:tcW w:type="dxa" w:w="1728"/>
            <w:vAlign w:val="center"/>
            <w:tcMar>
              <w:top w:w="80" w:type="dxa"/>
              <w:bottom w:w="80" w:type="dxa"/>
              <w:left w:w="80" w:type="dxa"/>
              <w:right w:w="80" w:type="dxa"/>
            </w:tcMar>
          </w:tcPr>
          <w:p>
            <w:pPr>
              <w:spacing w:after="0" w:line="252" w:lineRule="auto"/>
              <w:jc w:val="center"/>
            </w:pPr>
            <w:r>
              <w:rPr>
                <w:b w:val="0"/>
                <w:sz w:val="19"/>
              </w:rPr>
              <w:t>12</w:t>
            </w:r>
          </w:p>
        </w:tc>
      </w:tr>
      <w:tr>
        <w:trPr>
          <w:cantSplit/>
        </w:trPr>
        <w:tc>
          <w:tcPr>
            <w:tcW w:type="dxa" w:w="4176"/>
            <w:vAlign w:val="center"/>
            <w:tcMar>
              <w:top w:w="80" w:type="dxa"/>
              <w:bottom w:w="80" w:type="dxa"/>
              <w:left w:w="80" w:type="dxa"/>
              <w:right w:w="80" w:type="dxa"/>
            </w:tcMar>
          </w:tcPr>
          <w:p>
            <w:pPr>
              <w:spacing w:after="0" w:line="252" w:lineRule="auto"/>
              <w:jc w:val="left"/>
            </w:pPr>
            <w:r>
              <w:rPr>
                <w:b w:val="0"/>
                <w:sz w:val="19"/>
              </w:rPr>
              <w:t>Results</w:t>
            </w:r>
          </w:p>
        </w:tc>
        <w:tc>
          <w:tcPr>
            <w:tcW w:type="dxa" w:w="2016"/>
            <w:vAlign w:val="center"/>
            <w:tcMar>
              <w:top w:w="80" w:type="dxa"/>
              <w:bottom w:w="80" w:type="dxa"/>
              <w:left w:w="80" w:type="dxa"/>
              <w:right w:w="80" w:type="dxa"/>
            </w:tcMar>
          </w:tcPr>
          <w:p>
            <w:pPr>
              <w:spacing w:after="0" w:line="252" w:lineRule="auto"/>
              <w:jc w:val="center"/>
            </w:pPr>
            <w:r>
              <w:rPr>
                <w:b w:val="0"/>
                <w:sz w:val="19"/>
              </w:rPr>
              <w:t>700</w:t>
            </w:r>
          </w:p>
        </w:tc>
        <w:tc>
          <w:tcPr>
            <w:tcW w:type="dxa" w:w="1728"/>
            <w:vAlign w:val="center"/>
            <w:tcMar>
              <w:top w:w="80" w:type="dxa"/>
              <w:bottom w:w="80" w:type="dxa"/>
              <w:left w:w="80" w:type="dxa"/>
              <w:right w:w="80" w:type="dxa"/>
            </w:tcMar>
          </w:tcPr>
          <w:p>
            <w:pPr>
              <w:spacing w:after="0" w:line="252" w:lineRule="auto"/>
              <w:jc w:val="center"/>
            </w:pPr>
            <w:r>
              <w:rPr>
                <w:b w:val="0"/>
                <w:sz w:val="19"/>
              </w:rPr>
              <w:t>6</w:t>
            </w:r>
          </w:p>
        </w:tc>
      </w:tr>
      <w:tr>
        <w:trPr>
          <w:cantSplit/>
        </w:trPr>
        <w:tc>
          <w:tcPr>
            <w:tcW w:type="dxa" w:w="4176"/>
            <w:vAlign w:val="center"/>
            <w:tcMar>
              <w:top w:w="80" w:type="dxa"/>
              <w:bottom w:w="80" w:type="dxa"/>
              <w:left w:w="80" w:type="dxa"/>
              <w:right w:w="80" w:type="dxa"/>
            </w:tcMar>
          </w:tcPr>
          <w:p>
            <w:pPr>
              <w:spacing w:after="0" w:line="252" w:lineRule="auto"/>
              <w:jc w:val="left"/>
            </w:pPr>
            <w:r>
              <w:rPr>
                <w:b w:val="0"/>
                <w:sz w:val="19"/>
              </w:rPr>
              <w:t>Discussion</w:t>
            </w:r>
          </w:p>
        </w:tc>
        <w:tc>
          <w:tcPr>
            <w:tcW w:type="dxa" w:w="2016"/>
            <w:vAlign w:val="center"/>
            <w:tcMar>
              <w:top w:w="80" w:type="dxa"/>
              <w:bottom w:w="80" w:type="dxa"/>
              <w:left w:w="80" w:type="dxa"/>
              <w:right w:w="80" w:type="dxa"/>
            </w:tcMar>
          </w:tcPr>
          <w:p>
            <w:pPr>
              <w:spacing w:after="0" w:line="252" w:lineRule="auto"/>
              <w:jc w:val="center"/>
            </w:pPr>
            <w:r>
              <w:rPr>
                <w:b w:val="0"/>
                <w:sz w:val="19"/>
              </w:rPr>
              <w:t>1060</w:t>
            </w:r>
          </w:p>
        </w:tc>
        <w:tc>
          <w:tcPr>
            <w:tcW w:type="dxa" w:w="1728"/>
            <w:vAlign w:val="center"/>
            <w:tcMar>
              <w:top w:w="80" w:type="dxa"/>
              <w:bottom w:w="80" w:type="dxa"/>
              <w:left w:w="80" w:type="dxa"/>
              <w:right w:w="80" w:type="dxa"/>
            </w:tcMar>
          </w:tcPr>
          <w:p>
            <w:pPr>
              <w:spacing w:after="0" w:line="252" w:lineRule="auto"/>
              <w:jc w:val="center"/>
            </w:pPr>
            <w:r>
              <w:rPr>
                <w:b w:val="0"/>
                <w:sz w:val="19"/>
              </w:rPr>
              <w:t>8</w:t>
            </w:r>
          </w:p>
        </w:tc>
      </w:tr>
      <w:tr>
        <w:trPr>
          <w:cantSplit/>
        </w:trPr>
        <w:tc>
          <w:tcPr>
            <w:tcW w:type="dxa" w:w="4176"/>
            <w:vAlign w:val="center"/>
            <w:tcMar>
              <w:top w:w="80" w:type="dxa"/>
              <w:bottom w:w="80" w:type="dxa"/>
              <w:left w:w="80" w:type="dxa"/>
              <w:right w:w="80" w:type="dxa"/>
            </w:tcMar>
          </w:tcPr>
          <w:p>
            <w:pPr>
              <w:spacing w:after="0" w:line="252" w:lineRule="auto"/>
              <w:jc w:val="left"/>
            </w:pPr>
            <w:r>
              <w:rPr>
                <w:b w:val="0"/>
                <w:sz w:val="19"/>
              </w:rPr>
              <w:t>Conclusion</w:t>
            </w:r>
          </w:p>
        </w:tc>
        <w:tc>
          <w:tcPr>
            <w:tcW w:type="dxa" w:w="2016"/>
            <w:vAlign w:val="center"/>
            <w:tcMar>
              <w:top w:w="80" w:type="dxa"/>
              <w:bottom w:w="80" w:type="dxa"/>
              <w:left w:w="80" w:type="dxa"/>
              <w:right w:w="80" w:type="dxa"/>
            </w:tcMar>
          </w:tcPr>
          <w:p>
            <w:pPr>
              <w:spacing w:after="0" w:line="252" w:lineRule="auto"/>
              <w:jc w:val="center"/>
            </w:pPr>
            <w:r>
              <w:rPr>
                <w:b w:val="0"/>
                <w:sz w:val="19"/>
              </w:rPr>
              <w:t>70</w:t>
            </w:r>
          </w:p>
        </w:tc>
        <w:tc>
          <w:tcPr>
            <w:tcW w:type="dxa" w:w="1728"/>
            <w:vAlign w:val="center"/>
            <w:tcMar>
              <w:top w:w="80" w:type="dxa"/>
              <w:bottom w:w="80" w:type="dxa"/>
              <w:left w:w="80" w:type="dxa"/>
              <w:right w:w="80" w:type="dxa"/>
            </w:tcMar>
          </w:tcPr>
          <w:p>
            <w:pPr>
              <w:spacing w:after="0" w:line="252" w:lineRule="auto"/>
              <w:jc w:val="center"/>
            </w:pPr>
            <w:r>
              <w:rPr>
                <w:b w:val="0"/>
                <w:sz w:val="19"/>
              </w:rPr>
              <w:t>1</w:t>
            </w:r>
          </w:p>
        </w:tc>
      </w:tr>
      <w:tr>
        <w:trPr>
          <w:cantSplit/>
        </w:trPr>
        <w:tc>
          <w:tcPr>
            <w:tcW w:type="dxa" w:w="4176"/>
            <w:vAlign w:val="center"/>
            <w:tcMar>
              <w:top w:w="80" w:type="dxa"/>
              <w:bottom w:w="80" w:type="dxa"/>
              <w:left w:w="80" w:type="dxa"/>
              <w:right w:w="80" w:type="dxa"/>
            </w:tcMar>
          </w:tcPr>
          <w:p>
            <w:pPr>
              <w:spacing w:after="0" w:line="252" w:lineRule="auto"/>
              <w:jc w:val="left"/>
            </w:pPr>
            <w:r>
              <w:rPr>
                <w:b w:val="0"/>
                <w:sz w:val="19"/>
              </w:rPr>
              <w:t>Main text</w:t>
            </w:r>
          </w:p>
        </w:tc>
        <w:tc>
          <w:tcPr>
            <w:tcW w:type="dxa" w:w="2016"/>
            <w:vAlign w:val="center"/>
            <w:tcMar>
              <w:top w:w="80" w:type="dxa"/>
              <w:bottom w:w="80" w:type="dxa"/>
              <w:left w:w="80" w:type="dxa"/>
              <w:right w:w="80" w:type="dxa"/>
            </w:tcMar>
          </w:tcPr>
          <w:p>
            <w:pPr>
              <w:spacing w:after="0" w:line="252" w:lineRule="auto"/>
              <w:jc w:val="center"/>
            </w:pPr>
            <w:r>
              <w:rPr>
                <w:b w:val="0"/>
                <w:sz w:val="19"/>
              </w:rPr>
              <w:t>4180</w:t>
            </w:r>
          </w:p>
        </w:tc>
        <w:tc>
          <w:tcPr>
            <w:tcW w:type="dxa" w:w="1728"/>
            <w:vAlign w:val="center"/>
            <w:tcMar>
              <w:top w:w="80" w:type="dxa"/>
              <w:bottom w:w="80" w:type="dxa"/>
              <w:left w:w="80" w:type="dxa"/>
              <w:right w:w="80" w:type="dxa"/>
            </w:tcMar>
          </w:tcPr>
          <w:p>
            <w:pPr>
              <w:spacing w:after="0" w:line="252" w:lineRule="auto"/>
              <w:jc w:val="center"/>
            </w:pPr>
            <w:r>
              <w:rPr>
                <w:b w:val="0"/>
                <w:sz w:val="19"/>
              </w:rPr>
              <w:t>31</w:t>
            </w:r>
          </w:p>
        </w:tc>
      </w:tr>
      <w:tr>
        <w:trPr>
          <w:cantSplit/>
        </w:trPr>
        <w:tc>
          <w:tcPr>
            <w:tcW w:type="dxa" w:w="4176"/>
            <w:vAlign w:val="center"/>
            <w:tcMar>
              <w:top w:w="80" w:type="dxa"/>
              <w:bottom w:w="80" w:type="dxa"/>
              <w:left w:w="80" w:type="dxa"/>
              <w:right w:w="80" w:type="dxa"/>
            </w:tcMar>
          </w:tcPr>
          <w:p>
            <w:pPr>
              <w:spacing w:after="0" w:line="252" w:lineRule="auto"/>
              <w:jc w:val="left"/>
            </w:pPr>
            <w:r>
              <w:rPr>
                <w:b w:val="0"/>
                <w:sz w:val="19"/>
              </w:rPr>
              <w:t>Abstract + main</w:t>
            </w:r>
          </w:p>
        </w:tc>
        <w:tc>
          <w:tcPr>
            <w:tcW w:type="dxa" w:w="2016"/>
            <w:vAlign w:val="center"/>
            <w:tcMar>
              <w:top w:w="80" w:type="dxa"/>
              <w:bottom w:w="80" w:type="dxa"/>
              <w:left w:w="80" w:type="dxa"/>
              <w:right w:w="80" w:type="dxa"/>
            </w:tcMar>
          </w:tcPr>
          <w:p>
            <w:pPr>
              <w:spacing w:after="0" w:line="252" w:lineRule="auto"/>
              <w:jc w:val="center"/>
            </w:pPr>
            <w:r>
              <w:rPr>
                <w:b w:val="0"/>
                <w:sz w:val="19"/>
              </w:rPr>
              <w:t>4430</w:t>
            </w:r>
          </w:p>
        </w:tc>
        <w:tc>
          <w:tcPr>
            <w:tcW w:type="dxa" w:w="1728"/>
            <w:vAlign w:val="center"/>
            <w:tcMar>
              <w:top w:w="80" w:type="dxa"/>
              <w:bottom w:w="80" w:type="dxa"/>
              <w:left w:w="80" w:type="dxa"/>
              <w:right w:w="80" w:type="dxa"/>
            </w:tcMar>
          </w:tcPr>
          <w:p>
            <w:pPr>
              <w:spacing w:after="0" w:line="252" w:lineRule="auto"/>
              <w:jc w:val="center"/>
            </w:pPr>
            <w:r>
              <w:rPr>
                <w:b w:val="0"/>
                <w:sz w:val="19"/>
              </w:rPr>
              <w:t>35</w:t>
            </w:r>
          </w:p>
        </w:tc>
      </w:tr>
    </w:tbl>
    <w:p>
      <w:r>
        <w:t>英文图表注释、参考文献和声明另计；中文译文不计入上述目标。独立Conclusion可按模板合入Discussion。</w:t>
      </w:r>
    </w:p>
    <w:p>
      <w:r>
        <w:br w:type="page"/>
      </w:r>
    </w:p>
    <w:p>
      <w:pPr>
        <w:pStyle w:val="Heading1"/>
      </w:pPr>
      <w:r>
        <w:t>4  论文各部分的逻辑关系与写作风格</w:t>
      </w:r>
    </w:p>
    <w:p>
      <w:pPr>
        <w:pStyle w:val="Heading2"/>
      </w:pPr>
      <w:r>
        <w:t>各部分只承担一个主要任务</w:t>
      </w:r>
    </w:p>
    <w:p>
      <w:r>
        <w:rPr>
          <w:b/>
        </w:rPr>
        <w:t>引言：</w:t>
      </w:r>
      <w:r>
        <w:t>从临床鉴别困难缩小到可检验的增量问题，最后明确研究目标。不要提前罗列结果。</w:t>
      </w:r>
    </w:p>
    <w:p>
      <w:r>
        <w:rPr>
          <w:b/>
        </w:rPr>
        <w:t>方法：</w:t>
      </w:r>
      <w:r>
        <w:t>按数据 → 标签 → 输入 → 图像计算 → 模型 → 验证 → 评价 → 敏感性的顺序，使读者能复现结果。</w:t>
      </w:r>
    </w:p>
    <w:p>
      <w:r>
        <w:rPr>
          <w:b/>
        </w:rPr>
        <w:t>结果：</w:t>
      </w:r>
      <w:r>
        <w:t>顺序与方法对应，先样本，再主比较，再类别错误及校准，最后敏感性。仅陈述观察，不讨论未经验证的机制。</w:t>
      </w:r>
    </w:p>
    <w:p>
      <w:r>
        <w:rPr>
          <w:b/>
        </w:rPr>
        <w:t>讨论：</w:t>
      </w:r>
      <w:r>
        <w:t>先回答目标，再比较相关证据和解释计算贡献，随后说明敏感性含义、局限及后续验证要求。</w:t>
      </w:r>
    </w:p>
    <w:p>
      <w:r>
        <w:rPr>
          <w:b/>
        </w:rPr>
        <w:t>结论：</w:t>
      </w:r>
      <w:r>
        <w:t>只保留研究问题的答案及适用边界，与摘要结论一致，不能比讨论更强。</w:t>
      </w:r>
    </w:p>
    <w:p>
      <w:pPr>
        <w:pStyle w:val="Heading2"/>
      </w:pPr>
      <w:r>
        <w:t>英文规范与中译方式</w:t>
      </w:r>
    </w:p>
    <w:p>
      <w:r>
        <w:t>每段采用“主题句 → 必要证据或细节 → 解释/衔接”的组织方式。已完成的方法和结果以过去时为主；公认背景通常用现在时；推断用may、suggest或is consistent with，不能写成因果或机制证明。优先具体、简短句，减少大而空的临床价值表述。</w:t>
      </w:r>
    </w:p>
    <w:p>
      <w:r>
        <w:t>首次出现给出全称与缩写，后续统一使用。肿瘤为正类，所有敏感度、特异度、AP必须标明针对哪一类；不同论文正类不同，不能直接把同名指标作排名。数值以同一精度报告，AUC及差值建议三位小数，比例一位小数并附分子/分母。</w:t>
      </w:r>
    </w:p>
    <w:p>
      <w:r>
        <w:t>中文是紧跟英文段落的忠实翻译，不另加解释或新结果。先组织符合英文论文逻辑的原文，再翻译；引用号、数值、否定和不确定性必须对应。图表及其注释仅英文，补充方法的英文段落仍可附中译。</w:t>
      </w:r>
    </w:p>
    <w:p>
      <w:pPr>
        <w:pStyle w:val="Heading2"/>
      </w:pPr>
      <w:r>
        <w:t>报告规范的具体用途</w:t>
      </w:r>
    </w:p>
    <w:p>
      <w:r>
        <w:t>TRIPOD+AI适用于回归及机器学习预测模型，要求交代数据、模型、验证、性能、局限及开放科学信息；本研究按这些方面逐项核对。[G1] CLAIM用于补充核对影像来源、参考标注、预处理、分组隔离和错误分析。[G2] 采用规范不表示已消除偏倚或已可临床应用。</w:t>
      </w:r>
    </w:p>
    <w:p>
      <w:r>
        <w:br w:type="page"/>
      </w:r>
    </w:p>
    <w:p>
      <w:pPr>
        <w:pStyle w:val="Heading1"/>
      </w:pPr>
      <w:r>
        <w:t>5  逐段大纲：摘要</w:t>
      </w:r>
    </w:p>
    <w:p>
      <w:r>
        <w:t>以下为段落任务与证据安排，尚不是论文正文。每个ID在后续逐段写作和模板核对时保留。字数指英文计划值。</w:t>
      </w:r>
    </w:p>
    <w:p>
      <w:pPr>
        <w:pStyle w:val="Heading2"/>
      </w:pPr>
      <w:r>
        <w:t>Abstract  |  250 words</w:t>
      </w:r>
    </w:p>
    <w:p>
      <w:r>
        <w:rPr>
          <w:b/>
        </w:rPr>
        <w:t>A1  Background（35词）：</w:t>
      </w:r>
      <w:r>
        <w:t>一句临床鉴别困难，一句研究目的：评估固定MRI特征相对临床信息的增量。</w:t>
      </w:r>
    </w:p>
    <w:p>
      <w:r>
        <w:rPr>
          <w:b/>
        </w:rPr>
        <w:t>A2  Methods（80词）：</w:t>
      </w:r>
      <w:r>
        <w:t>公开二次分析，182扫描/135患者，5临床加8MRI，固定L2 Logistic及患者分组五折，主要配对AUC差；交代重复及单扫描敏感性。</w:t>
      </w:r>
    </w:p>
    <w:p>
      <w:r>
        <w:rPr>
          <w:b/>
        </w:rPr>
        <w:t>A3  Results（105词）：</w:t>
      </w:r>
      <w:r>
        <w:t>列M1与Fusion主AUC、Fusion区间及增量区间；补一句单扫描增量不确定及治疗改变识别不足。若字数受限保留这些关键信息，不用最高重复AUC。</w:t>
      </w:r>
    </w:p>
    <w:p>
      <w:r>
        <w:rPr>
          <w:b/>
        </w:rPr>
        <w:t>A4  Conclusions（30词）：</w:t>
      </w:r>
      <w:r>
        <w:t>限定为内部验证下的探索性增量信号，外部验证和独立标注仍必要。避免ready for clinical use之类过强结论。</w:t>
      </w:r>
    </w:p>
    <w:p>
      <w:r>
        <w:br w:type="page"/>
      </w:r>
    </w:p>
    <w:p>
      <w:pPr>
        <w:pStyle w:val="Heading1"/>
      </w:pPr>
      <w:r>
        <w:t>6  逐段大纲：引言</w:t>
      </w:r>
    </w:p>
    <w:p>
      <w:r>
        <w:t>Introduction  |  600 words</w:t>
      </w:r>
    </w:p>
    <w:p>
      <w:pPr>
        <w:pStyle w:val="Heading2"/>
      </w:pPr>
      <w:r>
        <w:t>I1  Clinical diagnostic problem  |  130 English words</w:t>
      </w:r>
    </w:p>
    <w:p>
      <w:r>
        <w:rPr>
          <w:b/>
        </w:rPr>
        <w:t>写作任务：</w:t>
      </w:r>
      <w:r>
        <w:t>交代胶质瘤治疗后残余或复发肿瘤与治疗相关改变在MRI上表现重叠，以及误判可能带来的处理困难。尽快进入鉴别问题，避免长篇流行病学或生存背景。此处使用广义治疗相关改变；假性进展只作为其中一种情况。</w:t>
      </w:r>
    </w:p>
    <w:p>
      <w:r>
        <w:rPr>
          <w:b/>
        </w:rPr>
        <w:t>依据与衔接：</w:t>
      </w:r>
      <w:r>
        <w:t>[L1-L4, L6]；承接：为什么需要额外的定量信息。</w:t>
      </w:r>
    </w:p>
    <w:p>
      <w:pPr>
        <w:pStyle w:val="Heading2"/>
      </w:pPr>
      <w:r>
        <w:t>I2  Quantitative MRI and information fusion  |  160 English words</w:t>
      </w:r>
    </w:p>
    <w:p>
      <w:r>
        <w:rPr>
          <w:b/>
        </w:rPr>
        <w:t>写作任务：</w:t>
      </w:r>
      <w:r>
        <w:t>介绍常规MRI的强度和纹理计算如何补充视觉评估，以及影像信息与年龄、性别、治疗及时间信息可能互补。指出已有方法从少量参数到高维radiomics均有探索，避免暗示特征越多必然越好。</w:t>
      </w:r>
    </w:p>
    <w:p>
      <w:r>
        <w:rPr>
          <w:b/>
        </w:rPr>
        <w:t>依据与衔接：</w:t>
      </w:r>
      <w:r>
        <w:t>[L1-L5]；承接：已有研究为什么仍不足以回答我们的增量问题。</w:t>
      </w:r>
    </w:p>
    <w:p>
      <w:pPr>
        <w:pStyle w:val="Heading2"/>
      </w:pPr>
      <w:r>
        <w:t>I3  Evidence gap and computational motivation  |  170 English words</w:t>
      </w:r>
    </w:p>
    <w:p>
      <w:r>
        <w:rPr>
          <w:b/>
        </w:rPr>
        <w:t>写作任务：</w:t>
      </w:r>
      <w:r>
        <w:t>归纳既有结果不一致、终点定义不同、样本有限及验证不足。将本研究缺口限定为：在这一公开派生影像队列中，采用固定低维特征、同病例同折比较和患者隔离，检查影像相对临床模型的增量及稳定性。不能声称此前从无人融合MRI与临床信息。</w:t>
      </w:r>
    </w:p>
    <w:p>
      <w:r>
        <w:rPr>
          <w:b/>
        </w:rPr>
        <w:t>依据与衔接：</w:t>
      </w:r>
      <w:r>
        <w:t>[L1, L2, L4, L5]；承接：从文献缺口导向可检验目标。</w:t>
      </w:r>
    </w:p>
    <w:p>
      <w:pPr>
        <w:pStyle w:val="Heading2"/>
      </w:pPr>
      <w:r>
        <w:t>I4  Study objective and prespecified comparisons  |  140 English words</w:t>
      </w:r>
    </w:p>
    <w:p>
      <w:r>
        <w:rPr>
          <w:b/>
        </w:rPr>
        <w:t>写作任务：</w:t>
      </w:r>
      <w:r>
        <w:t>明确目标为扫描当时的二分类鉴别；比较M0、M1、MRI和Fusion，主要比较为Fusion减M1的折外AUC。说明患者分组验证、边界敏感性、重复分组及每患者单扫描分析的作用。贡献定位为透明计算流程与应用验证。</w:t>
      </w:r>
    </w:p>
    <w:p>
      <w:r>
        <w:rPr>
          <w:b/>
        </w:rPr>
        <w:t>依据与衔接：</w:t>
      </w:r>
      <w:r>
        <w:t>本项目第18-19步固定方案；收束引言并引出方法，不预告最佳结果。</w:t>
      </w:r>
    </w:p>
    <w:p>
      <w:r>
        <w:br w:type="page"/>
      </w:r>
    </w:p>
    <w:p>
      <w:pPr>
        <w:pStyle w:val="Heading1"/>
      </w:pPr>
      <w:r>
        <w:t>7  逐段大纲：研究设计、队列、标签与临床输入</w:t>
      </w:r>
    </w:p>
    <w:p>
      <w:pPr>
        <w:pStyle w:val="Heading2"/>
      </w:pPr>
      <w:r>
        <w:t>M1  Study design and public data sources  |  110 English words</w:t>
      </w:r>
    </w:p>
    <w:p>
      <w:r>
        <w:rPr>
          <w:b/>
        </w:rPr>
        <w:t>写作任务：</w:t>
      </w:r>
      <w:r>
        <w:t>写明公开去标识数据的回顾性二次计算分析、UCSD-PTGBM及实际使用的公开镜像。区分源数据采集机构与本研究分析者；本研究没有新增招募或实验。源数据伦理信息引用描述论文，本研究机构适用说明以作者实际信息为准。</w:t>
      </w:r>
    </w:p>
    <w:p>
      <w:r>
        <w:rPr>
          <w:b/>
        </w:rPr>
        <w:t>依据与衔接：</w:t>
      </w:r>
      <w:r>
        <w:t>[L6]；数据URL、版本和哈希见项目清单。不得编造本研究伦理批准号。</w:t>
      </w:r>
    </w:p>
    <w:p>
      <w:pPr>
        <w:pStyle w:val="Heading2"/>
      </w:pPr>
      <w:r>
        <w:t>M2  Cohort assembly and unit of analysis  |  130 English words</w:t>
      </w:r>
    </w:p>
    <w:p>
      <w:r>
        <w:rPr>
          <w:b/>
        </w:rPr>
        <w:t>写作任务：</w:t>
      </w:r>
      <w:r>
        <w:t>说明源243扫描/178患者，经双ID冲突隔离5扫描/2患者后临床238扫描/176患者；可分析影像182扫描/135患者，另56扫描未覆盖。区分扫描数和患者数，解释不合并其他历史数据库，样本量由可用数据决定。</w:t>
      </w:r>
    </w:p>
    <w:p>
      <w:r>
        <w:rPr>
          <w:b/>
        </w:rPr>
        <w:t>依据与衔接：</w:t>
      </w:r>
      <w:r>
        <w:t>Figure 1、Table 1、Table S1；不得把182写成182名患者。</w:t>
      </w:r>
    </w:p>
    <w:p>
      <w:pPr>
        <w:pStyle w:val="Heading2"/>
      </w:pPr>
      <w:r>
        <w:t>M3  Outcome labels and reference standard  |  140 English words</w:t>
      </w:r>
    </w:p>
    <w:p>
      <w:r>
        <w:rPr>
          <w:b/>
        </w:rPr>
        <w:t>写作任务：</w:t>
      </w:r>
      <w:r>
        <w:t>定义1为残余或复发肿瘤、0为治疗相关改变。阴性病例来自公开名单，肿瘤来自冻结总体分组的补集；沿用源数据库临床/病理混合参考。说明治疗相关改变包含多种状态，并非仅假性进展或仅放射性坏死。</w:t>
      </w:r>
    </w:p>
    <w:p>
      <w:r>
        <w:rPr>
          <w:b/>
        </w:rPr>
        <w:t>依据与衔接：</w:t>
      </w:r>
      <w:r>
        <w:t>[L6]及标签审计；不得声称182例均经病理证实或重新独立判读。</w:t>
      </w:r>
    </w:p>
    <w:p>
      <w:pPr>
        <w:pStyle w:val="Heading2"/>
      </w:pPr>
      <w:r>
        <w:t>M4  Clinical predictors and missing data  |  150 English words</w:t>
      </w:r>
    </w:p>
    <w:p>
      <w:r>
        <w:rPr>
          <w:b/>
        </w:rPr>
        <w:t>写作任务：</w:t>
      </w:r>
      <w:r>
        <w:t>列明M1五项：年龄、性别、log1p初始事件间隔、扫描前其他治疗、间隔缺失标记。解释源时间字段包括初次手术/治疗/诊断，负偏移映射为正间隔，0、正偏移或Unknown按既定规则缺失；36条间隔缺失，仅在训练折中位数填补。</w:t>
      </w:r>
    </w:p>
    <w:p>
      <w:r>
        <w:rPr>
          <w:b/>
        </w:rPr>
        <w:t>依据与衔接：</w:t>
      </w:r>
      <w:r>
        <w:t>Table S2；MGMT/IDH及未来随访等未纳入，理由为时点或字段核查不足。不能把初始事件间隔改称距放疗时间。</w:t>
      </w:r>
    </w:p>
    <w:p>
      <w:r>
        <w:t>逻辑检查：这4段先确定“研究谁、判断什么、输入在什么时候可获得”。没有先界定标签和时间变量，就不能解释后面的模型增量。</w:t>
      </w:r>
    </w:p>
    <w:p>
      <w:r>
        <w:br w:type="page"/>
      </w:r>
    </w:p>
    <w:p>
      <w:pPr>
        <w:pStyle w:val="Heading1"/>
      </w:pPr>
      <w:r>
        <w:t>8  逐段大纲：影像计算与融合模型</w:t>
      </w:r>
    </w:p>
    <w:p>
      <w:pPr>
        <w:pStyle w:val="Heading2"/>
      </w:pPr>
      <w:r>
        <w:t>M5  Derived MRI inputs and source annotation region  |  130 English words</w:t>
      </w:r>
    </w:p>
    <w:p>
      <w:r>
        <w:rPr>
          <w:b/>
        </w:rPr>
        <w:t>写作任务：</w:t>
      </w:r>
      <w:r>
        <w:t>实际输入为FLAIR、增强T1及现成普通BraTS标注；派生数组256立方、uint8，共546个影像/标注文件。ROI取全部正标签并集，保留全部连通分量，称source annotation region。说明数组/仿射一致性核查与空间单位unknown。</w:t>
      </w:r>
    </w:p>
    <w:p>
      <w:r>
        <w:rPr>
          <w:b/>
        </w:rPr>
        <w:t>依据与衔接：</w:t>
      </w:r>
      <w:r>
        <w:t>第15-17步质控；不写本研究训练了分割网络、不称纯肿瘤ROI、不推断毫米或毫升。</w:t>
      </w:r>
    </w:p>
    <w:p>
      <w:pPr>
        <w:pStyle w:val="Heading2"/>
      </w:pPr>
      <w:r>
        <w:t>M6  Intensity normalization and discretization  |  190 English words</w:t>
      </w:r>
    </w:p>
    <w:p>
      <w:r>
        <w:rPr>
          <w:b/>
        </w:rPr>
        <w:t>写作任务：</w:t>
      </w:r>
      <w:r>
        <w:t>按单幅图像有限且大于0的支持区域计算p1/p99，线性变换但不截断，ROI内原始0保留。说明该支持区域不是经验证脑掩膜；32级ROI范围离散化，最大值归入最后一级。完整公式及边界规则放补充方法。</w:t>
      </w:r>
    </w:p>
    <w:p>
      <w:r>
        <w:rPr>
          <w:b/>
        </w:rPr>
        <w:t>依据与衔接：</w:t>
      </w:r>
      <w:r>
        <w:t>第16步强度修订及第17步固定代码；如实交代p1/p99不截断是观察到尾部问题后的工程修订，不能称全流程预注册。</w:t>
      </w:r>
    </w:p>
    <w:p>
      <w:pPr>
        <w:pStyle w:val="Heading2"/>
      </w:pPr>
      <w:r>
        <w:t>M7  Fixed quantitative MRI features  |  170 English words</w:t>
      </w:r>
    </w:p>
    <w:p>
      <w:r>
        <w:rPr>
          <w:b/>
        </w:rPr>
        <w:t>写作任务：</w:t>
      </w:r>
      <w:r>
        <w:t>列出FLAIR和T1post各自的均值、标准差、熵和三维GLCM对比度，共8项。熵基于32级直方图；GLCM在13个无向原生单体素偏移下汇总对称计数后归一化，再求对比度。明确未做高维筛选、形状或定量ADC计算。</w:t>
      </w:r>
    </w:p>
    <w:p>
      <w:r>
        <w:rPr>
          <w:b/>
        </w:rPr>
        <w:t>依据与衔接：</w:t>
      </w:r>
      <w:r>
        <w:t>Table S2及源码函数；不套用别人的PyRadiomics默认配置，不未经核查宣称IBSI一致。</w:t>
      </w:r>
    </w:p>
    <w:p>
      <w:pPr>
        <w:pStyle w:val="Heading2"/>
      </w:pPr>
      <w:r>
        <w:t>M8  Models and feature-level fusion  |  130 English words</w:t>
      </w:r>
    </w:p>
    <w:p>
      <w:r>
        <w:rPr>
          <w:b/>
        </w:rPr>
        <w:t>写作任务：</w:t>
      </w:r>
      <w:r>
        <w:t>四模型输入数分别2、5、8、13；Fusion为特征级拼接。全部L2 Logistic，C=1、lbfgs，连续变量折内标准化，二元变量不缩放。说明固定参数、无特征选择、无类别加权或超参数搜索；完整软件/参数放补充。</w:t>
      </w:r>
    </w:p>
    <w:p>
      <w:r>
        <w:rPr>
          <w:b/>
        </w:rPr>
        <w:t>依据与衔接：</w:t>
      </w:r>
      <w:r>
        <w:t>第18步analysis_lock与模型工厂；不能称新型融合算法、深度学习或自动特征学习。</w:t>
      </w:r>
    </w:p>
    <w:p>
      <w:r>
        <w:t>逻辑检查：这4段使计算机相关内容具体可查。正文写清核心规则，补充方法给公式、离散化边界、GLCM计数合并和完整参数，不用堆砌技术名词增加复杂感。</w:t>
      </w:r>
    </w:p>
    <w:p>
      <w:r>
        <w:br w:type="page"/>
      </w:r>
    </w:p>
    <w:p>
      <w:pPr>
        <w:pStyle w:val="Heading1"/>
      </w:pPr>
      <w:r>
        <w:t>9  逐段大纲：验证、评价、敏感性与复现</w:t>
      </w:r>
    </w:p>
    <w:p>
      <w:pPr>
        <w:pStyle w:val="Heading2"/>
      </w:pPr>
      <w:r>
        <w:t>M9  Patient-grouped internal validation  |  140 English words</w:t>
      </w:r>
    </w:p>
    <w:p>
      <w:r>
        <w:rPr>
          <w:b/>
        </w:rPr>
        <w:t>写作任务：</w:t>
      </w:r>
      <w:r>
        <w:t>固定StratifiedGroupKFold五折及随机种子20261029；所有模型用相同病例及折，源患者、BraTS患者和保守分组均隔离。各扫描获得一次折外概率，填补/标准化仅从训练折学习。解释评价是扫描级、验证按患者隔离。</w:t>
      </w:r>
    </w:p>
    <w:p>
      <w:r>
        <w:rPr>
          <w:b/>
        </w:rPr>
        <w:t>依据与衔接：</w:t>
      </w:r>
      <w:r>
        <w:t>折分配清单和fold_audit；称internal cross-validation，不称独立外部测试。</w:t>
      </w:r>
    </w:p>
    <w:p>
      <w:pPr>
        <w:pStyle w:val="Heading2"/>
      </w:pPr>
      <w:r>
        <w:t>M10  Performance and uncertainty  |  190 English words</w:t>
      </w:r>
    </w:p>
    <w:p>
      <w:r>
        <w:rPr>
          <w:b/>
        </w:rPr>
        <w:t>写作任务：</w:t>
      </w:r>
      <w:r>
        <w:t>主要终点为Fusion-M1的AUC差；同时给ROC AUC、治疗改变AP、Brier、log loss、0.5阈值混淆矩阵与校准诊断。患者聚类配对bootstrap 2000次给百分位区间；固定OOF概率，不重拟合，区间不包含全部训练/分折变异。</w:t>
      </w:r>
    </w:p>
    <w:p>
      <w:r>
        <w:rPr>
          <w:b/>
        </w:rPr>
        <w:t>依据与衔接：</w:t>
      </w:r>
      <w:r>
        <w:t>Table 2、Table 3、Table S3；校准斜率及截距定义遵循原方案，未重校准或优化阈值。</w:t>
      </w:r>
    </w:p>
    <w:p>
      <w:pPr>
        <w:pStyle w:val="Heading2"/>
      </w:pPr>
      <w:r>
        <w:t>M11  Sensitivity and split-stability analyses  |  160 English words</w:t>
      </w:r>
    </w:p>
    <w:p>
      <w:r>
        <w:rPr>
          <w:b/>
        </w:rPr>
        <w:t>写作任务：</w:t>
      </w:r>
      <w:r>
        <w:t>依序描述一次原生单体素六邻域腐蚀、20套固定种子的重复患者分组五折、最小可用会话编号的每患者单扫描重建验证。重复分布只作描述；单扫描为135人/135扫描的新分析样本，单独bootstrap。</w:t>
      </w:r>
    </w:p>
    <w:p>
      <w:r>
        <w:rPr>
          <w:b/>
        </w:rPr>
        <w:t>依据与衔接：</w:t>
      </w:r>
      <w:r>
        <w:t>Tables S4-S7及Figure 3；不把20套重复当独立样本，不选最大AUC，不称最小会话为真实首次就诊。</w:t>
      </w:r>
    </w:p>
    <w:p>
      <w:pPr>
        <w:pStyle w:val="Heading2"/>
      </w:pPr>
      <w:r>
        <w:t>M12  Reproducibility and reporting  |  110 English words</w:t>
      </w:r>
    </w:p>
    <w:p>
      <w:r>
        <w:rPr>
          <w:b/>
        </w:rPr>
        <w:t>写作任务：</w:t>
      </w:r>
      <w:r>
        <w:t>说明公开仓库、Jupyter Notebook、逐例OOF、冻结清单、特征定义、校验和和源文件恢复路径。大影像以实际可访问的独立归档及清单说明，不能宣称全部原始MRI都在普通Git文件中。按TRIPOD+AI并参考CLAIM核对报告。</w:t>
      </w:r>
    </w:p>
    <w:p>
      <w:r>
        <w:rPr>
          <w:b/>
        </w:rPr>
        <w:t>依据与衔接：</w:t>
      </w:r>
      <w:r>
        <w:t>[G1, G2]；报告规范是透明性工具，不能据此宣布研究低偏倚。</w:t>
      </w:r>
    </w:p>
    <w:p>
      <w:r>
        <w:t>逻辑检查：同病例同折保证主要增量比较的条件一致；患者分组防止同一患者跨折，但不会自动消除源标注、标签或可用影像选择问题。所有限制应在讨论中对应出现。</w:t>
      </w:r>
    </w:p>
    <w:p>
      <w:r>
        <w:br w:type="page"/>
      </w:r>
    </w:p>
    <w:p>
      <w:pPr>
        <w:pStyle w:val="Heading1"/>
      </w:pPr>
      <w:r>
        <w:t>10  逐段大纲：结果</w:t>
      </w:r>
    </w:p>
    <w:p>
      <w:pPr>
        <w:pStyle w:val="Heading2"/>
      </w:pPr>
      <w:r>
        <w:t>R1  Cohort characteristics and imaging coverage  |  120 English words</w:t>
      </w:r>
    </w:p>
    <w:p>
      <w:r>
        <w:rPr>
          <w:b/>
        </w:rPr>
        <w:t>写作任务：</w:t>
      </w:r>
      <w:r>
        <w:t>报告182扫描/135患者、141肿瘤/41治疗改变，主要临床分布和36条间隔缺失；说明56扫描未进入影像分析。年龄等按扫描汇总。不同类别的去重患者有重叠，不能把114与29直接相加。</w:t>
      </w:r>
    </w:p>
    <w:p>
      <w:r>
        <w:rPr>
          <w:b/>
        </w:rPr>
        <w:t>依据与衔接：</w:t>
      </w:r>
      <w:r>
        <w:t>Figure 1、Table 1、Table S1；先交代分析样本，再呈现模型。</w:t>
      </w:r>
    </w:p>
    <w:p>
      <w:pPr>
        <w:pStyle w:val="Heading2"/>
      </w:pPr>
      <w:r>
        <w:t>R2  Primary model discrimination  |  120 English words</w:t>
      </w:r>
    </w:p>
    <w:p>
      <w:r>
        <w:rPr>
          <w:b/>
        </w:rPr>
        <w:t>写作任务：</w:t>
      </w:r>
      <w:r>
        <w:t>依次报告M0、M1、MRI、Fusion的主折外AUC及区间，重点写M1 0.672、MRI 0.762、Fusion 0.782。只使用原固定五折结果，不用较高的腐蚀或重复结果替代。表中给全指标，正文避免逐格复述。</w:t>
      </w:r>
    </w:p>
    <w:p>
      <w:r>
        <w:rPr>
          <w:b/>
        </w:rPr>
        <w:t>依据与衔接：</w:t>
      </w:r>
      <w:r>
        <w:t>Table 2、Figure 2；承接主要增量比较。</w:t>
      </w:r>
    </w:p>
    <w:p>
      <w:pPr>
        <w:pStyle w:val="Heading2"/>
      </w:pPr>
      <w:r>
        <w:t>R3  Incremental value over the clinical model  |  100 English words</w:t>
      </w:r>
    </w:p>
    <w:p>
      <w:r>
        <w:rPr>
          <w:b/>
        </w:rPr>
        <w:t>写作任务：</w:t>
      </w:r>
      <w:r>
        <w:t>报告Fusion-M1的AUC差0.110，患者聚类95%区间0.021至0.214；同时交代Brier差-0.019，其区间跨0。区分排序区分度与概率误差，不用AUC区间不跨0推出各项性能全面改善。</w:t>
      </w:r>
    </w:p>
    <w:p>
      <w:r>
        <w:rPr>
          <w:b/>
        </w:rPr>
        <w:t>依据与衔接：</w:t>
      </w:r>
      <w:r>
        <w:t>Table 3；不增加事后显著性检验或未经计算的p值。</w:t>
      </w:r>
    </w:p>
    <w:p>
      <w:r>
        <w:br w:type="page"/>
      </w:r>
    </w:p>
    <w:p>
      <w:pPr>
        <w:pStyle w:val="Heading1"/>
      </w:pPr>
      <w:r>
        <w:t>10  逐段大纲：结果（续）</w:t>
      </w:r>
    </w:p>
    <w:p>
      <w:pPr>
        <w:pStyle w:val="Heading2"/>
      </w:pPr>
      <w:r>
        <w:t>R4  Calibration and class-specific errors  |  100 English words</w:t>
      </w:r>
    </w:p>
    <w:p>
      <w:r>
        <w:rPr>
          <w:b/>
        </w:rPr>
        <w:t>写作任务：</w:t>
      </w:r>
      <w:r>
        <w:t>报告主Fusion校准斜率0.667；0.5阈值下肿瘤正确130/141、治疗改变正确12/41。说明少数类识别不足，用两类分母呈现。整体准确率78.0%接近全部判肿瘤77.5%的参考，不能以准确率宣称临床可用。</w:t>
      </w:r>
    </w:p>
    <w:p>
      <w:r>
        <w:rPr>
          <w:b/>
        </w:rPr>
        <w:t>依据与衔接：</w:t>
      </w:r>
      <w:r>
        <w:t>Figure 2、Table S3；解释留到讨论，结果段仅陈述。</w:t>
      </w:r>
    </w:p>
    <w:p>
      <w:pPr>
        <w:pStyle w:val="Heading2"/>
      </w:pPr>
      <w:r>
        <w:t>R5  Boundary sensitivity and repeated splits  |  130 English words</w:t>
      </w:r>
    </w:p>
    <w:p>
      <w:r>
        <w:rPr>
          <w:b/>
        </w:rPr>
        <w:t>写作任务：</w:t>
      </w:r>
      <w:r>
        <w:t>腐蚀Fusion AUC 0.788，相对原版本差的区间跨0；20套重复Fusion AUC中位数0.784，范围0.759至0.809，Fusion-M1差全部为正。交代所有重复成功，不把范围称95%区间或当成20次独立验证。</w:t>
      </w:r>
    </w:p>
    <w:p>
      <w:r>
        <w:rPr>
          <w:b/>
        </w:rPr>
        <w:t>依据与衔接：</w:t>
      </w:r>
      <w:r>
        <w:t>Table S4、Tables S5A/S5B、Figure 3、Figure S1；稳定性不能解决标签或外部推广问题。</w:t>
      </w:r>
    </w:p>
    <w:p>
      <w:pPr>
        <w:pStyle w:val="Heading2"/>
      </w:pPr>
      <w:r>
        <w:t>R6  One-scan-per-patient sensitivity  |  130 English words</w:t>
      </w:r>
    </w:p>
    <w:p>
      <w:r>
        <w:rPr>
          <w:b/>
        </w:rPr>
        <w:t>写作任务：</w:t>
      </w:r>
      <w:r>
        <w:t>报告135扫描/135患者、113肿瘤/22治疗改变。Fusion AUC 0.730，Fusion-M1差0.120，其区间-0.015至0.252跨0；治疗改变仅正确2/22。明确不同人群/类别组成/训练集，不能将0.782与0.730的差归因于重复扫描造成偏倚。</w:t>
      </w:r>
    </w:p>
    <w:p>
      <w:r>
        <w:rPr>
          <w:b/>
        </w:rPr>
        <w:t>依据与衔接：</w:t>
      </w:r>
      <w:r>
        <w:t>Tables S6/S7、Figure S2；完整呈现较弱结果，与讨论呼应。</w:t>
      </w:r>
    </w:p>
    <w:p>
      <w:r>
        <w:br w:type="page"/>
      </w:r>
    </w:p>
    <w:p>
      <w:pPr>
        <w:pStyle w:val="Heading1"/>
      </w:pPr>
      <w:r>
        <w:t>11  逐段大纲：讨论的发现、文献与计算意义</w:t>
      </w:r>
    </w:p>
    <w:p>
      <w:pPr>
        <w:pStyle w:val="Heading2"/>
      </w:pPr>
      <w:r>
        <w:t>D1  Principal findings  |  120 English words</w:t>
      </w:r>
    </w:p>
    <w:p>
      <w:r>
        <w:rPr>
          <w:b/>
        </w:rPr>
        <w:t>写作任务：</w:t>
      </w:r>
      <w:r>
        <w:t>开头直接回答目标：本公开队列主分析存在MRI对临床模型的区分度增量信号，20套分折方向一致；单扫描增量仍不确定。随即指出校准和治疗改变识别不足，避免先作过强临床结论再在末尾补限制。</w:t>
      </w:r>
    </w:p>
    <w:p>
      <w:r>
        <w:rPr>
          <w:b/>
        </w:rPr>
        <w:t>依据与衔接：</w:t>
      </w:r>
      <w:r>
        <w:t>对应R2-R6；使用showed、suggests、remains uncertain等匹配证据强度的表达。</w:t>
      </w:r>
    </w:p>
    <w:p>
      <w:pPr>
        <w:pStyle w:val="Heading2"/>
      </w:pPr>
      <w:r>
        <w:t>D2  Relation to prior evidence  |  180 English words</w:t>
      </w:r>
    </w:p>
    <w:p>
      <w:r>
        <w:rPr>
          <w:b/>
        </w:rPr>
        <w:t>写作任务：</w:t>
      </w:r>
      <w:r>
        <w:t>把融合获益研究[L1,L5]、增量不稳定研究[L2]及简洁参数验证[L4]放在同一论证中。比较信息类型、ROI、样本、参考标准及验证设计，解释为何现有证据并不一致。不能仅比较AUC大小为研究排名。</w:t>
      </w:r>
    </w:p>
    <w:p>
      <w:r>
        <w:rPr>
          <w:b/>
        </w:rPr>
        <w:t>依据与衔接：</w:t>
      </w:r>
      <w:r>
        <w:t>文献间是情境比较，不能写我们的模型优于这些论文；源结局较广也不能等同纯PsP。</w:t>
      </w:r>
    </w:p>
    <w:p>
      <w:pPr>
        <w:pStyle w:val="Heading2"/>
      </w:pPr>
      <w:r>
        <w:t>D3  Computational contribution and plausible interpretation  |  150 English words</w:t>
      </w:r>
    </w:p>
    <w:p>
      <w:r>
        <w:rPr>
          <w:b/>
        </w:rPr>
        <w:t>写作任务：</w:t>
      </w:r>
      <w:r>
        <w:t>解释8项固定MRI强度/纹理特征与临床特征级融合的应用价值，以及少量输入、可审计实现和患者隔离验证的意义。纹理反映灰度分布及局部空间变化；只能提出与组织异质性相容的解释，不能证明血管、细胞或病理机制。</w:t>
      </w:r>
    </w:p>
    <w:p>
      <w:r>
        <w:rPr>
          <w:b/>
        </w:rPr>
        <w:t>依据与衔接：</w:t>
      </w:r>
      <w:r>
        <w:t>对应M5-M9；计算机相关贡献为影像计算与融合验证，不是Python本身或算法原创。</w:t>
      </w:r>
    </w:p>
    <w:p>
      <w:pPr>
        <w:pStyle w:val="Heading2"/>
      </w:pPr>
      <w:r>
        <w:t>D4  What robustness analyses establish  |  140 English words</w:t>
      </w:r>
    </w:p>
    <w:p>
      <w:r>
        <w:rPr>
          <w:b/>
        </w:rPr>
        <w:t>写作任务：</w:t>
      </w:r>
      <w:r>
        <w:t>区分三种敏感性所检验的问题：边界依赖、分折变化、现有影像内单扫描选择。说明分折稳定性是有利信号，但单扫描少数类只有22条、增量区间宽，证据尚不稳固。没有独立数据，不能把重复CV改称多中心验证。</w:t>
      </w:r>
    </w:p>
    <w:p>
      <w:r>
        <w:rPr>
          <w:b/>
        </w:rPr>
        <w:t>依据与衔接：</w:t>
      </w:r>
      <w:r>
        <w:t>对应R5-R6；不在讨论中引入未执行的实验。</w:t>
      </w:r>
    </w:p>
    <w:p>
      <w:r>
        <w:t>文献比较采用“本研究观察 → 与哪类证据相近/不同 → 哪些设计差异可能相关 → 当前能支持的解释”的顺序。文献不能替本研究补做未完成的实验或证明未验证的病理机制。</w:t>
      </w:r>
    </w:p>
    <w:p>
      <w:r>
        <w:br w:type="page"/>
      </w:r>
    </w:p>
    <w:p>
      <w:pPr>
        <w:pStyle w:val="Heading1"/>
      </w:pPr>
      <w:r>
        <w:t>12  逐段大纲：局限、后续方向与结论</w:t>
      </w:r>
    </w:p>
    <w:p>
      <w:pPr>
        <w:pStyle w:val="Heading2"/>
      </w:pPr>
      <w:r>
        <w:t>D5  Outcome and annotation limitations  |  140 English words</w:t>
      </w:r>
    </w:p>
    <w:p>
      <w:r>
        <w:rPr>
          <w:b/>
        </w:rPr>
        <w:t>写作任务：</w:t>
      </w:r>
      <w:r>
        <w:t>优先讨论标签补集、非统一病理参考、混合治疗相关改变；源标注盲法未确认，ROI可能包含诊断信息。这些问题影响可解释性和有效性，患者分组也不能消除。不能将未知写成已证实泄漏，但必须清楚说明可能性。</w:t>
      </w:r>
    </w:p>
    <w:p>
      <w:r>
        <w:rPr>
          <w:b/>
        </w:rPr>
        <w:t>依据与衔接：</w:t>
      </w:r>
      <w:r>
        <w:t>[L6]及本项目审计；本研究没有新增病理、阅片或观察者一致性实验。</w:t>
      </w:r>
    </w:p>
    <w:p>
      <w:pPr>
        <w:pStyle w:val="Heading2"/>
      </w:pPr>
      <w:r>
        <w:t>D6  Derived images and preprocessing limitations  |  140 English words</w:t>
      </w:r>
    </w:p>
    <w:p>
      <w:r>
        <w:rPr>
          <w:b/>
        </w:rPr>
        <w:t>写作任务：</w:t>
      </w:r>
      <w:r>
        <w:t>说明镜像为8位派生强度、空间单位unknown、ROI为全部正标签并集，不能恢复原生定量强度或毫米体积。说明现成标注依赖、缺少独立观察者重画和完整人工解剖配准验证；特征对处理流程具有依赖性。</w:t>
      </w:r>
    </w:p>
    <w:p>
      <w:r>
        <w:rPr>
          <w:b/>
        </w:rPr>
        <w:t>依据与衔接：</w:t>
      </w:r>
      <w:r>
        <w:t>不能把文件完整性/数组一致性等同于临床影像质量全面合格。</w:t>
      </w:r>
    </w:p>
    <w:p>
      <w:pPr>
        <w:pStyle w:val="Heading2"/>
      </w:pPr>
      <w:r>
        <w:t>D7  Sampling and validation limitations  |  110 English words</w:t>
      </w:r>
    </w:p>
    <w:p>
      <w:r>
        <w:rPr>
          <w:b/>
        </w:rPr>
        <w:t>写作任务：</w:t>
      </w:r>
      <w:r>
        <w:t>讨论影像仅覆盖238临床扫描中的182条、单中心来源、135患者和少数类有限、13输入、重复扫描及扫描权重；36条间隔缺失和时间字段非统一放疗终点。说明bootstrap条件区间以及未有外部验证。</w:t>
      </w:r>
    </w:p>
    <w:p>
      <w:r>
        <w:rPr>
          <w:b/>
        </w:rPr>
        <w:t>依据与衔接：</w:t>
      </w:r>
      <w:r>
        <w:t>不补造事前样本量计算、统计功效、事件数充分性或缺失机制结论。</w:t>
      </w:r>
    </w:p>
    <w:p>
      <w:pPr>
        <w:pStyle w:val="Heading2"/>
      </w:pPr>
      <w:r>
        <w:t>D8  Next research needed  |  80 English words</w:t>
      </w:r>
    </w:p>
    <w:p>
      <w:r>
        <w:rPr>
          <w:b/>
        </w:rPr>
        <w:t>写作任务：</w:t>
      </w:r>
      <w:r>
        <w:t>按优先顺序提出独立队列、与标签独立的标注/参考标准、标准化影像及少数类与校准评估。将其写成后续研究要求，不承诺当前模型能指导治疗，不为了补充讨论自动启动新数据或新模型。</w:t>
      </w:r>
    </w:p>
    <w:p>
      <w:r>
        <w:rPr>
          <w:b/>
        </w:rPr>
        <w:t>依据与衔接：</w:t>
      </w:r>
      <w:r>
        <w:t>回应局限和临床定位，过渡到简短结论。</w:t>
      </w:r>
    </w:p>
    <w:p>
      <w:pPr>
        <w:pStyle w:val="Heading2"/>
      </w:pPr>
      <w:r>
        <w:t>C1  Conclusion  |  70 English words</w:t>
      </w:r>
    </w:p>
    <w:p>
      <w:r>
        <w:rPr>
          <w:b/>
        </w:rPr>
        <w:t>写作任务：</w:t>
      </w:r>
      <w:r>
        <w:t>简洁回答MRI特征在主内部验证中是否增加临床模型区分度，并同时承认单扫描不确定及少数类/校准限制。提出需要独立验证。结论只用已有证据，不加入生物机制、临床获益或投稿档次判断。</w:t>
      </w:r>
    </w:p>
    <w:p>
      <w:r>
        <w:rPr>
          <w:b/>
        </w:rPr>
        <w:t>依据与衔接：</w:t>
      </w:r>
      <w:r>
        <w:t>对应I4目标及D1主发现。</w:t>
      </w:r>
    </w:p>
    <w:p>
      <w:r>
        <w:br w:type="page"/>
      </w:r>
    </w:p>
    <w:p>
      <w:pPr>
        <w:pStyle w:val="Heading1"/>
      </w:pPr>
      <w:r>
        <w:t>13  图表安排与逐段写作流程</w:t>
      </w:r>
    </w:p>
    <w:p>
      <w:r>
        <w:t>以下沿用第20步已完成材料，不增加新模型。主文拟用3表3图，补充使用其余表图；最终可随目标期刊调整。图表内容和注释全部英文，现有中文表头在正式组稿时转换为英文。</w:t>
      </w:r>
    </w:p>
    <w:tbl>
      <w:tblPr>
        <w:tblW w:type="auto" w:w="0"/>
        <w:jc w:val="center"/>
        <w:tblLayout w:type="fixed"/>
        <w:tblLook w:firstColumn="1" w:firstRow="1" w:lastColumn="0" w:lastRow="0" w:noHBand="0" w:noVBand="1" w:val="04A0"/>
      </w:tblPr>
      <w:tblGrid>
        <w:gridCol w:w="1800"/>
        <w:gridCol w:w="5328"/>
        <w:gridCol w:w="1584"/>
      </w:tblGrid>
      <w:tr>
        <w:trPr>
          <w:cantSplit/>
          <w:tblHeader/>
        </w:trPr>
        <w:tc>
          <w:tcPr>
            <w:tcW w:type="dxa" w:w="1800"/>
            <w:vAlign w:val="center"/>
            <w:tcMar>
              <w:top w:w="80" w:type="dxa"/>
              <w:bottom w:w="80" w:type="dxa"/>
              <w:left w:w="80" w:type="dxa"/>
              <w:right w:w="80" w:type="dxa"/>
            </w:tcMar>
            <w:shd w:fill="EEF1F3"/>
          </w:tcPr>
          <w:p>
            <w:pPr>
              <w:spacing w:after="0" w:line="252" w:lineRule="auto"/>
              <w:jc w:val="left"/>
            </w:pPr>
            <w:r>
              <w:rPr>
                <w:b/>
                <w:sz w:val="19"/>
              </w:rPr>
              <w:t>Item</w:t>
            </w:r>
          </w:p>
        </w:tc>
        <w:tc>
          <w:tcPr>
            <w:tcW w:type="dxa" w:w="5328"/>
            <w:vAlign w:val="center"/>
            <w:tcMar>
              <w:top w:w="80" w:type="dxa"/>
              <w:bottom w:w="80" w:type="dxa"/>
              <w:left w:w="80" w:type="dxa"/>
              <w:right w:w="80" w:type="dxa"/>
            </w:tcMar>
            <w:shd w:fill="EEF1F3"/>
          </w:tcPr>
          <w:p>
            <w:pPr>
              <w:spacing w:after="0" w:line="252" w:lineRule="auto"/>
              <w:jc w:val="center"/>
            </w:pPr>
            <w:r>
              <w:rPr>
                <w:b/>
                <w:sz w:val="19"/>
              </w:rPr>
              <w:t>Purpose</w:t>
            </w:r>
          </w:p>
        </w:tc>
        <w:tc>
          <w:tcPr>
            <w:tcW w:type="dxa" w:w="1584"/>
            <w:vAlign w:val="center"/>
            <w:tcMar>
              <w:top w:w="80" w:type="dxa"/>
              <w:bottom w:w="80" w:type="dxa"/>
              <w:left w:w="80" w:type="dxa"/>
              <w:right w:w="80" w:type="dxa"/>
            </w:tcMar>
            <w:shd w:fill="EEF1F3"/>
          </w:tcPr>
          <w:p>
            <w:pPr>
              <w:spacing w:after="0" w:line="252" w:lineRule="auto"/>
              <w:jc w:val="center"/>
            </w:pPr>
            <w:r>
              <w:rPr>
                <w:b/>
                <w:sz w:val="19"/>
              </w:rPr>
              <w:t>Paragraphs</w:t>
            </w:r>
          </w:p>
        </w:tc>
      </w:tr>
      <w:tr>
        <w:trPr>
          <w:cantSplit/>
        </w:trPr>
        <w:tc>
          <w:tcPr>
            <w:tcW w:type="dxa" w:w="1800"/>
            <w:vAlign w:val="center"/>
            <w:tcMar>
              <w:top w:w="80" w:type="dxa"/>
              <w:bottom w:w="80" w:type="dxa"/>
              <w:left w:w="80" w:type="dxa"/>
              <w:right w:w="80" w:type="dxa"/>
            </w:tcMar>
          </w:tcPr>
          <w:p>
            <w:pPr>
              <w:spacing w:after="0" w:line="252" w:lineRule="auto"/>
              <w:jc w:val="left"/>
            </w:pPr>
            <w:r>
              <w:rPr>
                <w:b w:val="0"/>
                <w:sz w:val="19"/>
              </w:rPr>
              <w:t>Table 1</w:t>
            </w:r>
          </w:p>
        </w:tc>
        <w:tc>
          <w:tcPr>
            <w:tcW w:type="dxa" w:w="5328"/>
            <w:vAlign w:val="center"/>
            <w:tcMar>
              <w:top w:w="80" w:type="dxa"/>
              <w:bottom w:w="80" w:type="dxa"/>
              <w:left w:w="80" w:type="dxa"/>
              <w:right w:w="80" w:type="dxa"/>
            </w:tcMar>
          </w:tcPr>
          <w:p>
            <w:pPr>
              <w:spacing w:after="0" w:line="252" w:lineRule="auto"/>
              <w:jc w:val="center"/>
            </w:pPr>
            <w:r>
              <w:rPr>
                <w:b w:val="0"/>
                <w:sz w:val="19"/>
              </w:rPr>
              <w:t>Main-cohort characteristics</w:t>
            </w:r>
          </w:p>
        </w:tc>
        <w:tc>
          <w:tcPr>
            <w:tcW w:type="dxa" w:w="1584"/>
            <w:vAlign w:val="center"/>
            <w:tcMar>
              <w:top w:w="80" w:type="dxa"/>
              <w:bottom w:w="80" w:type="dxa"/>
              <w:left w:w="80" w:type="dxa"/>
              <w:right w:w="80" w:type="dxa"/>
            </w:tcMar>
          </w:tcPr>
          <w:p>
            <w:pPr>
              <w:spacing w:after="0" w:line="252" w:lineRule="auto"/>
              <w:jc w:val="center"/>
            </w:pPr>
            <w:r>
              <w:rPr>
                <w:b w:val="0"/>
                <w:sz w:val="19"/>
              </w:rPr>
              <w:t>M2, R1</w:t>
            </w:r>
          </w:p>
        </w:tc>
      </w:tr>
      <w:tr>
        <w:trPr>
          <w:cantSplit/>
        </w:trPr>
        <w:tc>
          <w:tcPr>
            <w:tcW w:type="dxa" w:w="1800"/>
            <w:vAlign w:val="center"/>
            <w:tcMar>
              <w:top w:w="80" w:type="dxa"/>
              <w:bottom w:w="80" w:type="dxa"/>
              <w:left w:w="80" w:type="dxa"/>
              <w:right w:w="80" w:type="dxa"/>
            </w:tcMar>
          </w:tcPr>
          <w:p>
            <w:pPr>
              <w:spacing w:after="0" w:line="252" w:lineRule="auto"/>
              <w:jc w:val="left"/>
            </w:pPr>
            <w:r>
              <w:rPr>
                <w:b w:val="0"/>
                <w:sz w:val="19"/>
              </w:rPr>
              <w:t>Table 2</w:t>
            </w:r>
          </w:p>
        </w:tc>
        <w:tc>
          <w:tcPr>
            <w:tcW w:type="dxa" w:w="5328"/>
            <w:vAlign w:val="center"/>
            <w:tcMar>
              <w:top w:w="80" w:type="dxa"/>
              <w:bottom w:w="80" w:type="dxa"/>
              <w:left w:w="80" w:type="dxa"/>
              <w:right w:w="80" w:type="dxa"/>
            </w:tcMar>
          </w:tcPr>
          <w:p>
            <w:pPr>
              <w:spacing w:after="0" w:line="252" w:lineRule="auto"/>
              <w:jc w:val="center"/>
            </w:pPr>
            <w:r>
              <w:rPr>
                <w:b w:val="0"/>
                <w:sz w:val="19"/>
              </w:rPr>
              <w:t>Four-model OOF performance</w:t>
            </w:r>
          </w:p>
        </w:tc>
        <w:tc>
          <w:tcPr>
            <w:tcW w:type="dxa" w:w="1584"/>
            <w:vAlign w:val="center"/>
            <w:tcMar>
              <w:top w:w="80" w:type="dxa"/>
              <w:bottom w:w="80" w:type="dxa"/>
              <w:left w:w="80" w:type="dxa"/>
              <w:right w:w="80" w:type="dxa"/>
            </w:tcMar>
          </w:tcPr>
          <w:p>
            <w:pPr>
              <w:spacing w:after="0" w:line="252" w:lineRule="auto"/>
              <w:jc w:val="center"/>
            </w:pPr>
            <w:r>
              <w:rPr>
                <w:b w:val="0"/>
                <w:sz w:val="19"/>
              </w:rPr>
              <w:t>M10, R2</w:t>
            </w:r>
          </w:p>
        </w:tc>
      </w:tr>
      <w:tr>
        <w:trPr>
          <w:cantSplit/>
        </w:trPr>
        <w:tc>
          <w:tcPr>
            <w:tcW w:type="dxa" w:w="1800"/>
            <w:vAlign w:val="center"/>
            <w:tcMar>
              <w:top w:w="80" w:type="dxa"/>
              <w:bottom w:w="80" w:type="dxa"/>
              <w:left w:w="80" w:type="dxa"/>
              <w:right w:w="80" w:type="dxa"/>
            </w:tcMar>
          </w:tcPr>
          <w:p>
            <w:pPr>
              <w:spacing w:after="0" w:line="252" w:lineRule="auto"/>
              <w:jc w:val="left"/>
            </w:pPr>
            <w:r>
              <w:rPr>
                <w:b w:val="0"/>
                <w:sz w:val="19"/>
              </w:rPr>
              <w:t>Table 3</w:t>
            </w:r>
          </w:p>
        </w:tc>
        <w:tc>
          <w:tcPr>
            <w:tcW w:type="dxa" w:w="5328"/>
            <w:vAlign w:val="center"/>
            <w:tcMar>
              <w:top w:w="80" w:type="dxa"/>
              <w:bottom w:w="80" w:type="dxa"/>
              <w:left w:w="80" w:type="dxa"/>
              <w:right w:w="80" w:type="dxa"/>
            </w:tcMar>
          </w:tcPr>
          <w:p>
            <w:pPr>
              <w:spacing w:after="0" w:line="252" w:lineRule="auto"/>
              <w:jc w:val="center"/>
            </w:pPr>
            <w:r>
              <w:rPr>
                <w:b w:val="0"/>
                <w:sz w:val="19"/>
              </w:rPr>
              <w:t>Fusion minus M1 paired differences</w:t>
            </w:r>
          </w:p>
        </w:tc>
        <w:tc>
          <w:tcPr>
            <w:tcW w:type="dxa" w:w="1584"/>
            <w:vAlign w:val="center"/>
            <w:tcMar>
              <w:top w:w="80" w:type="dxa"/>
              <w:bottom w:w="80" w:type="dxa"/>
              <w:left w:w="80" w:type="dxa"/>
              <w:right w:w="80" w:type="dxa"/>
            </w:tcMar>
          </w:tcPr>
          <w:p>
            <w:pPr>
              <w:spacing w:after="0" w:line="252" w:lineRule="auto"/>
              <w:jc w:val="center"/>
            </w:pPr>
            <w:r>
              <w:rPr>
                <w:b w:val="0"/>
                <w:sz w:val="19"/>
              </w:rPr>
              <w:t>M10, R3</w:t>
            </w:r>
          </w:p>
        </w:tc>
      </w:tr>
      <w:tr>
        <w:trPr>
          <w:cantSplit/>
        </w:trPr>
        <w:tc>
          <w:tcPr>
            <w:tcW w:type="dxa" w:w="1800"/>
            <w:vAlign w:val="center"/>
            <w:tcMar>
              <w:top w:w="80" w:type="dxa"/>
              <w:bottom w:w="80" w:type="dxa"/>
              <w:left w:w="80" w:type="dxa"/>
              <w:right w:w="80" w:type="dxa"/>
            </w:tcMar>
          </w:tcPr>
          <w:p>
            <w:pPr>
              <w:spacing w:after="0" w:line="252" w:lineRule="auto"/>
              <w:jc w:val="left"/>
            </w:pPr>
            <w:r>
              <w:rPr>
                <w:b w:val="0"/>
                <w:sz w:val="19"/>
              </w:rPr>
              <w:t>Figure 1</w:t>
            </w:r>
          </w:p>
        </w:tc>
        <w:tc>
          <w:tcPr>
            <w:tcW w:type="dxa" w:w="5328"/>
            <w:vAlign w:val="center"/>
            <w:tcMar>
              <w:top w:w="80" w:type="dxa"/>
              <w:bottom w:w="80" w:type="dxa"/>
              <w:left w:w="80" w:type="dxa"/>
              <w:right w:w="80" w:type="dxa"/>
            </w:tcMar>
          </w:tcPr>
          <w:p>
            <w:pPr>
              <w:spacing w:after="0" w:line="252" w:lineRule="auto"/>
              <w:jc w:val="center"/>
            </w:pPr>
            <w:r>
              <w:rPr>
                <w:b w:val="0"/>
                <w:sz w:val="19"/>
              </w:rPr>
              <w:t>Cohort flow</w:t>
            </w:r>
          </w:p>
        </w:tc>
        <w:tc>
          <w:tcPr>
            <w:tcW w:type="dxa" w:w="1584"/>
            <w:vAlign w:val="center"/>
            <w:tcMar>
              <w:top w:w="80" w:type="dxa"/>
              <w:bottom w:w="80" w:type="dxa"/>
              <w:left w:w="80" w:type="dxa"/>
              <w:right w:w="80" w:type="dxa"/>
            </w:tcMar>
          </w:tcPr>
          <w:p>
            <w:pPr>
              <w:spacing w:after="0" w:line="252" w:lineRule="auto"/>
              <w:jc w:val="center"/>
            </w:pPr>
            <w:r>
              <w:rPr>
                <w:b w:val="0"/>
                <w:sz w:val="19"/>
              </w:rPr>
              <w:t>M2, R1</w:t>
            </w:r>
          </w:p>
        </w:tc>
      </w:tr>
      <w:tr>
        <w:trPr>
          <w:cantSplit/>
        </w:trPr>
        <w:tc>
          <w:tcPr>
            <w:tcW w:type="dxa" w:w="1800"/>
            <w:vAlign w:val="center"/>
            <w:tcMar>
              <w:top w:w="80" w:type="dxa"/>
              <w:bottom w:w="80" w:type="dxa"/>
              <w:left w:w="80" w:type="dxa"/>
              <w:right w:w="80" w:type="dxa"/>
            </w:tcMar>
          </w:tcPr>
          <w:p>
            <w:pPr>
              <w:spacing w:after="0" w:line="252" w:lineRule="auto"/>
              <w:jc w:val="left"/>
            </w:pPr>
            <w:r>
              <w:rPr>
                <w:b w:val="0"/>
                <w:sz w:val="19"/>
              </w:rPr>
              <w:t>Figure 2</w:t>
            </w:r>
          </w:p>
        </w:tc>
        <w:tc>
          <w:tcPr>
            <w:tcW w:type="dxa" w:w="5328"/>
            <w:vAlign w:val="center"/>
            <w:tcMar>
              <w:top w:w="80" w:type="dxa"/>
              <w:bottom w:w="80" w:type="dxa"/>
              <w:left w:w="80" w:type="dxa"/>
              <w:right w:w="80" w:type="dxa"/>
            </w:tcMar>
          </w:tcPr>
          <w:p>
            <w:pPr>
              <w:spacing w:after="0" w:line="252" w:lineRule="auto"/>
              <w:jc w:val="center"/>
            </w:pPr>
            <w:r>
              <w:rPr>
                <w:b w:val="0"/>
                <w:sz w:val="19"/>
              </w:rPr>
              <w:t>ROC, treatment-change PR, calibration</w:t>
            </w:r>
          </w:p>
        </w:tc>
        <w:tc>
          <w:tcPr>
            <w:tcW w:type="dxa" w:w="1584"/>
            <w:vAlign w:val="center"/>
            <w:tcMar>
              <w:top w:w="80" w:type="dxa"/>
              <w:bottom w:w="80" w:type="dxa"/>
              <w:left w:w="80" w:type="dxa"/>
              <w:right w:w="80" w:type="dxa"/>
            </w:tcMar>
          </w:tcPr>
          <w:p>
            <w:pPr>
              <w:spacing w:after="0" w:line="252" w:lineRule="auto"/>
              <w:jc w:val="center"/>
            </w:pPr>
            <w:r>
              <w:rPr>
                <w:b w:val="0"/>
                <w:sz w:val="19"/>
              </w:rPr>
              <w:t>R2-R4</w:t>
            </w:r>
          </w:p>
        </w:tc>
      </w:tr>
      <w:tr>
        <w:trPr>
          <w:cantSplit/>
        </w:trPr>
        <w:tc>
          <w:tcPr>
            <w:tcW w:type="dxa" w:w="1800"/>
            <w:vAlign w:val="center"/>
            <w:tcMar>
              <w:top w:w="80" w:type="dxa"/>
              <w:bottom w:w="80" w:type="dxa"/>
              <w:left w:w="80" w:type="dxa"/>
              <w:right w:w="80" w:type="dxa"/>
            </w:tcMar>
          </w:tcPr>
          <w:p>
            <w:pPr>
              <w:spacing w:after="0" w:line="252" w:lineRule="auto"/>
              <w:jc w:val="left"/>
            </w:pPr>
            <w:r>
              <w:rPr>
                <w:b w:val="0"/>
                <w:sz w:val="19"/>
              </w:rPr>
              <w:t>Figure 3</w:t>
            </w:r>
          </w:p>
        </w:tc>
        <w:tc>
          <w:tcPr>
            <w:tcW w:type="dxa" w:w="5328"/>
            <w:vAlign w:val="center"/>
            <w:tcMar>
              <w:top w:w="80" w:type="dxa"/>
              <w:bottom w:w="80" w:type="dxa"/>
              <w:left w:w="80" w:type="dxa"/>
              <w:right w:w="80" w:type="dxa"/>
            </w:tcMar>
          </w:tcPr>
          <w:p>
            <w:pPr>
              <w:spacing w:after="0" w:line="252" w:lineRule="auto"/>
              <w:jc w:val="center"/>
            </w:pPr>
            <w:r>
              <w:rPr>
                <w:b w:val="0"/>
                <w:sz w:val="19"/>
              </w:rPr>
              <w:t>Repeated grouped-CV stability</w:t>
            </w:r>
          </w:p>
        </w:tc>
        <w:tc>
          <w:tcPr>
            <w:tcW w:type="dxa" w:w="1584"/>
            <w:vAlign w:val="center"/>
            <w:tcMar>
              <w:top w:w="80" w:type="dxa"/>
              <w:bottom w:w="80" w:type="dxa"/>
              <w:left w:w="80" w:type="dxa"/>
              <w:right w:w="80" w:type="dxa"/>
            </w:tcMar>
          </w:tcPr>
          <w:p>
            <w:pPr>
              <w:spacing w:after="0" w:line="252" w:lineRule="auto"/>
              <w:jc w:val="center"/>
            </w:pPr>
            <w:r>
              <w:rPr>
                <w:b w:val="0"/>
                <w:sz w:val="19"/>
              </w:rPr>
              <w:t>M11, R5</w:t>
            </w:r>
          </w:p>
        </w:tc>
      </w:tr>
      <w:tr>
        <w:trPr>
          <w:cantSplit/>
        </w:trPr>
        <w:tc>
          <w:tcPr>
            <w:tcW w:type="dxa" w:w="1800"/>
            <w:vAlign w:val="center"/>
            <w:tcMar>
              <w:top w:w="80" w:type="dxa"/>
              <w:bottom w:w="80" w:type="dxa"/>
              <w:left w:w="80" w:type="dxa"/>
              <w:right w:w="80" w:type="dxa"/>
            </w:tcMar>
          </w:tcPr>
          <w:p>
            <w:pPr>
              <w:spacing w:after="0" w:line="252" w:lineRule="auto"/>
              <w:jc w:val="left"/>
            </w:pPr>
            <w:r>
              <w:rPr>
                <w:b w:val="0"/>
                <w:sz w:val="19"/>
              </w:rPr>
              <w:t>Tables S1-S2</w:t>
            </w:r>
          </w:p>
        </w:tc>
        <w:tc>
          <w:tcPr>
            <w:tcW w:type="dxa" w:w="5328"/>
            <w:vAlign w:val="center"/>
            <w:tcMar>
              <w:top w:w="80" w:type="dxa"/>
              <w:bottom w:w="80" w:type="dxa"/>
              <w:left w:w="80" w:type="dxa"/>
              <w:right w:w="80" w:type="dxa"/>
            </w:tcMar>
          </w:tcPr>
          <w:p>
            <w:pPr>
              <w:spacing w:after="0" w:line="252" w:lineRule="auto"/>
              <w:jc w:val="center"/>
            </w:pPr>
            <w:r>
              <w:rPr>
                <w:b w:val="0"/>
                <w:sz w:val="19"/>
              </w:rPr>
              <w:t>Coverage and input definitions</w:t>
            </w:r>
          </w:p>
        </w:tc>
        <w:tc>
          <w:tcPr>
            <w:tcW w:type="dxa" w:w="1584"/>
            <w:vAlign w:val="center"/>
            <w:tcMar>
              <w:top w:w="80" w:type="dxa"/>
              <w:bottom w:w="80" w:type="dxa"/>
              <w:left w:w="80" w:type="dxa"/>
              <w:right w:w="80" w:type="dxa"/>
            </w:tcMar>
          </w:tcPr>
          <w:p>
            <w:pPr>
              <w:spacing w:after="0" w:line="252" w:lineRule="auto"/>
              <w:jc w:val="center"/>
            </w:pPr>
            <w:r>
              <w:rPr>
                <w:b w:val="0"/>
                <w:sz w:val="19"/>
              </w:rPr>
              <w:t>M2, M4-M8</w:t>
            </w:r>
          </w:p>
        </w:tc>
      </w:tr>
      <w:tr>
        <w:trPr>
          <w:cantSplit/>
        </w:trPr>
        <w:tc>
          <w:tcPr>
            <w:tcW w:type="dxa" w:w="1800"/>
            <w:vAlign w:val="center"/>
            <w:tcMar>
              <w:top w:w="80" w:type="dxa"/>
              <w:bottom w:w="80" w:type="dxa"/>
              <w:left w:w="80" w:type="dxa"/>
              <w:right w:w="80" w:type="dxa"/>
            </w:tcMar>
          </w:tcPr>
          <w:p>
            <w:pPr>
              <w:spacing w:after="0" w:line="252" w:lineRule="auto"/>
              <w:jc w:val="left"/>
            </w:pPr>
            <w:r>
              <w:rPr>
                <w:b w:val="0"/>
                <w:sz w:val="19"/>
              </w:rPr>
              <w:t>Tables S3-S4</w:t>
            </w:r>
          </w:p>
        </w:tc>
        <w:tc>
          <w:tcPr>
            <w:tcW w:type="dxa" w:w="5328"/>
            <w:vAlign w:val="center"/>
            <w:tcMar>
              <w:top w:w="80" w:type="dxa"/>
              <w:bottom w:w="80" w:type="dxa"/>
              <w:left w:w="80" w:type="dxa"/>
              <w:right w:w="80" w:type="dxa"/>
            </w:tcMar>
          </w:tcPr>
          <w:p>
            <w:pPr>
              <w:spacing w:after="0" w:line="252" w:lineRule="auto"/>
              <w:jc w:val="center"/>
            </w:pPr>
            <w:r>
              <w:rPr>
                <w:b w:val="0"/>
                <w:sz w:val="19"/>
              </w:rPr>
              <w:t>Threshold errors and boundary sensitivity</w:t>
            </w:r>
          </w:p>
        </w:tc>
        <w:tc>
          <w:tcPr>
            <w:tcW w:type="dxa" w:w="1584"/>
            <w:vAlign w:val="center"/>
            <w:tcMar>
              <w:top w:w="80" w:type="dxa"/>
              <w:bottom w:w="80" w:type="dxa"/>
              <w:left w:w="80" w:type="dxa"/>
              <w:right w:w="80" w:type="dxa"/>
            </w:tcMar>
          </w:tcPr>
          <w:p>
            <w:pPr>
              <w:spacing w:after="0" w:line="252" w:lineRule="auto"/>
              <w:jc w:val="center"/>
            </w:pPr>
            <w:r>
              <w:rPr>
                <w:b w:val="0"/>
                <w:sz w:val="19"/>
              </w:rPr>
              <w:t>R4-R5</w:t>
            </w:r>
          </w:p>
        </w:tc>
      </w:tr>
      <w:tr>
        <w:trPr>
          <w:cantSplit/>
        </w:trPr>
        <w:tc>
          <w:tcPr>
            <w:tcW w:type="dxa" w:w="1800"/>
            <w:vAlign w:val="center"/>
            <w:tcMar>
              <w:top w:w="80" w:type="dxa"/>
              <w:bottom w:w="80" w:type="dxa"/>
              <w:left w:w="80" w:type="dxa"/>
              <w:right w:w="80" w:type="dxa"/>
            </w:tcMar>
          </w:tcPr>
          <w:p>
            <w:pPr>
              <w:spacing w:after="0" w:line="252" w:lineRule="auto"/>
              <w:jc w:val="left"/>
            </w:pPr>
            <w:r>
              <w:rPr>
                <w:b w:val="0"/>
                <w:sz w:val="19"/>
              </w:rPr>
              <w:t>Tables S5A-S5B</w:t>
            </w:r>
          </w:p>
        </w:tc>
        <w:tc>
          <w:tcPr>
            <w:tcW w:type="dxa" w:w="5328"/>
            <w:vAlign w:val="center"/>
            <w:tcMar>
              <w:top w:w="80" w:type="dxa"/>
              <w:bottom w:w="80" w:type="dxa"/>
              <w:left w:w="80" w:type="dxa"/>
              <w:right w:w="80" w:type="dxa"/>
            </w:tcMar>
          </w:tcPr>
          <w:p>
            <w:pPr>
              <w:spacing w:after="0" w:line="252" w:lineRule="auto"/>
              <w:jc w:val="center"/>
            </w:pPr>
            <w:r>
              <w:rPr>
                <w:b w:val="0"/>
                <w:sz w:val="19"/>
              </w:rPr>
              <w:t>Repeated-CV distributions</w:t>
            </w:r>
          </w:p>
        </w:tc>
        <w:tc>
          <w:tcPr>
            <w:tcW w:type="dxa" w:w="1584"/>
            <w:vAlign w:val="center"/>
            <w:tcMar>
              <w:top w:w="80" w:type="dxa"/>
              <w:bottom w:w="80" w:type="dxa"/>
              <w:left w:w="80" w:type="dxa"/>
              <w:right w:w="80" w:type="dxa"/>
            </w:tcMar>
          </w:tcPr>
          <w:p>
            <w:pPr>
              <w:spacing w:after="0" w:line="252" w:lineRule="auto"/>
              <w:jc w:val="center"/>
            </w:pPr>
            <w:r>
              <w:rPr>
                <w:b w:val="0"/>
                <w:sz w:val="19"/>
              </w:rPr>
              <w:t>R5</w:t>
            </w:r>
          </w:p>
        </w:tc>
      </w:tr>
      <w:tr>
        <w:trPr>
          <w:cantSplit/>
        </w:trPr>
        <w:tc>
          <w:tcPr>
            <w:tcW w:type="dxa" w:w="1800"/>
            <w:vAlign w:val="center"/>
            <w:tcMar>
              <w:top w:w="80" w:type="dxa"/>
              <w:bottom w:w="80" w:type="dxa"/>
              <w:left w:w="80" w:type="dxa"/>
              <w:right w:w="80" w:type="dxa"/>
            </w:tcMar>
          </w:tcPr>
          <w:p>
            <w:pPr>
              <w:spacing w:after="0" w:line="252" w:lineRule="auto"/>
              <w:jc w:val="left"/>
            </w:pPr>
            <w:r>
              <w:rPr>
                <w:b w:val="0"/>
                <w:sz w:val="19"/>
              </w:rPr>
              <w:t>Tables S6-S7</w:t>
            </w:r>
          </w:p>
        </w:tc>
        <w:tc>
          <w:tcPr>
            <w:tcW w:type="dxa" w:w="5328"/>
            <w:vAlign w:val="center"/>
            <w:tcMar>
              <w:top w:w="80" w:type="dxa"/>
              <w:bottom w:w="80" w:type="dxa"/>
              <w:left w:w="80" w:type="dxa"/>
              <w:right w:w="80" w:type="dxa"/>
            </w:tcMar>
          </w:tcPr>
          <w:p>
            <w:pPr>
              <w:spacing w:after="0" w:line="252" w:lineRule="auto"/>
              <w:jc w:val="center"/>
            </w:pPr>
            <w:r>
              <w:rPr>
                <w:b w:val="0"/>
                <w:sz w:val="19"/>
              </w:rPr>
              <w:t>One-scan analysis and paired differences</w:t>
            </w:r>
          </w:p>
        </w:tc>
        <w:tc>
          <w:tcPr>
            <w:tcW w:type="dxa" w:w="1584"/>
            <w:vAlign w:val="center"/>
            <w:tcMar>
              <w:top w:w="80" w:type="dxa"/>
              <w:bottom w:w="80" w:type="dxa"/>
              <w:left w:w="80" w:type="dxa"/>
              <w:right w:w="80" w:type="dxa"/>
            </w:tcMar>
          </w:tcPr>
          <w:p>
            <w:pPr>
              <w:spacing w:after="0" w:line="252" w:lineRule="auto"/>
              <w:jc w:val="center"/>
            </w:pPr>
            <w:r>
              <w:rPr>
                <w:b w:val="0"/>
                <w:sz w:val="19"/>
              </w:rPr>
              <w:t>R6</w:t>
            </w:r>
          </w:p>
        </w:tc>
      </w:tr>
      <w:tr>
        <w:trPr>
          <w:cantSplit/>
        </w:trPr>
        <w:tc>
          <w:tcPr>
            <w:tcW w:type="dxa" w:w="1800"/>
            <w:vAlign w:val="center"/>
            <w:tcMar>
              <w:top w:w="80" w:type="dxa"/>
              <w:bottom w:w="80" w:type="dxa"/>
              <w:left w:w="80" w:type="dxa"/>
              <w:right w:w="80" w:type="dxa"/>
            </w:tcMar>
          </w:tcPr>
          <w:p>
            <w:pPr>
              <w:spacing w:after="0" w:line="252" w:lineRule="auto"/>
              <w:jc w:val="left"/>
            </w:pPr>
            <w:r>
              <w:rPr>
                <w:b w:val="0"/>
                <w:sz w:val="19"/>
              </w:rPr>
              <w:t>Figures S1-S2</w:t>
            </w:r>
          </w:p>
        </w:tc>
        <w:tc>
          <w:tcPr>
            <w:tcW w:type="dxa" w:w="5328"/>
            <w:vAlign w:val="center"/>
            <w:tcMar>
              <w:top w:w="80" w:type="dxa"/>
              <w:bottom w:w="80" w:type="dxa"/>
              <w:left w:w="80" w:type="dxa"/>
              <w:right w:w="80" w:type="dxa"/>
            </w:tcMar>
          </w:tcPr>
          <w:p>
            <w:pPr>
              <w:spacing w:after="0" w:line="252" w:lineRule="auto"/>
              <w:jc w:val="center"/>
            </w:pPr>
            <w:r>
              <w:rPr>
                <w:b w:val="0"/>
                <w:sz w:val="19"/>
              </w:rPr>
              <w:t>Boundary and one-scan analyses</w:t>
            </w:r>
          </w:p>
        </w:tc>
        <w:tc>
          <w:tcPr>
            <w:tcW w:type="dxa" w:w="1584"/>
            <w:vAlign w:val="center"/>
            <w:tcMar>
              <w:top w:w="80" w:type="dxa"/>
              <w:bottom w:w="80" w:type="dxa"/>
              <w:left w:w="80" w:type="dxa"/>
              <w:right w:w="80" w:type="dxa"/>
            </w:tcMar>
          </w:tcPr>
          <w:p>
            <w:pPr>
              <w:spacing w:after="0" w:line="252" w:lineRule="auto"/>
              <w:jc w:val="center"/>
            </w:pPr>
            <w:r>
              <w:rPr>
                <w:b w:val="0"/>
                <w:sz w:val="19"/>
              </w:rPr>
              <w:t>R5-R6</w:t>
            </w:r>
          </w:p>
        </w:tc>
      </w:tr>
    </w:tbl>
    <w:p>
      <w:pPr>
        <w:pStyle w:val="Heading2"/>
      </w:pPr>
      <w:r>
        <w:t>收到写作要求模板后的执行顺序</w:t>
      </w:r>
    </w:p>
    <w:p>
      <w:r>
        <w:t>第一步，逐条读取模板，建立“要求 → 适用段落/图表 → 完成状态”的核对清单，调整大纲、篇幅与参考文献格式。涉及作者、单位、资助或声明等事实，使用作者实际提供的信息，不填造内容。</w:t>
      </w:r>
    </w:p>
    <w:p>
      <w:r>
        <w:t>第二步，按M1-M12、R1-R6、I1-I4、D1-D8与C1、A1-A4的顺序逐段写作；最终Word仍按Title、Abstract、Introduction、Methods、Results、Discussion、Conclusion、Declarations、References及图表的论文顺序排列。每段英文后接对应中文。</w:t>
      </w:r>
    </w:p>
    <w:p>
      <w:r>
        <w:t>第三步，每完成一个阶段核对源数值、引文是否支持陈述、英文与中文是否一致，并总结完成内容、问题及下一步。未完成的事实留在作者核对清单，不以虚构信息补齐。</w:t>
      </w:r>
    </w:p>
    <w:p>
      <w:r>
        <w:t>第四步，整篇完成后核对模板、报告规范及图表引用，统一语言和数值，再生成可编辑Word；按需要另导出英文投稿版。当前仅完成写作准备，下一阶段等待作者模板及具体要求。</w:t>
      </w:r>
    </w:p>
    <w:p>
      <w:r>
        <w:br w:type="page"/>
      </w:r>
    </w:p>
    <w:p>
      <w:pPr>
        <w:pStyle w:val="Heading1"/>
      </w:pPr>
      <w:r>
        <w:t>14  检索记录与文献来源</w:t>
      </w:r>
    </w:p>
    <w:p>
      <w:r>
        <w:t>检索与核对日期：2026年10月29日。以公开网页检索定位出版社、PubMed/PMC及规范原文，使用Europe PMC全文XML读取L1-L4，并计算结构与词数；L5读取出版社全文，L6读取数据描述全文，G1读取全文，G2核对官方完整清单。此为针对性写作准备，不是系统综述，未作穷尽检索或文献质量评分。</w:t>
      </w:r>
    </w:p>
    <w:p>
      <w:r>
        <w:t>代表性检索概念：glioblastoma/pseudoprogression、radiomics/clinical combined model、added value、multiparametric MRI validation、UCSD-PTGBM、TRIPOD+AI与CLAIM 2024。选择理由为研究任务相近、全文可读，并同时覆盖融合获益、无获益及简洁模型验证。</w:t>
      </w:r>
    </w:p>
    <w:p>
      <w:pPr>
        <w:spacing w:after="40"/>
      </w:pPr>
      <w:r>
        <w:t>[L1] McKenney AS, Weg E, Bale TA, et al. Radiomic Analysis to Predict Histopathologically Confirmed Pseudoprogression in Glioblastoma Patients. Advances in Radiation Oncology. 2023;8:100916. Online publication: 2022.</w:t>
      </w:r>
    </w:p>
    <w:p>
      <w:pPr>
        <w:spacing w:after="140"/>
      </w:pPr>
      <w:r>
        <w:rPr>
          <w:sz w:val="19"/>
        </w:rPr>
        <w:t>https://doi.org/10.1016/j.adro.2022.100916</w:t>
      </w:r>
    </w:p>
    <w:p>
      <w:pPr>
        <w:spacing w:after="40"/>
      </w:pPr>
      <w:r>
        <w:t>[L2] Leone R, Meredig H, Foltyn-Dumitru M, et al. Assessing the added value of apparent diffusion coefficient, cerebral blood volume, and radiomic magnetic resonance features for differentiation of pseudoprogression versus true tumor progression in patients with glioblastoma. Neuro-Oncology Advances. 2023;5:vdad016.</w:t>
      </w:r>
    </w:p>
    <w:p>
      <w:pPr>
        <w:spacing w:after="140"/>
      </w:pPr>
      <w:r>
        <w:rPr>
          <w:sz w:val="19"/>
        </w:rPr>
        <w:t>https://doi.org/10.1093/noajnl/vdad016</w:t>
      </w:r>
    </w:p>
    <w:p>
      <w:pPr>
        <w:spacing w:after="40"/>
      </w:pPr>
      <w:r>
        <w:t>[L3] Sun YZ, Yan LF, Han Y, et al. Differentiation of Pseudoprogression from True Progression in Glioblastoma Patients after Standard Treatment: A Machine Learning Strategy Combined with Radiomics Features from T1-weighted Contrast-enhanced Imaging. BMC Medical Imaging. 2021;21:17.</w:t>
      </w:r>
    </w:p>
    <w:p>
      <w:pPr>
        <w:spacing w:after="140"/>
      </w:pPr>
      <w:r>
        <w:rPr>
          <w:sz w:val="19"/>
        </w:rPr>
        <w:t>https://doi.org/10.1186/s12880-020-00545-5</w:t>
      </w:r>
    </w:p>
    <w:p>
      <w:pPr>
        <w:spacing w:after="40"/>
      </w:pPr>
      <w:r>
        <w:t>[L4] de Godoy LL, Mohan S, Wang S, et al. Validation of multiparametric MRI based prediction model in identification of pseudoprogression in glioblastomas. Journal of Translational Medicine. 2023;21:287.</w:t>
      </w:r>
    </w:p>
    <w:p>
      <w:pPr>
        <w:spacing w:after="140"/>
      </w:pPr>
      <w:r>
        <w:rPr>
          <w:sz w:val="19"/>
        </w:rPr>
        <w:t>https://doi.org/10.1186/s12967-023-03941-x</w:t>
      </w:r>
    </w:p>
    <w:p>
      <w:pPr>
        <w:spacing w:after="40"/>
      </w:pPr>
      <w:r>
        <w:t>[L5] Zhou J, et al. Radiomics and clinical data predict pseudoprogression after radiotherapy in high-grade glioma. Frontiers in Oncology. 2026;16:1892760.</w:t>
      </w:r>
    </w:p>
    <w:p>
      <w:pPr>
        <w:spacing w:after="140"/>
      </w:pPr>
      <w:r>
        <w:rPr>
          <w:sz w:val="19"/>
        </w:rPr>
        <w:t>https://doi.org/10.3389/fonc.2026.1892760</w:t>
      </w:r>
    </w:p>
    <w:p>
      <w:pPr>
        <w:spacing w:after="40"/>
      </w:pPr>
      <w:r>
        <w:t>[L6] Gagnon L, Gupta D, Nguyen U, et al. The University of California San Diego Post-Treatment Glioblastoma (UCSD-PTGBM) annotated multimodal MRI Dataset. Scientific Data. Published 6 January 2026.</w:t>
      </w:r>
    </w:p>
    <w:p>
      <w:pPr>
        <w:spacing w:after="140"/>
      </w:pPr>
      <w:r>
        <w:rPr>
          <w:sz w:val="19"/>
        </w:rPr>
        <w:t>https://doi.org/10.1038/s41597-025-06499-z</w:t>
      </w:r>
    </w:p>
    <w:p>
      <w:pPr>
        <w:spacing w:after="40"/>
      </w:pPr>
      <w:r>
        <w:t>[G1] Collins GS, Moons KGM, Dhiman P, et al. TRIPOD+AI statement: updated guidance for reporting clinical prediction models that use regression or machine learning methods. BMJ. 2024;385:e078378.</w:t>
      </w:r>
    </w:p>
    <w:p>
      <w:pPr>
        <w:spacing w:after="140"/>
      </w:pPr>
      <w:r>
        <w:rPr>
          <w:sz w:val="19"/>
        </w:rPr>
        <w:t>https://doi.org/10.1136/bmj-2023-078378</w:t>
      </w:r>
    </w:p>
    <w:p>
      <w:pPr>
        <w:spacing w:after="40"/>
      </w:pPr>
      <w:r>
        <w:t>[G2] Tejani AS, Klontzas ME, Gatti AA, et al. Checklist for Artificial Intelligence in Medical Imaging (CLAIM): 2024 Update. Radiology: Artificial Intelligence. 2024;6:e240300.</w:t>
      </w:r>
    </w:p>
    <w:p>
      <w:pPr>
        <w:spacing w:after="140"/>
      </w:pPr>
      <w:r>
        <w:rPr>
          <w:sz w:val="19"/>
        </w:rPr>
        <w:t>https://doi.org/10.1148/ryai.240300</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Nimbus Roman" w:hAnsi="Nimbus Roman" w:eastAsia="Noto Serif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Nimbus Roman" w:hAnsi="Nimbus Roman" w:eastAsia="Noto Serif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imbus Roman" w:hAnsi="Nimbus Roman" w:eastAsia="Noto Serif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Nimbus Roman" w:hAnsi="Nimbus Roman" w:eastAsia="Noto Serif CJK S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imbus Roman" w:hAnsi="Nimbus Roman" w:eastAsia="Noto Serif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UCSD public-data study: literature learning and writing outline</dc:title>
  <dc:subject>Literature structure analysis and paragraph-level bilingual manuscript plan</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