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Clinical-MRI Feature Fusion for Distinguishing Residual or Recurrent Tumor from Treatment-Related Changes after Glioma Treatment: A Public-Data Internal Validation Study</w:t>
      </w:r>
    </w:p>
    <w:p>
      <w:pPr>
        <w:pStyle w:val="Heading1"/>
      </w:pPr>
      <w:r>
        <w:t>Abstract</w:t>
      </w:r>
    </w:p>
    <w:p>
      <w:pPr>
        <w:keepNext w:val="0"/>
      </w:pPr>
      <w:r>
        <w:rPr>
          <w:b/>
        </w:rPr>
        <w:t xml:space="preserve">Background: </w:t>
      </w:r>
      <w:r>
        <w:t>Distinguishing residual or recurrent tumor from treatment-related change after high-grade glioma treatment remains difficult. We evaluated whether fixed magnetic resonance imaging (MRI) descriptors provide incremental discrimination beyond available clinical inputs in public data.</w:t>
      </w:r>
    </w:p>
    <w:p>
      <w:pPr>
        <w:keepNext w:val="0"/>
      </w:pPr>
      <w:r>
        <w:rPr>
          <w:b/>
        </w:rPr>
        <w:t xml:space="preserve">Methods: </w:t>
      </w:r>
      <w:r>
        <w:t>This secondary analysis of the public UCSD-PTGBM collection included 182 examinations from 135 patients. Four fixed L2-penalized logistic models used age and sex, five clinical inputs, eight MRI descriptors, or their fusion. MRI features summarized fluid-attenuated inversion recovery (FLAIR) and postcontrast T1 intensity and texture within supplied annotation regions. Five-fold patient-grouped validation generated out-of-fold predictions. The primary comparison was the Fusion-minus-expanded-clinical area under the receiver operating characteristic curve (AUC) difference. 2000 patient-cluster bootstrap attempts provided intervals conditional on fixed predictions; boundary, repeated-split and single-scan analyses assessed sensitivity.</w:t>
      </w:r>
    </w:p>
    <w:p>
      <w:pPr>
        <w:keepNext w:val="0"/>
      </w:pPr>
      <w:r>
        <w:rPr>
          <w:b/>
        </w:rPr>
        <w:t xml:space="preserve">Results: </w:t>
      </w:r>
      <w:r>
        <w:t>Fusion achieved an AUC of 0.782 versus 0.672 for the expanded clinical model and 0.762 for MRI alone. The paired increment was 0.110 (95% percentile interval, 0.021 to 0.214) and remained positive across 20 repeated partitions. In the single-scan analysis, Fusion AUC was 0.730 and its increment was uncertain (0.120; interval, -0.015 to 0.252). At the fixed 0.5 threshold, primary Fusion recognized 130/141 tumor examinations but only 12/41 treatment-change examinations. Its descriptive calibration slope was 0.667; probability-error difference intervals included zero.</w:t>
      </w:r>
    </w:p>
    <w:p>
      <w:pPr>
        <w:keepNext w:val="0"/>
      </w:pPr>
      <w:r>
        <w:rPr>
          <w:b/>
        </w:rPr>
        <w:t xml:space="preserve">Conclusions: </w:t>
      </w:r>
      <w:r>
        <w:t>Clinical-MRI fusion showed an internal incremental signal, with uncertain single-scan benefit and limited treatment-change recognition. Independent evaluation is needed before inferring clinical usefulness. The model has not undergone external validation or clinical utility evaluation.</w:t>
      </w:r>
    </w:p>
    <w:p>
      <w:r>
        <w:rPr>
          <w:b/>
        </w:rPr>
        <w:t xml:space="preserve">Keywords: </w:t>
      </w:r>
      <w:r>
        <w:t>high-grade glioma; treatment-related change; magnetic resonance imaging; feature fusion; logistic regression; internal validation</w:t>
      </w:r>
    </w:p>
    <w:p>
      <w:pPr>
        <w:pStyle w:val="Heading1"/>
        <w:pageBreakBefore/>
      </w:pPr>
      <w:r>
        <w:t>1 Introduction</w:t>
      </w:r>
    </w:p>
    <w:p>
      <w:pPr>
        <w:keepNext w:val="0"/>
      </w:pPr>
      <w:r>
        <w:t>Treatment follow-up in high-grade glioma requires clinicians to interpret magnetic resonance imaging (MRI) abnormalities in the context of previous therapy. For glioblastoma, contemporary management combines surgery, radiotherapy and systemic treatment, while subsequent imaging contributes to assessment of disease status and further management (1). New or increasing contrast enhancement after treatment may indicate tumor activity, but can also reflect treatment effects. An apparent increase in lesion burden therefore does not, by itself, resolve the underlying diagnosis. Response Assessment in Neuro-Oncology (RANO) 2.0 addresses this problem through standardized response assessment and, in relevant early post-radiotherapy settings, confirmation of progression by repeat imaging or unequivocal histopathological evidence (2). Such requirements emphasize the importance of temporal and clinical context when interpreting a suspicious examination. They also motivate methods that can summarize information already present in the scan and assess whether it adds to available clinical information. The immediate research question is whether that combination improves discrimination of the status assigned to an examination, providing evidence for subsequent evaluation rather than replacing the broader diagnostic process.</w:t>
      </w:r>
    </w:p>
    <w:p>
      <w:pPr>
        <w:keepNext w:val="0"/>
      </w:pPr>
      <w:r>
        <w:t>The difficulty is partly one of outcome definition. Pseudoprogression commonly refers to an apparent radiological worsening related to treatment that subsequently stabilizes or regresses without a new antitumor treatment. Radiation necrosis represents a different form of treatment injury, often discussed as a later complication; these terms should not be treated as interchangeable with every nonspecific post-treatment abnormality (1,3). RANO 2.0 implementation guidance further distinguishes enhancing, nonenhancing and mixed imaging presentations and the circumstances requiring confirmation scans (4). These distinctions matter when comparing diagnostic studies, because a model trained to identify pseudoprogression may address a narrower target than a model separating tumor from a broad treatment-change category. Reference diagnoses also vary: pathological assessment, clinical evolution and serial imaging provide different forms of evidence, and even pathological differentiation can remain difficult (1). The public UCSD-PTGBM collection includes residual or recurrent tumor and several treatment-related-change categories with mixed diagnostic support (5). It therefore permits investigation of a broad examination-level distinction, while retaining uncertainty about individual source diagnoses and the interpretation of treatment-change subtypes.</w:t>
      </w:r>
    </w:p>
    <w:p>
      <w:pPr>
        <w:keepNext w:val="0"/>
      </w:pPr>
      <w:r>
        <w:t>Quantitative image analysis offers a way to describe these examinations through explicit computations. Intensity statistics summarize the distribution of values within a region, whereas texture descriptors characterize aspects of gray-level organization that are not captured by a mean alone. Radiomics research has explored such information for differentiating progression and treatment effects in glioma, although the interpretation depends on the images, segmentation and feature definitions used (3). The Image Biomarker Standardization Initiative provides common definitions that help make feature calculations comparable (6). Standard definitions do not remove acquisition and preprocessing differences. In a separate task involving molecular glioma subtype classification, Foltyn-Dumitru and colleagues showed that intensity normalization affected external generalization, illustrating the importance of examining the processing pipeline rather than assuming portability from internal performance (7). That result does not establish the best transformation for post-treatment diagnosis. For the present question, a small, fixed set of fluid-attenuated inversion recovery (FLAIR) and postcontrast T1 descriptors provides a tractable computational representation. Its value lies in testing additional information under defined conditions; the descriptors are not direct measurements of viable tumor, microscopic tissue composition or a specific treatment-injury mechanism.</w:t>
      </w:r>
    </w:p>
    <w:p>
      <w:pPr>
        <w:keepNext w:val="0"/>
      </w:pPr>
      <w:r>
        <w:t>Clinical and imaging information may contribute different, partly overlapping signals. Age, treatment history and the interval from an initial clinical event describe the examination context, while MRI descriptors summarize the supplied image region. Combining them at the feature level can test whether imaging improves on an explicit clinical comparator. Existing studies support investigating this possibility without guaranteeing an increment. Zhou and colleagues reported favorable results from a model combining radiomics with clinical, molecular and advanced MRI information (8). McKenney and colleagues also reported better classification accuracy for a model combining imaging information with O6-methylguanine-DNA methyltransferase (MGMT) promoter methylation status in a selected cohort with histopathological confirmation (9). Conversely, Leone and colleagues did not demonstrate a reliable improvement from adding diffusion, perfusion and radiomic information to their reference clinical model (10). The new-cohort evaluation by de Godoy and colleagues further illustrates why outcome grouping and reference definitions must be examined when interpreting model performance (11). These studies differ in patient selection, available sequences and diagnostic targets, so their areas under the receiver operating characteristic curve (AUCs) cannot serve as a ranking of interchangeable methods. For a public-data analysis with a restricted input panel, the relevant question is the paired gain over its own clinical baseline.</w:t>
      </w:r>
    </w:p>
    <w:p>
      <w:pPr>
        <w:keepNext w:val="0"/>
      </w:pPr>
      <w:r>
        <w:t>A useful contribution in this setting is a transparent assessment of incremental information and its dependence on analytical choices. CLEAR emphasizes reporting acquisition, segmentation, feature extraction and model evaluation in enough detail for appraisal and reproduction (12). PROBAST+AI separately draws attention to data sources, predictors, outcomes and analysis when judging model quality, bias and applicability (13). These concerns apply to penalized regression as well as more complex learning algorithms. Evaluation guidance distinguishes performance estimated within the development data source from evaluation in independent data (14). Where patients contribute repeated examinations, this distinction also requires attention to dependence between observations: separating scans alone does not ensure that patients are separated between training and testing. Experiments with duplicated scans in connectome-based prediction demonstrate one way that leakage can inflate performance, although that task and duplication mechanism differ from longitudinal glioma imaging (15). A focused analysis should therefore compare models on the same examinations and patient-grouped folds, retain unfavorable sensitivity results, and report the scope of uncertainty. Transparent reporting, as encouraged by TRIPOD+AI, allows readers to judge what such internal evidence can support (16).</w:t>
      </w:r>
    </w:p>
    <w:p>
      <w:pPr>
        <w:keepNext w:val="0"/>
      </w:pPr>
      <w:r>
        <w:t>We therefore evaluated whether eight fixed MRI descriptors add discriminatory information to clinical inputs in a secondary analysis of public UCSD-PTGBM data (5). The target was residual or recurrent tumor versus broad treatment-related change at the examination level. We compared an age-and-sex model, an expanded clinical model, an MRI-only model and their feature-level fusion using the same available imaging cohort and patient-grouped validation. The primary comparison was the paired AUC difference between Fusion and the expanded clinical model. Probability error, calibration and class-specific classification were evaluated alongside discrimination. Boundary erosion, repeated grouped partitions and selection of one available examination per patient examined distinct aspects of sensitivity. By preserving the fixed feature panel and documenting processing and evaluation, the study aimed to characterize MRI's incremental contribution and its sensitivity to these analytical choices as a basis for independent assessment.</w:t>
      </w:r>
    </w:p>
    <w:p>
      <w:pPr>
        <w:pStyle w:val="Heading1"/>
      </w:pPr>
      <w:r>
        <w:t>2 Materials and methods</w:t>
      </w:r>
    </w:p>
    <w:p>
      <w:pPr>
        <w:pStyle w:val="Heading2"/>
      </w:pPr>
      <w:r>
        <w:t>2.1 Study design and data sources</w:t>
      </w:r>
    </w:p>
    <w:p>
      <w:pPr>
        <w:keepNext w:val="0"/>
      </w:pPr>
      <w:r>
        <w:t>We performed a retrospective secondary analysis to evaluate whether quantitative magnetic resonance imaging (MRI) features added discriminatory information to clinical variables for distinguishing residual or recurrent tumor from treatment-related change on post-treatment glioma examinations. The target was the diagnostic status assigned to each MRI examination. Clinical, MRI, and combined models were evaluated in a common cohort using cross-validation with patients kept separate between training and validation folds. The examination was the unit of prediction, and all examinations used for modeling from a given patient were assigned to the same fold. The analysis used publicly available, de-identified records and images, without participant recruitment, patient contact, additional imaging, or specimen collection. The dataset authors reported institutional review board approval and a waiver of informed consent for the original data collection (5). Reporting was organized with reference to TRIPOD+AI guidance for prediction models and the Checklist for Artificial Intelligence in Medical Imaging (CLAIM) (16,17).</w:t>
      </w:r>
    </w:p>
    <w:p>
      <w:pPr>
        <w:keepNext w:val="0"/>
      </w:pPr>
      <w:r>
        <w:t>The source collection was the University of California San Diego Post-Treatment Glioblastoma (UCSD-PTGBM) dataset, distributed through The Cancer Imaging Archive under a Creative Commons Attribution 4.0 license (5). We used the public version 3 clinical workbook and the accompanying list of examinations with treatment-related changes. Imaging inputs were obtained from the publicly accessible data-nih/tcia release mirror on GitHub and comprised derived fluid-attenuated inversion recovery (FLAIR) volumes, postcontrast T1-weighted volumes, and existing BraTS annotation masks in Neuroimaging Informatics Technology Initiative format. Source clinical identifiers, BraTS identifiers, mirror filenames, and the correspondence between them were retained in the linkage records. The mirror files were treated as a specific derived input release. Their observed intensity representation and header metadata determined the processing rules used in this analysis. Download addresses, file sizes, and SHA256 checksums were retained to identify the exact files used and support restoration of the analysis inputs.</w:t>
      </w:r>
    </w:p>
    <w:p>
      <w:pPr>
        <w:keepNext w:val="0"/>
      </w:pPr>
      <w:r>
        <w:t>The published source collection contained 243 examinations from 178 patients (5). An identifier audit identified discordant relationships between the clinical and BraTS patient identifiers in five examinations from two source patients. These examinations were quarantined before clinical-model revalidation, leaving 238 examinations from 176 patients in the clinical cohort. Of these, 182 examinations from 135 patients had corresponding FLAIR images, postcontrast T1-weighted images, and annotation masks in the mirror and yielded the complete eight-feature MRI matrix. The remaining 56 clinical examinations were retained in the coverage records but did not enter the imaging-model comparison because the required mirror inputs were unavailable. The final imaging cohort comprised 141 examinations labeled as residual or recurrent tumor and 41 labeled as treatment-related change. Cohort assembly is summarized in Figure 1, and clinical characteristics by imaging coverage are provided in Supplementary Table S1. All four primary models were evaluated on this same imaging cohort.</w:t>
      </w:r>
    </w:p>
    <w:p>
      <w:pPr>
        <w:pStyle w:val="Heading2"/>
      </w:pPr>
      <w:r>
        <w:t>2.2 Reference standard</w:t>
      </w:r>
    </w:p>
    <w:p>
      <w:pPr>
        <w:keepNext w:val="0"/>
      </w:pPr>
      <w:r>
        <w:t>The examination-level outcome was coded as 1 for residual or recurrent tumor and 0 for treatment-related change. We matched the 51 entries in the public negative-case workbook to the clinical records by examination identifier and assigned them to class 0. Class 1 comprised the remaining 192 examinations, using the published partition of the full 243-examination collection (5). These class assignments were retained after identifier quarantine and restriction to examinations with available MRI inputs. The source reference standard combined pathological evidence with clinical and imaging assessment; the dataset authors reported pathological confirmation for 45 of the 192 tumor examinations in the full collection (5). Treatment-related change encompassed pseudoprogression, radiation necrosis and nonspecific post-treatment changes. Subtype counts in the frozen workbook differed from the published summary, although the overall binary counts agreed. We therefore retained the original subtype entries for audit and modeled the broad binary outcome. We carried forward the source classifications without independent diagnostic adjudication. This outcome represented the status assigned to the examination and did not define subsequent recurrence or a future radiation-necrosis event.</w:t>
      </w:r>
    </w:p>
    <w:p>
      <w:pPr>
        <w:pStyle w:val="Heading2"/>
      </w:pPr>
      <w:r>
        <w:t>2.3 Clinical predictors and missing data</w:t>
      </w:r>
    </w:p>
    <w:p>
      <w:pPr>
        <w:keepNext w:val="0"/>
      </w:pPr>
      <w:r>
        <w:t>We used four clinical variables from the public clinical workbook: age, sex at birth, the interval from the initial clinical event to the examination, and other treatment before the scan (5). Age was entered as a continuous variable in years at the time of scanning. Sex was encoded as 1 for male and 0 for female. The other-treatment field was encoded as 1 for Yes and 0 for No, retaining its broad source definition without assigning a specific treatment modality or drug. An additional binary indicator identified a missing initial-event interval, with 1 denoting missing and 0 denoting observed. These encodings provided two inputs for the age-and-sex model and five clinical inputs for both the expanded clinical model and the fusion model. The same variable definitions were used throughout the comparisons. Follow-up, survival outcomes and diagnostic category fields were excluded from the clinical inputs. Clinical input definitions are summarized in Supplementary Table S2.</w:t>
      </w:r>
    </w:p>
    <w:p>
      <w:pPr>
        <w:keepNext w:val="0"/>
      </w:pPr>
      <w:r>
        <w:t>The source time field expressed the initial-event date as a signed day offset relative to MRI acquisition. We accepted only strictly negative numeric offsets, reversed their signs to obtain positive elapsed days, and applied the natural logarithm of one plus the interval. The reference event could be initial surgery, another initial treatment, or diagnosis in an untreated patient, so the resulting variable did not represent a uniform interval since radiotherapy or surgery. Nonnumeric entries, blank values and nonnegative offsets were treated as missing; a zero offset did not establish that the event preceded the examination. In the 182-examination imaging cohort, 36 intervals were missing under this rule. Within each training fold, missing transformed intervals were replaced with the median observed transformed interval, followed by standardization. Age was also standardized within the training fold. Learned medians and scaling parameters were applied unchanged to the corresponding validation fold. Binary inputs were passed through without scaling. Age, sex and the other-treatment indicator were complete in the imaging cohort.</w:t>
      </w:r>
    </w:p>
    <w:p>
      <w:pPr>
        <w:pStyle w:val="Heading2"/>
      </w:pPr>
      <w:r>
        <w:t>2.4 MRI inputs and annotation region</w:t>
      </w:r>
    </w:p>
    <w:p>
      <w:pPr>
        <w:keepNext w:val="0"/>
      </w:pPr>
      <w:r>
        <w:t>For each of the 182 included examinations, we used a FLAIR volume, a postcontrast T1-weighted volume and the accompanying standard BraTS mask, giving 546 compressed NIfTI files. File checks covered recorded byte counts and SHA256 digests, gzip integrity, three-dimensional array decoding, finite voxel values and valid header affines. Within each examination, the images and mask were required to have matching dimensions, spatial-unit fields and coded coordinate forms. Affine corner coordinates were compared using a tolerance of 0.000001 in the supplied coordinates. This established voxel-grid consistency for computation, without independently validating anatomical alignment. All files contained 256 by 256 by 256 arrays stored as unsigned 8-bit integers, and their spatial-unit fields were unknown. We analyzed the supplied derived voxel grids without additional registration or resampling and did not infer millimeter dimensions or physical volumes from their headers. Structural MRI intensities were treated as derived values. Quantitative diffusion measurements were not included.</w:t>
      </w:r>
    </w:p>
    <w:p>
      <w:pPr>
        <w:keepNext w:val="0"/>
      </w:pPr>
      <w:r>
        <w:t>The dataset authors describe standard BraTS annotations generated by automated segmentation, followed by radiologist correction and approval (5). Our analysis used the existing masks supplied with the mirror. For each examination, the region of interest (ROI) was the union of all strictly positive integer labels in its standard BraTS mask. The same rule was applied to both diagnostic classes and retained every connected component, without selecting the largest region, filling holes or expanding boundaries. Masks containing negative, noninteger or nonfinite values, empty unions and masks covering the entire array were ineligible. All 182 included examinations yielded valid nonempty unions. The ROI was treated as the source annotation region, without assigning tissue-specific interpretations to individual numeric codes. The separate cellular tumor reference masks were not used. We did not train a segmentation model or revise the supplied contours. Our union operation did not read the diagnostic label; blinding of the upstream annotation process to reference diagnostic information could not be verified.</w:t>
      </w:r>
    </w:p>
    <w:p>
      <w:pPr>
        <w:pStyle w:val="Heading2"/>
      </w:pPr>
      <w:r>
        <w:t>2.5 Intensity normalization and feature definitions</w:t>
      </w:r>
    </w:p>
    <w:p>
      <w:pPr>
        <w:keepNext w:val="0"/>
      </w:pPr>
      <w:r>
        <w:t>Before feature extraction, intensity processing was performed separately for each FLAIR and postcontrast T1-weighted image. We calculated the first and 99th percentiles from finite voxel values strictly greater than zero, using linear percentile interpolation. This support region was determined from the image rather than from the annotation mask. Equation 1 defines the scaled intensity u, with x denoting a supplied voxel value and the percentile symbols denoting the corresponding image-specific reference values. The transformation was applied to all ROI voxels, including voxels whose original intensity was zero. Values below zero or above one after scaling were retained. The unclipped transformation was adopted after a technical pilot showed that percentile clipping merged some higher ROI intensities; it was an engineering amendment made after observing processing diagnostics, without using classification performance to choose the method. Image-specific parameters were calculated without pooling information across patients or examinations. Degenerate percentile ranges were treated as processing failures.</w:t>
      </w:r>
    </w:p>
    <w:p>
      <w:pPr>
        <w:keepLines/>
        <w:spacing w:before="100" w:after="140"/>
        <w:jc w:val="center"/>
      </w:pPr>
      <m:oMath>
        <m:r>
          <w:rPr>
            <w:rFonts w:ascii="Cambria Math" w:hAnsi="Cambria Math"/>
            <w:sz w:val="24"/>
          </w:rPr>
          <m:t xml:space="preserve">u = </m:t>
        </m:r>
        <m:f>
          <m:num>
            <m:r>
              <w:rPr>
                <w:rFonts w:ascii="Cambria Math" w:hAnsi="Cambria Math"/>
                <w:sz w:val="24"/>
              </w:rPr>
              <m:t xml:space="preserve">x − </m:t>
            </m:r>
            <m:sSub>
              <m:e>
                <m:r>
                  <w:rPr>
                    <w:rFonts w:ascii="Cambria Math" w:hAnsi="Cambria Math"/>
                    <w:sz w:val="24"/>
                  </w:rPr>
                  <m:t xml:space="preserve">p</m:t>
                </m:r>
              </m:e>
              <m:sub>
                <m:r>
                  <w:rPr>
                    <w:rFonts w:ascii="Cambria Math" w:hAnsi="Cambria Math"/>
                    <w:sz w:val="24"/>
                  </w:rPr>
                  <m:t xml:space="preserve">1</m:t>
                </m:r>
              </m:sub>
            </m:sSub>
          </m:num>
          <m:den>
            <m:sSub>
              <m:e>
                <m:r>
                  <w:rPr>
                    <w:rFonts w:ascii="Cambria Math" w:hAnsi="Cambria Math"/>
                    <w:sz w:val="24"/>
                  </w:rPr>
                  <m:t xml:space="preserve">p</m:t>
                </m:r>
              </m:e>
              <m:sub>
                <m:r>
                  <w:rPr>
                    <w:rFonts w:ascii="Cambria Math" w:hAnsi="Cambria Math"/>
                    <w:sz w:val="24"/>
                  </w:rPr>
                  <m:t xml:space="preserve">99</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1</m:t>
                </m:r>
              </m:sub>
            </m:sSub>
          </m:den>
        </m:f>
      </m:oMath>
      <w:r>
        <w:t xml:space="preserve">    (1)</w:t>
      </w:r>
    </w:p>
    <w:p>
      <w:pPr>
        <w:keepNext w:val="0"/>
      </w:pPr>
      <w:r>
        <w:t>Four features were calculated from each sequence, yielding eight MRI inputs: mean, population standard deviation, Shannon entropy and three-dimensional gray-level co-occurrence matrix contrast. Mean and standard deviation used the scaled ROI intensities directly, with the voxel count N as the denominator in Equation 2. Entropy and texture calculations used fixed-bin-number discretization following the Image Biomarker Standardization Initiative (IBSI) framework (6). For each sequence and examination, a and b denoted the minimum and maximum scaled intensities within the full ROI. Equation 3 assigned these values to 32 bins; the minimum entered bin 1 and the maximum entered bin 32. In Equation 4, each bin probability is the fraction of ROI voxels assigned to that bin, and bins with zero probability do not contribute. Entropy was expressed in bits using base-2 logarithms. Constant ROI intensities were treated as processing failures. The feature set and bin count were fixed before batch extraction, without outcome-based feature selection.</w:t>
      </w:r>
    </w:p>
    <w:p>
      <w:pPr>
        <w:keepLines/>
        <w:spacing w:before="100" w:after="140"/>
        <w:jc w:val="center"/>
      </w:pPr>
      <m:oMath>
        <m:r>
          <w:rPr>
            <w:rFonts w:ascii="Cambria Math" w:hAnsi="Cambria Math"/>
            <w:sz w:val="24"/>
          </w:rPr>
          <m:t xml:space="preserve">μ = </m:t>
        </m:r>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b>
              <m:e>
                <m:r>
                  <w:rPr>
                    <w:rFonts w:ascii="Cambria Math" w:hAnsi="Cambria Math"/>
                    <w:sz w:val="24"/>
                  </w:rPr>
                  <m:t xml:space="preserve">u</m:t>
                </m:r>
              </m:e>
              <m:sub>
                <m:r>
                  <w:rPr>
                    <w:rFonts w:ascii="Cambria Math" w:hAnsi="Cambria Math"/>
                    <w:sz w:val="24"/>
                  </w:rPr>
                  <m:t xml:space="preserve">v</m:t>
                </m:r>
              </m:sub>
            </m:sSub>
          </m:e>
        </m:nary>
        <m:r>
          <w:rPr>
            <w:rFonts w:ascii="Cambria Math" w:hAnsi="Cambria Math"/>
            <w:sz w:val="24"/>
          </w:rPr>
          <m:t xml:space="preserve"> ,     σ = </m:t>
        </m:r>
        <m:rad>
          <m:radPr>
            <m:degHide m:val="1"/>
          </m:radPr>
          <m:deg/>
          <m:e>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p>
                  <m:e>
                    <m:d>
                      <m:dPr>
                        <m:begChr m:val="("/>
                        <m:endChr m:val=")"/>
                        <m:grow m:val="1"/>
                      </m:dPr>
                      <m:e>
                        <m:sSub>
                          <m:e>
                            <m:r>
                              <w:rPr>
                                <w:rFonts w:ascii="Cambria Math" w:hAnsi="Cambria Math"/>
                                <w:sz w:val="24"/>
                              </w:rPr>
                              <m:t xml:space="preserve">u</m:t>
                            </m:r>
                          </m:e>
                          <m:sub>
                            <m:r>
                              <w:rPr>
                                <w:rFonts w:ascii="Cambria Math" w:hAnsi="Cambria Math"/>
                                <w:sz w:val="24"/>
                              </w:rPr>
                              <m:t xml:space="preserve">v</m:t>
                            </m:r>
                          </m:sub>
                        </m:sSub>
                        <m:r>
                          <w:rPr>
                            <w:rFonts w:ascii="Cambria Math" w:hAnsi="Cambria Math"/>
                            <w:sz w:val="24"/>
                          </w:rPr>
                          <m:t xml:space="preserve"> − μ</m:t>
                        </m:r>
                      </m:e>
                    </m:d>
                  </m:e>
                  <m:sup>
                    <m:r>
                      <w:rPr>
                        <w:rFonts w:ascii="Cambria Math" w:hAnsi="Cambria Math"/>
                        <w:sz w:val="24"/>
                      </w:rPr>
                      <m:t xml:space="preserve">2</m:t>
                    </m:r>
                  </m:sup>
                </m:sSup>
              </m:e>
            </m:nary>
          </m:e>
        </m:rad>
      </m:oMath>
      <w:r>
        <w:t xml:space="preserve">    (2)</w:t>
      </w:r>
    </w:p>
    <w:p>
      <w:pPr>
        <w:keepLines/>
        <w:spacing w:before="100" w:after="140"/>
        <w:jc w:val="center"/>
      </w:pPr>
      <m:oMath>
        <m:r>
          <w:rPr>
            <w:rFonts w:ascii="Cambria Math" w:hAnsi="Cambria Math"/>
            <w:sz w:val="24"/>
          </w:rPr>
          <m:t xml:space="preserve">q</m:t>
        </m:r>
        <m:d>
          <m:dPr>
            <m:begChr m:val="("/>
            <m:endChr m:val=")"/>
            <m:grow m:val="1"/>
          </m:dPr>
          <m:e>
            <m:r>
              <w:rPr>
                <w:rFonts w:ascii="Cambria Math" w:hAnsi="Cambria Math"/>
                <w:sz w:val="24"/>
              </w:rPr>
              <m:t xml:space="preserve">u</m:t>
            </m:r>
          </m:e>
        </m:d>
        <m:r>
          <w:rPr>
            <w:rFonts w:ascii="Cambria Math" w:hAnsi="Cambria Math"/>
            <w:sz w:val="24"/>
          </w:rPr>
          <m:t xml:space="preserve"> = </m:t>
        </m:r>
        <m:func>
          <m:fName>
            <m:r>
              <m:rPr>
                <m:nor m:val="1"/>
              </m:rPr>
              <w:rPr>
                <w:rFonts w:ascii="Cambria Math" w:hAnsi="Cambria Math"/>
                <w:sz w:val="24"/>
              </w:rPr>
              <m:t xml:space="preserve">min</m:t>
            </m:r>
          </m:fName>
          <m:e>
            <m:d>
              <m:dPr>
                <m:begChr m:val="("/>
                <m:endChr m:val=")"/>
                <m:grow m:val="1"/>
              </m:dPr>
              <m:e>
                <m:r>
                  <w:rPr>
                    <w:rFonts w:ascii="Cambria Math" w:hAnsi="Cambria Math"/>
                    <w:sz w:val="24"/>
                  </w:rPr>
                  <m:t xml:space="preserve">32, 1 + </m:t>
                </m:r>
                <m:d>
                  <m:dPr>
                    <m:begChr m:val="⌊"/>
                    <m:endChr m:val="⌋"/>
                    <m:grow m:val="1"/>
                  </m:dPr>
                  <m:e>
                    <m:r>
                      <w:rPr>
                        <w:rFonts w:ascii="Cambria Math" w:hAnsi="Cambria Math"/>
                        <w:sz w:val="24"/>
                      </w:rPr>
                      <m:t xml:space="preserve">32</m:t>
                    </m:r>
                    <m:f>
                      <m:num>
                        <m:r>
                          <w:rPr>
                            <w:rFonts w:ascii="Cambria Math" w:hAnsi="Cambria Math"/>
                            <w:sz w:val="24"/>
                          </w:rPr>
                          <m:t xml:space="preserve">u − a</m:t>
                        </m:r>
                      </m:num>
                      <m:den>
                        <m:r>
                          <w:rPr>
                            <w:rFonts w:ascii="Cambria Math" w:hAnsi="Cambria Math"/>
                            <w:sz w:val="24"/>
                          </w:rPr>
                          <m:t xml:space="preserve">b − a</m:t>
                        </m:r>
                      </m:den>
                    </m:f>
                  </m:e>
                </m:d>
              </m:e>
            </m:d>
          </m:e>
        </m:func>
      </m:oMath>
      <w:r>
        <w:t xml:space="preserve">    (3)</w:t>
      </w:r>
    </w:p>
    <w:p>
      <w:pPr>
        <w:keepLines/>
        <w:spacing w:before="100" w:after="140"/>
        <w:jc w:val="center"/>
      </w:pPr>
      <m:oMath>
        <m:r>
          <w:rPr>
            <w:rFonts w:ascii="Cambria Math" w:hAnsi="Cambria Math"/>
            <w:sz w:val="24"/>
          </w:rPr>
          <m:t xml:space="preserve">H = −</m:t>
        </m:r>
        <m:nary>
          <m:naryPr>
            <m:chr m:val="∑"/>
            <m:limLoc m:val="undOvr"/>
            <m:grow m:val="1"/>
          </m:naryPr>
          <m:sub>
            <m:r>
              <w:rPr>
                <w:rFonts w:ascii="Cambria Math" w:hAnsi="Cambria Math"/>
                <w:sz w:val="24"/>
              </w:rPr>
              <m:t xml:space="preserve">k=1</m:t>
            </m:r>
          </m:sub>
          <m:sup>
            <m:r>
              <w:rPr>
                <w:rFonts w:ascii="Cambria Math" w:hAnsi="Cambria Math"/>
                <w:sz w:val="24"/>
              </w:rPr>
              <m:t xml:space="preserve">32</m:t>
            </m:r>
          </m:sup>
          <m:e>
            <m:sSub>
              <m:e>
                <m:r>
                  <w:rPr>
                    <w:rFonts w:ascii="Cambria Math" w:hAnsi="Cambria Math"/>
                    <w:sz w:val="24"/>
                  </w:rPr>
                  <m:t xml:space="preserve">p</m:t>
                </m:r>
              </m:e>
              <m:sub>
                <m:r>
                  <w:rPr>
                    <w:rFonts w:ascii="Cambria Math" w:hAnsi="Cambria Math"/>
                    <w:sz w:val="24"/>
                  </w:rPr>
                  <m:t xml:space="preserve">k</m:t>
                </m:r>
              </m:sub>
            </m:sSub>
            <m:r>
              <w:rPr>
                <w:rFonts w:ascii="Cambria Math" w:hAnsi="Cambria Math"/>
                <w:sz w:val="24"/>
              </w:rPr>
              <m:t xml:space="preserve"> </m:t>
            </m:r>
            <m:func>
              <m:fName>
                <m:sSub>
                  <m:e>
                    <m:r>
                      <m:rPr>
                        <m:nor m:val="1"/>
                      </m:rPr>
                      <w:rPr>
                        <w:rFonts w:ascii="Cambria Math" w:hAnsi="Cambria Math"/>
                        <w:sz w:val="24"/>
                      </w:rPr>
                      <m:t xml:space="preserve">log</m:t>
                    </m:r>
                  </m:e>
                  <m:sub>
                    <m:r>
                      <w:rPr>
                        <w:rFonts w:ascii="Cambria Math" w:hAnsi="Cambria Math"/>
                        <w:sz w:val="24"/>
                      </w:rPr>
                      <m:t xml:space="preserve">2</m:t>
                    </m:r>
                  </m:sub>
                </m:sSub>
              </m:fName>
              <m:e>
                <m:d>
                  <m:dPr>
                    <m:begChr m:val="("/>
                    <m:endChr m:val=")"/>
                    <m:grow m:val="1"/>
                  </m:dPr>
                  <m:e>
                    <m:sSub>
                      <m:e>
                        <m:r>
                          <w:rPr>
                            <w:rFonts w:ascii="Cambria Math" w:hAnsi="Cambria Math"/>
                            <w:sz w:val="24"/>
                          </w:rPr>
                          <m:t xml:space="preserve">p</m:t>
                        </m:r>
                      </m:e>
                      <m:sub>
                        <m:r>
                          <w:rPr>
                            <w:rFonts w:ascii="Cambria Math" w:hAnsi="Cambria Math"/>
                            <w:sz w:val="24"/>
                          </w:rPr>
                          <m:t xml:space="preserve">k</m:t>
                        </m:r>
                      </m:sub>
                    </m:sSub>
                  </m:e>
                </m:d>
              </m:e>
            </m:func>
          </m:e>
        </m:nary>
      </m:oMath>
      <w:r>
        <w:t xml:space="preserve">    (4)</w:t>
      </w:r>
    </w:p>
    <w:p>
      <w:pPr>
        <w:keepNext w:val="0"/>
      </w:pPr>
      <w:r>
        <w:t>The gray-level co-occurrence matrix (GLCM) was constructed from neighboring voxel pairs contained entirely within the ROI. We used 13 undirected offsets representing the 26 immediate neighbors at a Chebyshev grid distance of one supplied voxel. This distance referred to the file grid and was not interpreted as one millimeter. For each offset in the set D, the directional count matrix C recorded pairs with bin indices i and j. Equation 5 defines the pooled symmetric counts S and the normalized matrix P. Contrast was calculated from this single matrix as shown in Equation 6 (6). We combined counts before calculating the feature, without averaging separate directional contrast values or applying distance weights. Each sequence produced one contrast value. A region with no valid neighboring pairs was recorded as a processing failure. We checked the implementation with small arrays having known results; this did not establish complete IBSI benchmark validation.</w:t>
      </w:r>
    </w:p>
    <w:p>
      <w:pPr>
        <w:keepLines/>
        <w:spacing w:before="100" w:after="140"/>
        <w:jc w:val="center"/>
      </w:pPr>
      <m:oMath>
        <m:sSub>
          <m:e>
            <m:r>
              <w:rPr>
                <w:rFonts w:ascii="Cambria Math" w:hAnsi="Cambria Math"/>
                <w:sz w:val="24"/>
              </w:rPr>
              <m:t xml:space="preserve">S</m:t>
            </m:r>
          </m:e>
          <m:sub>
            <m:r>
              <w:rPr>
                <w:rFonts w:ascii="Cambria Math" w:hAnsi="Cambria Math"/>
                <w:sz w:val="24"/>
              </w:rPr>
              <m:t xml:space="preserve">ij</m:t>
            </m:r>
          </m:sub>
        </m:sSub>
        <m:r>
          <w:rPr>
            <w:rFonts w:ascii="Cambria Math" w:hAnsi="Cambria Math"/>
            <w:sz w:val="24"/>
          </w:rPr>
          <m:t xml:space="preserve"> = </m:t>
        </m:r>
        <m:nary>
          <m:naryPr>
            <m:chr m:val="∑"/>
            <m:limLoc m:val="undOvr"/>
            <m:grow m:val="1"/>
            <m:supHide m:val="1"/>
          </m:naryPr>
          <m:sub>
            <m:r>
              <w:rPr>
                <w:rFonts w:ascii="Cambria Math" w:hAnsi="Cambria Math"/>
                <w:sz w:val="24"/>
              </w:rPr>
              <m:t xml:space="preserve">d∈D</m:t>
            </m:r>
          </m:sub>
          <m:sup>
            <m:r>
              <w:rPr>
                <w:rFonts w:ascii="Cambria Math" w:hAnsi="Cambria Math"/>
                <w:sz w:val="24"/>
              </w:rPr>
              <m:t xml:space="preserve"/>
            </m:r>
          </m:sup>
          <m:e>
            <m:d>
              <m:dPr>
                <m:begChr m:val="["/>
                <m:endChr m:val="]"/>
                <m:grow m:val="1"/>
              </m:dPr>
              <m:e>
                <m:sSub>
                  <m:e>
                    <m:r>
                      <w:rPr>
                        <w:rFonts w:ascii="Cambria Math" w:hAnsi="Cambria Math"/>
                        <w:sz w:val="24"/>
                      </w:rPr>
                      <m:t xml:space="preserve">C</m:t>
                    </m:r>
                  </m:e>
                  <m:sub>
                    <m:r>
                      <w:rPr>
                        <w:rFonts w:ascii="Cambria Math" w:hAnsi="Cambria Math"/>
                        <w:sz w:val="24"/>
                      </w:rPr>
                      <m:t xml:space="preserve">ij</m:t>
                    </m:r>
                  </m:sub>
                </m:sSub>
                <m:d>
                  <m:dPr>
                    <m:begChr m:val="("/>
                    <m:endChr m:val=")"/>
                    <m:grow m:val="1"/>
                  </m:dPr>
                  <m:e>
                    <m:r>
                      <w:rPr>
                        <w:rFonts w:ascii="Cambria Math" w:hAnsi="Cambria Math"/>
                        <w:sz w:val="24"/>
                      </w:rPr>
                      <m:t xml:space="preserve">d</m:t>
                    </m:r>
                  </m:e>
                </m:d>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ji</m:t>
                    </m:r>
                  </m:sub>
                </m:sSub>
                <m:d>
                  <m:dPr>
                    <m:begChr m:val="("/>
                    <m:endChr m:val=")"/>
                    <m:grow m:val="1"/>
                  </m:dPr>
                  <m:e>
                    <m:r>
                      <w:rPr>
                        <w:rFonts w:ascii="Cambria Math" w:hAnsi="Cambria Math"/>
                        <w:sz w:val="24"/>
                      </w:rPr>
                      <m:t xml:space="preserve">d</m:t>
                    </m:r>
                  </m:e>
                </m:d>
              </m:e>
            </m:d>
          </m:e>
        </m:nary>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ij</m:t>
            </m:r>
          </m:sub>
        </m:sSub>
        <m:r>
          <w:rPr>
            <w:rFonts w:ascii="Cambria Math" w:hAnsi="Cambria Math"/>
            <w:sz w:val="24"/>
          </w:rPr>
          <m:t xml:space="preserve"> = </m:t>
        </m:r>
        <m:f>
          <m:num>
            <m:sSub>
              <m:e>
                <m:r>
                  <w:rPr>
                    <w:rFonts w:ascii="Cambria Math" w:hAnsi="Cambria Math"/>
                    <w:sz w:val="24"/>
                  </w:rPr>
                  <m:t xml:space="preserve">S</m:t>
                </m:r>
              </m:e>
              <m:sub>
                <m:r>
                  <w:rPr>
                    <w:rFonts w:ascii="Cambria Math" w:hAnsi="Cambria Math"/>
                    <w:sz w:val="24"/>
                  </w:rPr>
                  <m:t xml:space="preserve">ij</m:t>
                </m:r>
              </m:sub>
            </m:sSub>
          </m:num>
          <m:den>
            <m:nary>
              <m:naryPr>
                <m:chr m:val="∑"/>
                <m:limLoc m:val="undOvr"/>
                <m:grow m:val="1"/>
              </m:naryPr>
              <m:sub>
                <m:r>
                  <w:rPr>
                    <w:rFonts w:ascii="Cambria Math" w:hAnsi="Cambria Math"/>
                    <w:sz w:val="24"/>
                  </w:rPr>
                  <m:t xml:space="preserve">r=1</m:t>
                </m:r>
              </m:sub>
              <m:sup>
                <m:r>
                  <w:rPr>
                    <w:rFonts w:ascii="Cambria Math" w:hAnsi="Cambria Math"/>
                    <w:sz w:val="24"/>
                  </w:rPr>
                  <m:t xml:space="preserve">32</m:t>
                </m:r>
              </m:sup>
              <m:e>
                <m:nary>
                  <m:naryPr>
                    <m:chr m:val="∑"/>
                    <m:limLoc m:val="undOvr"/>
                    <m:grow m:val="1"/>
                  </m:naryPr>
                  <m:sub>
                    <m:r>
                      <w:rPr>
                        <w:rFonts w:ascii="Cambria Math" w:hAnsi="Cambria Math"/>
                        <w:sz w:val="24"/>
                      </w:rPr>
                      <m:t xml:space="preserve">s=1</m:t>
                    </m:r>
                  </m:sub>
                  <m:sup>
                    <m:r>
                      <w:rPr>
                        <w:rFonts w:ascii="Cambria Math" w:hAnsi="Cambria Math"/>
                        <w:sz w:val="24"/>
                      </w:rPr>
                      <m:t xml:space="preserve">32</m:t>
                    </m:r>
                  </m:sup>
                  <m:e>
                    <m:sSub>
                      <m:e>
                        <m:r>
                          <w:rPr>
                            <w:rFonts w:ascii="Cambria Math" w:hAnsi="Cambria Math"/>
                            <w:sz w:val="24"/>
                          </w:rPr>
                          <m:t xml:space="preserve">S</m:t>
                        </m:r>
                      </m:e>
                      <m:sub>
                        <m:r>
                          <w:rPr>
                            <w:rFonts w:ascii="Cambria Math" w:hAnsi="Cambria Math"/>
                            <w:sz w:val="24"/>
                          </w:rPr>
                          <m:t xml:space="preserve">rs</m:t>
                        </m:r>
                      </m:sub>
                    </m:sSub>
                  </m:e>
                </m:nary>
              </m:e>
            </m:nary>
          </m:den>
        </m:f>
      </m:oMath>
      <w:r>
        <w:t xml:space="preserve">    (5)</w:t>
      </w:r>
    </w:p>
    <w:p>
      <w:pPr>
        <w:keepLines/>
        <w:spacing w:before="100" w:after="140"/>
        <w:jc w:val="center"/>
      </w:pPr>
      <m:oMath>
        <m:r>
          <m:rPr>
            <m:nor m:val="1"/>
          </m:rPr>
          <w:rPr>
            <w:rFonts w:ascii="Cambria Math" w:hAnsi="Cambria Math"/>
            <w:sz w:val="24"/>
          </w:rPr>
          <m:t xml:space="preserve">Contrast</m:t>
        </m:r>
        <m:r>
          <w:rPr>
            <w:rFonts w:ascii="Cambria Math" w:hAnsi="Cambria Math"/>
            <w:sz w:val="24"/>
          </w:rPr>
          <m:t xml:space="preserve"> = </m:t>
        </m:r>
        <m:nary>
          <m:naryPr>
            <m:chr m:val="∑"/>
            <m:limLoc m:val="undOvr"/>
            <m:grow m:val="1"/>
          </m:naryPr>
          <m:sub>
            <m:r>
              <w:rPr>
                <w:rFonts w:ascii="Cambria Math" w:hAnsi="Cambria Math"/>
                <w:sz w:val="24"/>
              </w:rPr>
              <m:t xml:space="preserve">i=1</m:t>
            </m:r>
          </m:sub>
          <m:sup>
            <m:r>
              <w:rPr>
                <w:rFonts w:ascii="Cambria Math" w:hAnsi="Cambria Math"/>
                <w:sz w:val="24"/>
              </w:rPr>
              <m:t xml:space="preserve">32</m:t>
            </m:r>
          </m:sup>
          <m:e>
            <m:nary>
              <m:naryPr>
                <m:chr m:val="∑"/>
                <m:limLoc m:val="undOvr"/>
                <m:grow m:val="1"/>
              </m:naryPr>
              <m:sub>
                <m:r>
                  <w:rPr>
                    <w:rFonts w:ascii="Cambria Math" w:hAnsi="Cambria Math"/>
                    <w:sz w:val="24"/>
                  </w:rPr>
                  <m:t xml:space="preserve">j=1</m:t>
                </m:r>
              </m:sub>
              <m:sup>
                <m:r>
                  <w:rPr>
                    <w:rFonts w:ascii="Cambria Math" w:hAnsi="Cambria Math"/>
                    <w:sz w:val="24"/>
                  </w:rPr>
                  <m:t xml:space="preserve">32</m:t>
                </m:r>
              </m:sup>
              <m:e>
                <m:sSup>
                  <m:e>
                    <m:d>
                      <m:dPr>
                        <m:begChr m:val="("/>
                        <m:endChr m:val=")"/>
                        <m:grow m:val="1"/>
                      </m:dPr>
                      <m:e>
                        <m:r>
                          <w:rPr>
                            <w:rFonts w:ascii="Cambria Math" w:hAnsi="Cambria Math"/>
                            <w:sz w:val="24"/>
                          </w:rPr>
                          <m:t xml:space="preserve">i − j</m:t>
                        </m:r>
                      </m:e>
                    </m:d>
                  </m:e>
                  <m:sup>
                    <m:r>
                      <w:rPr>
                        <w:rFonts w:ascii="Cambria Math" w:hAnsi="Cambria Math"/>
                        <w:sz w:val="24"/>
                      </w:rPr>
                      <m:t xml:space="preserve">2</m:t>
                    </m:r>
                  </m:sup>
                </m:sSup>
                <m:sSub>
                  <m:e>
                    <m:r>
                      <w:rPr>
                        <w:rFonts w:ascii="Cambria Math" w:hAnsi="Cambria Math"/>
                        <w:sz w:val="24"/>
                      </w:rPr>
                      <m:t xml:space="preserve">P</m:t>
                    </m:r>
                  </m:e>
                  <m:sub>
                    <m:r>
                      <w:rPr>
                        <w:rFonts w:ascii="Cambria Math" w:hAnsi="Cambria Math"/>
                        <w:sz w:val="24"/>
                      </w:rPr>
                      <m:t xml:space="preserve">ij</m:t>
                    </m:r>
                  </m:sub>
                </m:sSub>
              </m:e>
            </m:nary>
          </m:e>
        </m:nary>
      </m:oMath>
      <w:r>
        <w:t xml:space="preserve">    (6)</w:t>
      </w:r>
    </w:p>
    <w:p>
      <w:pPr>
        <w:pStyle w:val="Heading2"/>
      </w:pPr>
      <w:r>
        <w:t>2.6 Model specification and grouped training</w:t>
      </w:r>
    </w:p>
    <w:p>
      <w:pPr>
        <w:keepNext w:val="0"/>
      </w:pPr>
      <w:r>
        <w:t>We fitted four binary logistic regression models with an intercept. M0 included age and sex; M1 included the five clinical inputs defined above and served as the principal clinical comparator. The MRI model used the eight fixed imaging features, and Fusion concatenated the five clinical inputs and eight MRI features into one 13-variable predictor vector. This was feature-level fusion within a single model. Equation 7 gives the tumor probability for the processed feature vector z, where m denotes the input count and the beta terms denote the intercept and coefficients. The four models contained 2, 5, 8 and 13 nonintercept terms, respectively. All used L2 regularization with inverse regularization strength C set to 1, the lbfgs optimizer, a maximum of 2000 iterations and convergence tolerance 0.0001. No class weighting was applied. A common regression framework provided a consistent comparison of the fixed input sets. Coefficients were used for prediction and were not interpreted as causal effects.</w:t>
      </w:r>
    </w:p>
    <w:p>
      <w:pPr>
        <w:keepLines/>
        <w:spacing w:before="120"/>
        <w:jc w:val="center"/>
      </w:pPr>
      <m:oMath>
        <m:r>
          <w:rPr>
            <w:rFonts w:ascii="Cambria Math" w:hAnsi="Cambria Math"/>
            <w:sz w:val="24"/>
          </w:rPr>
          <m:t xml:space="preserve">p</m:t>
        </m:r>
        <m:d>
          <m:dPr>
            <m:begChr m:val="("/>
            <m:endChr m:val=")"/>
            <m:grow m:val="1"/>
          </m:dPr>
          <m:e>
            <m:r>
              <w:rPr>
                <w:rFonts w:ascii="Cambria Math" w:hAnsi="Cambria Math"/>
                <w:sz w:val="24"/>
              </w:rPr>
              <m:t xml:space="preserve">z</m:t>
            </m:r>
          </m:e>
        </m:d>
        <m:r>
          <w:rPr>
            <w:rFonts w:ascii="Cambria Math" w:hAnsi="Cambria Math"/>
            <w:sz w:val="24"/>
          </w:rPr>
          <m:t xml:space="preserve"> = </m:t>
        </m:r>
        <m:f>
          <m:num>
            <m:r>
              <w:rPr>
                <w:rFonts w:ascii="Cambria Math" w:hAnsi="Cambria Math"/>
                <w:sz w:val="24"/>
              </w:rPr>
              <m:t xml:space="preserve">1</m:t>
            </m:r>
          </m:num>
          <m:den>
            <m:r>
              <w:rPr>
                <w:rFonts w:ascii="Cambria Math" w:hAnsi="Cambria Math"/>
                <w:sz w:val="24"/>
              </w:rPr>
              <m:t xml:space="preserve">1 + </m:t>
            </m:r>
            <m:func>
              <m:fName>
                <m:r>
                  <m:rPr>
                    <m:nor m:val="1"/>
                  </m:rPr>
                  <w:rPr>
                    <w:rFonts w:ascii="Cambria Math" w:hAnsi="Cambria Math"/>
                    <w:sz w:val="24"/>
                  </w:rPr>
                  <m:t xml:space="preserve">exp</m:t>
                </m:r>
              </m:fName>
              <m:e>
                <m:d>
                  <m:dPr>
                    <m:begChr m:val="("/>
                    <m:endChr m:val=")"/>
                    <m:grow m:val="1"/>
                  </m:dPr>
                  <m:e>
                    <m:r>
                      <w:rPr>
                        <w:rFonts w:ascii="Cambria Math" w:hAnsi="Cambria Math"/>
                        <w:sz w:val="24"/>
                      </w:rPr>
                      <m:t xml:space="preserve">−</m:t>
                    </m:r>
                    <m:d>
                      <m:dPr>
                        <m:begChr m:val="("/>
                        <m:endChr m:val=")"/>
                        <m:grow m:val="1"/>
                      </m:dPr>
                      <m:e>
                        <m:sSub>
                          <m:e>
                            <m:r>
                              <w:rPr>
                                <w:rFonts w:ascii="Cambria Math" w:hAnsi="Cambria Math"/>
                                <w:sz w:val="24"/>
                              </w:rPr>
                              <m:t xml:space="preserve">β</m:t>
                            </m:r>
                          </m:e>
                          <m:sub>
                            <m:r>
                              <w:rPr>
                                <w:rFonts w:ascii="Cambria Math" w:hAnsi="Cambria Math"/>
                                <w:sz w:val="24"/>
                              </w:rPr>
                              <m:t xml:space="preserve">0</m:t>
                            </m:r>
                          </m:sub>
                        </m:sSub>
                        <m:r>
                          <w:rPr>
                            <w:rFonts w:ascii="Cambria Math" w:hAnsi="Cambria Math"/>
                            <w:sz w:val="24"/>
                          </w:rPr>
                          <m:t xml:space="preserve"> + </m:t>
                        </m:r>
                        <m:nary>
                          <m:naryPr>
                            <m:chr m:val="∑"/>
                            <m:limLoc m:val="undOvr"/>
                            <m:grow m:val="1"/>
                          </m:naryPr>
                          <m:sub>
                            <m:r>
                              <w:rPr>
                                <w:rFonts w:ascii="Cambria Math" w:hAnsi="Cambria Math"/>
                                <w:sz w:val="24"/>
                              </w:rPr>
                              <m:t xml:space="preserve">j=1</m:t>
                            </m:r>
                          </m:sub>
                          <m:sup>
                            <m:r>
                              <w:rPr>
                                <w:rFonts w:ascii="Cambria Math" w:hAnsi="Cambria Math"/>
                                <w:sz w:val="24"/>
                              </w:rPr>
                              <m:t xml:space="preserve">m</m:t>
                            </m:r>
                          </m:sup>
                          <m:e>
                            <m:sSub>
                              <m:e>
                                <m:r>
                                  <w:rPr>
                                    <w:rFonts w:ascii="Cambria Math" w:hAnsi="Cambria Math"/>
                                    <w:sz w:val="24"/>
                                  </w:rPr>
                                  <m:t xml:space="preserve">β</m:t>
                                </m:r>
                              </m:e>
                              <m:sub>
                                <m:r>
                                  <w:rPr>
                                    <w:rFonts w:ascii="Cambria Math" w:hAnsi="Cambria Math"/>
                                    <w:sz w:val="24"/>
                                  </w:rPr>
                                  <m:t xml:space="preserve">j</m:t>
                                </m:r>
                              </m:sub>
                            </m:sSub>
                            <m:sSub>
                              <m:e>
                                <m:r>
                                  <w:rPr>
                                    <w:rFonts w:ascii="Cambria Math" w:hAnsi="Cambria Math"/>
                                    <w:sz w:val="24"/>
                                  </w:rPr>
                                  <m:t xml:space="preserve">z</m:t>
                                </m:r>
                              </m:e>
                              <m:sub>
                                <m:r>
                                  <w:rPr>
                                    <w:rFonts w:ascii="Cambria Math" w:hAnsi="Cambria Math"/>
                                    <w:sz w:val="24"/>
                                  </w:rPr>
                                  <m:t xml:space="preserve">j</m:t>
                                </m:r>
                              </m:sub>
                            </m:sSub>
                          </m:e>
                        </m:nary>
                      </m:e>
                    </m:d>
                  </m:e>
                </m:d>
              </m:e>
            </m:func>
          </m:den>
        </m:f>
      </m:oMath>
      <w:r>
        <w:t xml:space="preserve">    (7)</w:t>
      </w:r>
    </w:p>
    <w:p>
      <w:pPr>
        <w:keepNext w:val="0"/>
      </w:pPr>
      <w:r>
        <w:t>All four models were evaluated in the same 182-examination cohort using the same five patient-grouped folds. We used StratifiedGroupKFold with shuffling enabled and random seed 20261029, grouping examinations by the audited patient-group identifier. All examinations from a given patient were kept in one fold, and separation was checked using both the source clinical and BraTS patient identifiers. The case-to-fold manifest was fixed before model fitting and was not reselected after viewing performance. Age, the transformed interval and MRI features were standardized within training folds wherever included; interval imputation followed Section 2.3. Binary inputs were not scaled. Fitted preprocessing and regression parameters were applied to the held-out fold without using its outcomes to train or select the model. Each examination received one out-of-fold (OOF) tumor probability per model. There was no hyperparameter search, feature selection, dimensionality reduction, oversampling or interaction-term expansion. Validation was internal to the public collection.</w:t>
      </w:r>
    </w:p>
    <w:p>
      <w:pPr>
        <w:pStyle w:val="Heading2"/>
      </w:pPr>
      <w:r>
        <w:t>2.7 Performance metrics and conditional uncertainty</w:t>
      </w:r>
    </w:p>
    <w:p>
      <w:pPr>
        <w:keepNext w:val="0"/>
      </w:pPr>
      <w:r>
        <w:t>Performance was calculated at the examination level by pooling OOF probabilities from all five folds. The primary incremental comparison was the Fusion-minus-M1 difference in area under the receiver operating characteristic curve (ROC AUC), evaluated on the same examinations (Equation 8). We also reported ROC AUC for each model, average precision (AP) for each diagnostic class, Brier score and logarithmic loss. Treatment-related-change AP used treatment-related change as the positive class and one minus the tumor probability as its score. AP was computed from precision weighted by increments in recall. Brier score and logarithmic loss summarized probability error, with lower values indicating better performance. At the fixed threshold of 0.5, probabilities at least 0.5 were classified as tumor. Confusion counts, tumor sensitivity, recognition of treatment-related change, precision for each class, balanced accuracy and overall accuracy were calculated without threshold optimization.</w:t>
      </w:r>
    </w:p>
    <w:p>
      <w:pPr>
        <w:keepLines/>
        <w:spacing w:before="120"/>
        <w:jc w:val="center"/>
      </w:pPr>
      <m:oMath>
        <m:r>
          <w:rPr>
            <w:rFonts w:ascii="Cambria Math" w:hAnsi="Cambria Math"/>
            <w:sz w:val="24"/>
          </w:rPr>
          <m:t xml:space="preserve">Δ</m:t>
        </m:r>
        <m:r>
          <m:rPr>
            <m:nor m:val="1"/>
          </m:rPr>
          <w:rPr>
            <w:rFonts w:ascii="Cambria Math" w:hAnsi="Cambria Math"/>
            <w:sz w:val="24"/>
          </w:rPr>
          <m:t xml:space="preserve">AUC</m:t>
        </m:r>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Fusion</m:t>
            </m:r>
          </m:sub>
        </m:sSub>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M1</m:t>
            </m:r>
          </m:sub>
        </m:sSub>
      </m:oMath>
      <w:r>
        <w:t xml:space="preserve">    (8)</w:t>
      </w:r>
    </w:p>
    <w:p>
      <w:pPr>
        <w:keepNext w:val="0"/>
      </w:pPr>
      <w:r>
        <w:t>Uncertainty was summarized using 2000 patient-cluster bootstrap attempts with random seed 20261030. Each attempt sampled 135 patient groups with replacement and retained all available examinations for each selected group, including repeated copies when a group was sampled more than once. All models used identical resampled examination indices, enabling paired metric differences. The saved OOF probabilities remained fixed; prediction models and their preprocessing were not refitted within resampling. Attempts containing only one diagnostic class were ineligible and were not replaced by additional draws. For ROC AUC, treatment-related-change AP, Brier score and logarithmic loss, and their paired differences, 95% percentile intervals were defined by the 2.5th and 97.5th percentiles of eligible bootstrap values. These intervals represented patient-sampling uncertainty conditional on the saved OOF predictions. They did not capture the full variability of retraining the models or choosing another fold partition. Metric differences were retained in their stated directions, so a negative Brier-score difference favored Fusion in the Fusion-minus-M1 comparison.</w:t>
      </w:r>
    </w:p>
    <w:p>
      <w:pPr>
        <w:pStyle w:val="Heading2"/>
      </w:pPr>
      <w:r>
        <w:t>2.8 Calibration assessment</w:t>
      </w:r>
    </w:p>
    <w:p>
      <w:pPr>
        <w:keepNext w:val="0"/>
      </w:pPr>
      <w:r>
        <w:t>Calibration was assessed descriptively using the pooled OOF tumor probabilities. For each model, we requested five probability quantile groups, dropping duplicate boundaries and retaining the actual nonempty groups. Each group was summarized by its examination count, mean predicted probability, observed tumor proportion and tumor count. Calibration-in-the-large was estimated as an intercept with the coefficient of the predicted log odds fixed at one (Equation 9). A separate unpenalized logistic diagnostic regression estimated a free intercept and calibration slope jointly (Equation 10). Here, p denotes the saved OOF probability and q the fitted diagnostic probability. For logit calculations only, p was clipped to machine epsilon and one minus machine epsilon. The offset intercept was distinguished from the joint intercept accompanying the slope. Failed or separated fits were retained as missing estimates with their recorded errors. These diagnostics used the same OOF predictions being evaluated and did not constitute independent validation. We did not use them to recalibrate predictions, alter the fixed classification threshold or replace any evaluated OOF probabilities.</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offset</m:t>
            </m:r>
          </m:sub>
        </m:sSub>
        <m:r>
          <w:rPr>
            <w:rFonts w:ascii="Cambria Math" w:hAnsi="Cambria Math"/>
            <w:sz w:val="24"/>
          </w:rPr>
          <m:t xml:space="preserve"> +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(9)</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joint</m:t>
            </m:r>
          </m:sub>
        </m:sSub>
        <m:r>
          <w:rPr>
            <w:rFonts w:ascii="Cambria Math" w:hAnsi="Cambria Math"/>
            <w:sz w:val="24"/>
          </w:rPr>
          <m:t xml:space="preserve"> + b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(10)</w:t>
      </w:r>
    </w:p>
    <w:p>
      <w:pPr>
        <w:pStyle w:val="Heading2"/>
      </w:pPr>
      <w:r>
        <w:t>2.9 Sensitivity analyses</w:t>
      </w:r>
    </w:p>
    <w:p>
      <w:pPr>
        <w:keepNext w:val="0"/>
      </w:pPr>
      <w:r>
        <w:t>Sensitivity to the annotation boundary was examined by eroding the full ROI once using a three-dimensional six-neighbor structuring element. Erosion operated on the supplied voxel grid and did not represent a fixed distance in millimeters. We recalculated the same eight MRI features within the eroded region, retaining the original image-specific percentile normalization parameters and the discretization boundaries derived from the full ROI. This kept the intensity and binning reference consistent when changing the region. Eroded MRI and Fusion models used the original examination set, patient groups and five-fold assignments, with their preprocessing and regression fitted within each training fold under the same fixed settings. The clinical inputs were unchanged. Comparisons included eroded Fusion versus M1 and eroded versus original Fusion, using paired patient-cluster bootstrap intervals conditional on the saved OOF predictions. This perturbation assessed dependence on the supplied boundary; it did not establish segmentation accuracy. The original ROI remained the primary analysis.</w:t>
      </w:r>
    </w:p>
    <w:p>
      <w:pPr>
        <w:keepNext w:val="0"/>
      </w:pPr>
      <w:r>
        <w:t>To examine sensitivity to fold assignment, we repeated stratified five-fold validation by patient group on the full imaging cohort using 20 seeds fixed as the consecutive integers 20261029 through 20261048. The first partition reproduced the primary analysis. Within each repetition, M0, M1, MRI and Fusion shared the same examinations and folds, and preprocessing and regression were fitted separately within each training fold. Each examination received one OOF prediction per model per repetition. We summarized performance and the Fusion-minus-M1 differences using the median, quartiles and observed minimum and maximum, and counted repetitions with positive differences. The protocol required recording any failed repetitions without replacing their seeds. Because all repetitions reused the same patients, their distributions described sensitivity to partitioning and were not confidence intervals or independent replications. We did not pool repeated predictions as independent observations, average them into an ensemble or choose the highest-performing repetition to replace the primary estimate. Model settings and the classification threshold remained fixed.</w:t>
      </w:r>
    </w:p>
    <w:p>
      <w:pPr>
        <w:keepNext w:val="0"/>
      </w:pPr>
      <w:r>
        <w:t>A separate sensitivity analysis retained one examination per patient, selecting the smallest numeric session suffix available in the imaging subset, with the complete examination identifier resolving ties. Selection used neither diagnostic labels nor model predictions. This rule identified the earliest numbered available session, without establishing the first clinical visit or the earliest MRI in the source database. We rebuilt patient-grouped five-fold partitions with seed 20261029 and refitted the four fixed models within these training folds. Patient bootstrap sampling used 2000 attempts with seed 20261101 and fixed OOF probabilities. Percentile intervals for ROC AUC, treatment-related-change AP, Brier score, logarithmic loss and their Fusion-minus-M1 differences followed the conditional interpretation above. Draws containing only one diagnostic class were ineligible and would not be replaced. The selected cohort differed from the primary cohort in examination composition, class distribution and training data. Accordingly, differences between their performance estimates could not be attributed solely to removing repeated scans, and the single-examination analysis did not replace the primary comparison.</w:t>
      </w:r>
    </w:p>
    <w:p>
      <w:pPr>
        <w:pStyle w:val="Heading2"/>
      </w:pPr>
      <w:r>
        <w:t>2.10 Reproducibility and software</w:t>
      </w:r>
    </w:p>
    <w:p>
      <w:pPr>
        <w:keepNext w:val="0"/>
      </w:pPr>
      <w:r>
        <w:t>Analyses were implemented in Python 3 using scikit-learn 1.8.0 (18), NumPy 2.3.5, pandas 2.2.3, SciPy 1.17.0 and Matplotlib 3.10.8. Jupyter notebooks for feature extraction, model evaluation and sensitivity analyses were executed through an in-process ipykernel 7.4.0 kernel, with code hashes and execution receipts retained. The public project repository (https://github.com/BTomoto/rn-mri-clinical-fusion) contains code, derived data, OOF probabilities, fold assignments and analysis locks linking inputs, protocols and code by SHA256 checksums. Model analyses can be rerun from the saved feature tables without downloading images again. Re-extracting features requires the image files: 18 inputs are included as repository samples, whereas 528 additional inputs were archived separately. Source manifests provide acquisition URLs and checksums, and an archive restoration script verifies the archive and its extracted members. The saved restoration receipt records successful verification of all 528 additional files; access to the stored archive requires its holder’s account, with public acquisition URLs providing an alternative route. Sample size was determined by eligible linked examinations with available inputs, without a prospective sample-size calculation.</w:t>
      </w:r>
    </w:p>
    <w:p>
      <w:pPr>
        <w:pStyle w:val="Heading1"/>
      </w:pPr>
      <w:r>
        <w:t>3 Results</w:t>
      </w:r>
    </w:p>
    <w:p>
      <w:pPr>
        <w:pStyle w:val="Heading2"/>
      </w:pPr>
      <w:r>
        <w:t>3.1 Cohort flow</w:t>
      </w:r>
    </w:p>
    <w:p>
      <w:pPr>
        <w:keepNext w:val="0"/>
      </w:pPr>
      <w:r>
        <w:t>The source cohort contained 243 examinations from 178 patients, including 192 examinations labeled as tumor and 51 labeled as treatment-related change (Figure 1). Identifier quarantine removed five examinations from two patients, leaving 238 examinations from 176 patients in the clinical cohort. The retained cohort contained 187 tumor and 51 treatment-related-change examinations. Complete FLAIR, postcontrast T1-weighted and annotation-mask inputs were available for 182 examinations from 135 patients, representing 76.5% of the retained clinical examinations. All 182 yielded the eight MRI features and entered the common comparison of M0, M1, MRI and Fusion. The remaining 56 examinations from 41 patients were not covered by the accessed mirror and comprised 46 tumor and 10 treatment-related-change examinations. These records remained in the coverage ledger and did not enter the imaging comparison. The imaging cohort included 141 tumor examinations (77.5%) and 41 treatment-related-change examinations (22.5%). At the patient level, 114 patients contributed tumor examinations and 29 contributed treatment-related-change examinations; eight patients contributed examinations in both categories. These category-specific patient counts therefore overlapped. Table 1 summarizes the imaging cohort, and Supplementary Table S1 describes the retained clinical cohort according to imaging coverage. The same 182 examinations were retained for the primary comparison and the erosion sensitivity analysis.</w:t>
      </w:r>
    </w:p>
    <w:p>
      <w:pPr>
        <w:pStyle w:val="Heading2"/>
      </w:pPr>
      <w:r>
        <w:t>3.2 Clinical characteristics</w:t>
      </w:r>
    </w:p>
    <w:p>
      <w:pPr>
        <w:keepNext w:val="0"/>
      </w:pPr>
      <w:r>
        <w:t>At the examination level, median age in the imaging cohort was 56.5 years [49.0, 66.0], and male patients contributed 132 examinations (72.5%; Table 1). Age, sex and other treatment before imaging were complete. Among 146 examinations with a known interval since the initial event, the median was 154.0 days [40.5, 359.5]. The corresponding medians were 96.0 days for tumor examinations and 346.0 days for treatment-related-change examinations. Intervals were missing for 36 examinations (19.8%), comprising 33 tumor and three treatment-related-change examinations. Other treatment before imaging was recorded for 25 examinations (13.7%). In the group without imaging coverage, median age was 53.5 years [45.0, 62.0], 60.7% of examinations were from male patients and 82.1% carried tumor labels, compared with 77.5% in the imaging cohort (Supplementary Table S1). These summaries used examination records, with interval distributions restricted to observed values before imputation. Bracketed values indicate the first and third quartiles. No between-group significance tests were performed.</w:t>
      </w:r>
    </w:p>
    <w:p>
      <w:pPr>
        <w:pStyle w:val="Heading2"/>
      </w:pPr>
      <w:r>
        <w:t>3.3 Four-model discrimination</w:t>
      </w:r>
    </w:p>
    <w:p>
      <w:pPr>
        <w:keepNext w:val="0"/>
      </w:pPr>
      <w:r>
        <w:t>Each of the four fixed models provided an OOF probability for all 182 examinations under the same patient-grouped five-fold partition. The pooled ROC AUC was 0.526 for M0 (95% patient-bootstrap percentile interval, 0.404 to 0.644), 0.672 for M1 (0.553 to 0.778), 0.762 for MRI (0.683 to 0.838) and 0.782 for Fusion (0.698 to 0.859; Table 2 and Figure 2A). Treatment-related-change AP was 0.261, 0.354, 0.444 and 0.505 for M0, M1, MRI and Fusion, respectively, against a treatment-related-change prevalence of 0.225 in this cohort (Figure 2B). The corresponding Brier scores were 0.177, 0.163, 0.151 and 0.144. Fusion had the largest AUC and treatment-related-change AP point estimates and the lowest Brier score among the four models in this partition. The intervals summarized patient-sampling uncertainty conditional on the saved OOF probabilities; they did not include the full variability of model retraining or alternative fold assignments. These results represent internal validation in the same imaging cohort. The prespecified paired Fusion-minus-M1 comparison is reported separately, because the ordering of model-specific point estimates alone does not quantify the uncertainty in their difference.</w:t>
      </w:r>
    </w:p>
    <w:p>
      <w:pPr>
        <w:pStyle w:val="Heading2"/>
      </w:pPr>
      <w:r>
        <w:t>3.4 Paired incremental comparison</w:t>
      </w:r>
    </w:p>
    <w:p>
      <w:pPr>
        <w:keepNext w:val="0"/>
      </w:pPr>
      <w:r>
        <w:t>For the prespecified primary comparison, the Fusion-minus-M1 ROC AUC difference was 0.110 (95% paired patient-bootstrap percentile interval, 0.021 to 0.214; Table 3). The treatment-related-change AP difference was 0.152 (0.026 to 0.268). Both intervals lay above zero under the conditional bootstrap analysis. Probability-error differences also favored Fusion in their point estimates: the Brier-score difference was -0.019 (-0.040 to 0.002), and the logarithmic-loss difference was -0.037 (-0.107 to 0.039). However, both probability-error intervals included zero, leaving these improvements uncertain. ROC AUC was the sole primary incremental metric; AP, Brier score and logarithmic loss were auxiliary summaries. Differences were calculated from the unrounded model metrics, rather than from the displayed three-decimal values. All contrasts used the same 182 examinations, and each bootstrap attempt applied the same resampled patient groups to both models. The resulting intervals described uncertainty in the paired differences conditional on the saved OOF predictions. They were not obtained by subtracting separate model interval bounds and did not include full retraining or partition variability. The primary result supported an AUC increment from adding the eight MRI features to the fixed clinical model within this cohort, while the probability-error contrasts remained uncertain.</w:t>
      </w:r>
    </w:p>
    <w:p>
      <w:pPr>
        <w:pStyle w:val="Heading2"/>
      </w:pPr>
      <w:r>
        <w:t>3.5 Calibration and errors</w:t>
      </w:r>
    </w:p>
    <w:p>
      <w:pPr>
        <w:keepNext w:val="0"/>
      </w:pPr>
      <w:r>
        <w:t>Fusion had an offset calibration intercept of -0.121 and a calibration slope of 0.667 in the pooled OOF predictions (Figure 2C; Supplementary Table S3). These were descriptive calibration diagnostics and were not applied to modify the evaluated probabilities. At the fixed tumor-probability threshold of 0.5, Fusion correctly classified 130 of 141 tumor examinations (92.2%) and 12 of 41 treatment-related-change examinations (29.3%). Eleven tumor examinations were classified as treatment-related change, whereas 29 treatment-related-change examinations were classified as tumor. Overall accuracy was 142/182 (78.0%), compared with 141/182 (77.5%) for a reference rule assigning every examination to tumor. Balanced accuracy was 0.607. M1 correctly recognized two treatment-related-change examinations, while MRI and Fusion each recognized 12. The same MRI and Fusion models correctly classified 128 and 130 tumor examinations, respectively. Thus, the higher discrimination estimates coexisted with limited treatment-related-change recognition at the unchanged threshold, and overall accuracy remained close to the always-tumor reference.</w:t>
      </w:r>
    </w:p>
    <w:p>
      <w:pPr>
        <w:pStyle w:val="Heading2"/>
      </w:pPr>
      <w:r>
        <w:t>3.6 Boundary sensitivity</w:t>
      </w:r>
    </w:p>
    <w:p>
      <w:pPr>
        <w:keepNext w:val="0"/>
      </w:pPr>
      <w:r>
        <w:t>All 182 examinations retained complete MRI features after the prespecified erosion, allowing comparison on the original case set and fold assignments. The eroded MRI model had an OOF AUC of 0.765, compared with 0.762 for the original MRI model (Supplementary Table S4; Figure S1). Eroded Fusion had an AUC of 0.788 (95% patient-bootstrap percentile interval, 0.706 to 0.867), compared with 0.782 for original Fusion. The paired eroded-minus-original Fusion AUC difference was 0.0062, with an interval of -0.0051 to 0.0183 that included zero. Eroded Fusion had a Brier score of 0.141 and treatment-related-change AP of 0.529, and correctly recognized 14 of 41 treatment-related-change examinations at the fixed threshold. The corresponding original Fusion values were 0.144, 0.505 and 12 of 41. These findings described sensitivity to one boundary perturbation under fixed processing and did not establish superiority of erosion or segmentation accuracy. The original ROI remained the primary analysis.</w:t>
      </w:r>
    </w:p>
    <w:p>
      <w:pPr>
        <w:pStyle w:val="Heading2"/>
      </w:pPr>
      <w:r>
        <w:t>3.7 Split stability</w:t>
      </w:r>
    </w:p>
    <w:p>
      <w:pPr>
        <w:keepNext w:val="0"/>
      </w:pPr>
      <w:r>
        <w:t>All 20 prespecified repetitions completed the patient-grouped five-fold validation without failed fold-model fits. Across repetitions, median AUCs were 0.556 for M0, 0.667 for M1, 0.775 for MRI and 0.784 for Fusion (Supplementary Table S5A; Figure 3A). Fusion had first and third AUC quartiles of 0.775 and 0.795, with an observed range of 0.759 to 0.809. The median within-repetition Fusion-minus-M1 AUC difference was 0.125, with a range of 0.103 to 0.150; all 20 differences were positive (Supplementary Table S5B; Figure 3B). AP, Brier-score and logarithmic-loss differences also favored Fusion in all 20 repetitions. These sign counts described the observed partitions and did not replace the primary paired bootstrap intervals. Because the same patients were reused, the repetitions were not independent validation cohorts. Medians, quartiles and ranges summarized sensitivity to partitioning and were not confidence intervals. The first repetition reproduced the original partition and predictions, and its Fusion AUC of 0.782 remained the primary estimate rather than the maximum observed across repetitions.</w:t>
      </w:r>
    </w:p>
    <w:p>
      <w:pPr>
        <w:pStyle w:val="Heading2"/>
      </w:pPr>
      <w:r>
        <w:t>3.8 Single-scan sensitivity</w:t>
      </w:r>
    </w:p>
    <w:p>
      <w:pPr>
        <w:keepNext w:val="0"/>
      </w:pPr>
      <w:r>
        <w:t>Selecting the smallest available numeric session per patient retained 135 examinations from 135 patients, including 113 tumor and 22 treatment-related-change examinations. This selection did not establish the true first clinical visit. OOF AUCs were 0.501 for M0, 0.609 for M1, 0.729 for MRI and 0.730 for Fusion (95% patient-bootstrap percentile interval for Fusion, 0.606 to 0.833; Supplementary Table S6 and Figure S2A). The Fusion-minus-M1 AUC difference was 0.120, with a paired interval of -0.015 to 0.252 that included zero (Supplementary Table S7). The auxiliary AP, Brier-score and logarithmic-loss difference intervals also included zero. At the fixed threshold, Fusion recognized 109/113 tumor examinations (96.5%) and 2/22 treatment-related-change examinations (9.1%; Figure S2B). Its descriptive calibration slope was 0.539, without subsequent recalibration. The selected analysis differed from the primary 182-examination analysis in examination composition, class distribution and training data. Consequently, the difference between their AUC estimates could not be attributed solely to removing repeated scans. Incremental discrimination remained uncertain in the single-scan analysis, which was retained as a sensitivity analysis without replacing the primary comparison.</w:t>
      </w:r>
    </w:p>
    <w:p>
      <w:pPr>
        <w:pStyle w:val="Heading1"/>
      </w:pPr>
      <w:r>
        <w:t>4 Discussion</w:t>
      </w:r>
    </w:p>
    <w:p>
      <w:pPr>
        <w:pStyle w:val="Heading2"/>
      </w:pPr>
      <w:r>
        <w:t>4.1 Principal findings</w:t>
      </w:r>
    </w:p>
    <w:p>
      <w:pPr>
        <w:keepNext w:val="0"/>
      </w:pPr>
      <w:r>
        <w:t>In this secondary analysis of public data, adding eight fixed MRI descriptors to five clinical inputs improved internal discrimination between residual or recurrent tumor and treatment-related change after treatment for high-grade glioma. Fusion achieved an OOF AUC of 0.782, compared with 0.672 for M1, with a paired difference of 0.110 (95% patient-bootstrap percentile interval, 0.021 to 0.214). This comparison used the same examinations and patient-grouped folds, limiting differences attributable to case selection or partition assignment. The AUC increment remained positive across all 20 repeated partitions, although these repetitions reused the same cohort and provided descriptive evidence of split stability. Incremental discrimination was less certain when one available examination per patient was retained: the AUC-difference interval extended from -0.015 to 0.252. These intervals were conditional on fixed OOF predictions and did not capture full retraining variability. Moreover, Fusion recognized only 12/41 treatment-related-change examinations in the primary analysis and 2/22 in the single-scan analysis at the fixed threshold. Its primary calibration slope of 0.667, together with intervals crossing zero for the Brier-score and logarithmic-loss differences, also limited claims about probability accuracy. The findings therefore support an incremental MRI signal within this dataset, while leaving its clinical usefulness and performance in independent cohorts unresolved.</w:t>
      </w:r>
    </w:p>
    <w:p>
      <w:pPr>
        <w:pStyle w:val="Heading2"/>
      </w:pPr>
      <w:r>
        <w:t>4.2 Comparison with fusion studies</w:t>
      </w:r>
    </w:p>
    <w:p>
      <w:pPr>
        <w:keepNext w:val="0"/>
      </w:pPr>
      <w:r>
        <w:t>The observed increment has parallels in studies combining quantitative MRI with non-imaging information, although their predictor sets differ substantially from ours. In a single-center cohort of 222 patients with grade 3 or 4 glioma, Zhou et al. integrated a 17-feature radiomics score with relative cerebral blood volume, apparent diffusion coefficient, neutrophil-to-lymphocyte ratio, MGMT promoter methylation and temozolomide treatment (8). Their stratified 7:3 internal split yielded validation AUCs of 0.811 for the integrated model and 0.744 for the model excluding the radiomics score. That comparison therefore assessed radiomics beyond a baseline already containing advanced imaging and molecular information. McKenney et al. studied 74 patients with IDH-wildtype glioblastoma who underwent repeat surgery, using contrast-enhanced T1 and dynamic contrast-enhanced perfusion radiomics with MGMT status (9). Their repeated nested cross-validation showed higher accuracy for the combined classifier than for radiomics alone, with lesion labels determined by histopathology. These reports motivate evaluating complementary information but do not establish that our limited clinical inputs or eight MRI descriptors capture the same signal. Our outcome also encompasses broader treatment-related change, limiting alignment with their pseudoprogression endpoints. Related work by Reecher et al. used UCSD-PTGBM itself (19); its shared parent dataset precludes treating it as independent confirmation. Our study provides a paired assessment of fixed, low-dimensional clinical-MRI fusion on matched examinations. Differences in patient selection, reference standards, input availability and validation designs prevent direct ranking of our model against these reports by AUC.</w:t>
      </w:r>
    </w:p>
    <w:p>
      <w:pPr>
        <w:pStyle w:val="Heading2"/>
      </w:pPr>
      <w:r>
        <w:t>4.3 Conflicting evidence</w:t>
      </w:r>
    </w:p>
    <w:p>
      <w:pPr>
        <w:keepNext w:val="0"/>
      </w:pPr>
      <w:r>
        <w:t>Published evidence does not show a uniform benefit from adding imaging information. Leone et al. evaluated 105 patients with IDH-wildtype glioblastoma, including 20 with pseudoprogression, using five repetitions of five-fold cross-validation (10). A clinical-MGMT reference model achieved an AUC of 0.69; adding median diffusion and perfusion measures produced 0.71 without a statistically significant improvement. Models incorporating radiomic features yielded AUCs of 0.52 and 0.54. Their baseline included MGMT status and extent of resection, which were absent from our M1, and outcomes largely relied on subsequent imaging and clinical evolution. Consequently, the differing results do not isolate an effect of model complexity or establish why fusion did or did not help. A separate study by de Godoy et al. applied a previously developed diffusion-perfusion model to 56 new patients and reported an AUC of 0.757 (11). At their 0.5 probability threshold, it correctly identified 18/19 pseudoprogression cases and 21/37 cases in the progression-plus-mixed-tumor group. However, mixed tumors were grouped with pseudoprogression during development and with progression during validation, changing the classification task. This was evaluation in a new cohort, but it did not test our features or model. These studies show why discrimination, class-specific recognition and endpoint alignment require separate scrutiny. For our analysis, the uncertain single-scan increment and limited treatment-change recognition remain material findings, despite the favorable primary AUC difference. Further evaluation should preserve the intended reference categories and assess a locked model in an independent cohort.</w:t>
      </w:r>
    </w:p>
    <w:p>
      <w:pPr>
        <w:pStyle w:val="Heading2"/>
      </w:pPr>
      <w:r>
        <w:t>4.4 Computational contribution</w:t>
      </w:r>
    </w:p>
    <w:p>
      <w:pPr>
        <w:keepNext w:val="0"/>
      </w:pPr>
      <w:r>
        <w:t>The computational contribution of this study is an auditable evaluation of low-dimensional feature-level fusion using public clinical and MRI data. Eight explicitly defined descriptors from FLAIR and postcontrast T1 images were concatenated with five clinical inputs and fitted with a fixed L2-regularized logistic model. This design makes the imaging contribution traceable to specified intensity and texture calculations and anchors the comparison to the same clinical input set. Evaluating all models on matched examinations with shared patient-grouped folds reduces the influence of case composition and partition differences on the incremental comparison. Training-fold preprocessing and retained OOF probabilities also make the relationship between inputs, fitted models and evaluation outputs inspectable. The public repository provides notebooks, derived feature tables, fold assignments and analysis locks, allowing model evaluation to be rerun from the saved features. Re-extracting features additionally requires the image files and their documented acquisition or restoration routes. This emphasis on processing details, comparator models, partitioning and code availability is consistent with methodological priorities described in METRICS (20). These contributions position the work as an application and evaluation study in medical image computing. They facilitate scrutiny of the reported increment, while the reference-standard and external-validation limitations still constrain its interpretation.</w:t>
      </w:r>
    </w:p>
    <w:p>
      <w:pPr>
        <w:pStyle w:val="Heading2"/>
      </w:pPr>
      <w:r>
        <w:t>4.5 Interpretation of image features</w:t>
      </w:r>
    </w:p>
    <w:p>
      <w:pPr>
        <w:keepNext w:val="0"/>
      </w:pPr>
      <w:r>
        <w:t>The eight MRI inputs summarize different statistical aspects of the supplied annotation region. Mean intensity describes its average percentile-scaled signal, and standard deviation describes the spread of those values. Histogram entropy summarizes uncertainty in the discretized gray-level distribution without retaining voxel positions. GLCM contrast weights squared gray-level differences between neighboring voxels and therefore incorporates local spatial variation (6). These descriptors capture aspects of regional image appearance, with their interpretation depending on the supplied images and extraction rules. The union of all positive annotation labels does not isolate a histologically verified viable-tumor compartment. Duenweg et al. showed that normalization choices affected radiomic comparability across acquisition settings, including in brain imaging (21). Their findings do not establish an optimal transformation for our derived images. Here, percentile scaling and ROI-based discretization define the numerical context of the features; unknown spatial units further limit interpretation of texture at a physical distance. The fitted coefficients describe conditional associations within a penalized model, with their interpretation depending on feature scaling and the other included inputs. They do not establish independent risk factors or causal effects. Accordingly, the observed incremental discrimination supports a collective predictive signal within this dataset, without identifying a specific cellular mechanism.</w:t>
      </w:r>
    </w:p>
    <w:p>
      <w:pPr>
        <w:pStyle w:val="Heading2"/>
      </w:pPr>
      <w:r>
        <w:t>4.6 Boundary and split robustness</w:t>
      </w:r>
    </w:p>
    <w:p>
      <w:pPr>
        <w:keepNext w:val="0"/>
      </w:pPr>
      <w:r>
        <w:t>Boundary perturbation and repeated partitioning probe different sources of sensitivity. For Fusion, the eroded-minus-original AUC difference was 0.0062, with a conditional paired interval spanning zero. Preserving the original normalization and binning references while eroding the ROI suggests limited sensitivity to that specific boundary change under the fixed workflow. The result does not demonstrate equivalence or segmentation accuracy. Martin et al. examined scan-rescan repeatability of diffusion and perfusion radiomics (22), a measurement property that our erosion analysis does not test. Repeated patient-grouped validation instead examined sensitivity to the allocation of patients across training folds. The Fusion-minus-M1 AUC difference remained positive in all 20 partitions, supporting directional consistency within the available cohort. Because the same patients and labels were reused, the repetitions were neither independent replications nor external validation. Patient grouping addresses the dependence risk illustrated by Rosenblatt et al. using duplicated scans in connectome prediction (15), although that experiment does not quantify bias in our diagnostic task. Together, the analyses strengthen the internal sensitivity assessment while leaving uncertainty about source annotations, reference diagnoses and performance at other institutions unresolved. The original ROI and prespecified primary partition remain the basis of the main comparison.</w:t>
      </w:r>
    </w:p>
    <w:p>
      <w:pPr>
        <w:pStyle w:val="Heading2"/>
      </w:pPr>
      <w:r>
        <w:t>4.7 Meaning of the single-scan result</w:t>
      </w:r>
    </w:p>
    <w:p>
      <w:pPr>
        <w:keepNext w:val="0"/>
      </w:pPr>
      <w:r>
        <w:t>The single-scan analysis leaves Fusion's incremental discrimination uncertain under the selected sampling scheme. Its conditional paired AUC-difference interval ranged from -0.015 to 0.252, accommodating a small disadvantage as well as a larger gain. Selection retained the same 135 patients but reduced treatment-related-change examinations from 41 to 22 and changed the label distribution, training samples and fold assignments. These concurrent changes prevent attributing the difference from the primary analysis solely to repeated scans. The smallest available numeric session also did not establish the first clinical visit. At the fixed threshold, Fusion correctly recognized only 2/22 treatment-related-change examinations, despite identifying most tumor examinations. This class-specific limitation remains relevant even when ranking performance is summarized by AUC. Equalizing contributions to one examination per patient does not create a cohort independent of the primary analysis or verify the source diagnoses. Guidance for external validation emphasizes a dataset representative of the target population and sample-size planning for precise performance estimates (23,24). Accordingly, the selected analysis is best interpreted as an internal sensitivity check. Confirmation of the increment requires independent data with adequate representation of both outcomes and evaluation of discrimination, calibration and class-specific performance.</w:t>
      </w:r>
    </w:p>
    <w:p>
      <w:pPr>
        <w:pStyle w:val="Heading2"/>
      </w:pPr>
      <w:r>
        <w:t>4.8 Reference-standard limitations</w:t>
      </w:r>
    </w:p>
    <w:p>
      <w:pPr>
        <w:keepNext w:val="0"/>
      </w:pPr>
      <w:r>
        <w:t>The principal limitation is that discrimination was evaluated against inherited examination labels rather than independently readjudicated diagnoses. We assigned tumor status to the complement of the 51-case negative list, following the published binary partition. This reproduces the source grouping but cannot resolve individual diagnostic uncertainty. The dataset authors reported pathological confirmation for 45 of 192 tumor examinations in the full collection; this aggregate cannot establish the pathology-confirmed fraction of our imaging subset (5). Other source classifications incorporated clinical and imaging assessment. The target may therefore partly reflect the imaging appearances from which predictors were derived, creating possible dependence between the reference standard and the index data. Its direction and magnitude were not measured. Treatment-related change also combined pseudoprogression, radiation necrosis and nonspecific changes. Disagreement between workbook and published subtype counts remained unresolved despite agreement in the binary total, limiting subtype-specific interpretation. Annotation introduces a separate uncertainty. The source paper describes automated BraTS segmentation followed by radiologist correction and approval, whereas its cellular-tumor masks used clinical, pathological and longitudinal imaging information (5). We used the BraTS-region union, not those cellular-tumor masks; the information available during correction of the supplied BraTS masks could not be confirmed. Unverified blinding remains a potential bias concern rather than evidence that leakage occurred. Reporting guidance calls for documenting reference-standard methods and annotation sources (17). Patient grouping prevents cross-fold patient overlap but cannot repair these upstream uncertainties, which warrant independent diagnostic adjudication and documented annotation procedures in subsequent evaluation.</w:t>
      </w:r>
    </w:p>
    <w:p>
      <w:pPr>
        <w:pStyle w:val="Heading2"/>
      </w:pPr>
      <w:r>
        <w:t>4.9 Image-processing limitations</w:t>
      </w:r>
    </w:p>
    <w:p>
      <w:pPr>
        <w:keepNext w:val="0"/>
      </w:pPr>
      <w:r>
        <w:t>Image processing limits the portability and biological interpretation of the observed signal. The supplied structural volumes were stored as unsigned 8-bit integers, so subsequent scaling could not recover distinctions absent from those derived values. Unknown spatial units also prevented physical-volume interpretation and defining texture neighborhoods in verified millimeters. Matching image and mask grids supported computation at corresponding voxel indices, but did not independently establish anatomical registration. Our positive-label union pooled the supplied annotation compartments, potentially combining different tissue and treatment effects within a single summary. No compartment-specific diagnostic claim follows from its predictive performance. We replaced percentile clipping with unclipped affine scaling after technical diagnostics revealed additional tail collapse. This documented engineering revision avoided further clipping, but was neither preregistered nor independently shown to be optimal. Evidence that normalization choices influence MRI feature comparability across acquisition settings reinforces the need for evaluation under other processing conditions (21). It does not validate our transform, and ROI-range fixed-bin-number texture features need not change under every positive affine transformation. Finally, the eight descriptors used only FLAIR and postcontrast T1 images. Quantitative ADC and perfusion information were not evaluated. The findings therefore concern this particular derived-image representation; confirmation with preserved acquisition metadata, verified spatial scales and standardized processing remains necessary.</w:t>
      </w:r>
    </w:p>
    <w:p>
      <w:pPr>
        <w:pStyle w:val="Heading2"/>
      </w:pPr>
      <w:r>
        <w:t>4.10 Sampling and model uncertainty</w:t>
      </w:r>
    </w:p>
    <w:p>
      <w:pPr>
        <w:keepNext w:val="0"/>
      </w:pPr>
      <w:r>
        <w:t>Availability-based sampling restricts the population represented by this analysis. MRI inputs were available for 182 of 238 eligible clinical examinations, leaving 56 examinations outside the paired model comparison. The included 135 patients and 41 treatment-related-change examinations provide limited coverage of the diagnostic spectrum; performance may differ in unavailable cases or other clinical settings. Repeated examinations increased observations without creating independent patients. Because fitting and pooled performance gave each examination equal weight, patients with more examinations contributed more than patients with a single scan, even though grouping prevented patient overlap between folds. Fusion also estimated 13 input coefficients from a modest cohort. Fixed regularization and the absence of tuning reduced analytical flexibility but did not establish that estimation was sufficiently stable. The initial-event interval was missing for 36 examinations and referred to heterogeneous starting events. Training-fold median imputation and a missingness indicator could not recover that history or establish an ignorable missingness mechanism. Finally, the patient-cluster bootstrap resampled fixed out-of-fold predictions without refitting. Its intervals therefore describe patient-sampling uncertainty conditional on those predictions, excluding variation from repeating model development. Repeated grouped splits assessed another aspect of instability within the same data; neither procedure substitutes for independent evaluation.</w:t>
      </w:r>
    </w:p>
    <w:p>
      <w:pPr>
        <w:pStyle w:val="Heading2"/>
      </w:pPr>
      <w:r>
        <w:t>4.11 Clinical interpretation</w:t>
      </w:r>
    </w:p>
    <w:p>
      <w:pPr>
        <w:keepNext w:val="0"/>
      </w:pPr>
      <w:r>
        <w:t>Fusion's AUC of 0.782 indicates discrimination within this dataset, but does not establish reliable individual probabilities or a decision rule. Metrics Reloaded distinguishes classification at a threshold, discrimination across thresholds and calibration as complementary dimensions of evaluation (25). Here, the descriptive calibration slope of 0.667 raises concern about the spread of predicted probabilities, while the paired Brier-score and logarithmic-loss difference intervals included zero. At the unchanged threshold of 0.5, Fusion identified 130/141 tumor examinations but only 12/41 treatment-related-change examinations. For a task intended to distinguish treatment effects from tumor, the 29 treatment-change examinations classified as tumor remain a relevant limitation. These counts do not quantify the consequences of using the model, because no treatment decisions or downstream outcomes were evaluated. Nor does the small accuracy advantage over assigning all examinations to tumor establish clinical value. A clinically defensible threshold would require a defined action and consideration of the consequences of each type of error. Guidance recommends assessing net benefit across relevant, prespecified thresholds when predictions are intended to direct care (23). We did not perform that evaluation, recalibrate on independent data or compare the model with clinician decisions. The present evidence supports further evaluation of an incremental imaging signal, without establishing that model-guided care improves outcomes.</w:t>
      </w:r>
    </w:p>
    <w:p>
      <w:pPr>
        <w:pStyle w:val="Heading2"/>
      </w:pPr>
      <w:r>
        <w:t>4.12 Priorities for further evaluation</w:t>
      </w:r>
    </w:p>
    <w:p>
      <w:pPr>
        <w:keepNext w:val="0"/>
      </w:pPr>
      <w:r>
        <w:t>Further work should prioritize independently adjudicated examination diagnoses and documented annotation procedures, including the information available to annotators. Acquisition metadata and spatial scales should be verified, with preprocessing specified before evaluation. The locked clinical and fusion pipelines should be evaluated in an independent cohort representing the intended population, with sample size planned for precise performance estimation (23,24). Assessment should give particular attention to treatment-related-change recognition and calibration, alongside discrimination and probability error. Any clinical-utility study would additionally require a defined action and justified thresholds. These studies would provide evidence on whether the observed imaging increment persists beyond the present dataset.</w:t>
      </w:r>
    </w:p>
    <w:p>
      <w:pPr>
        <w:pStyle w:val="Heading1"/>
        <w:pageBreakBefore w:val="0"/>
      </w:pPr>
      <w:r>
        <w:t>5 Conclusion</w:t>
      </w:r>
    </w:p>
    <w:p>
      <w:pPr>
        <w:keepNext w:val="0"/>
      </w:pPr>
      <w:r>
        <w:t>This secondary analysis of public UCSD-PTGBM data supports an incremental MRI signal for distinguishing residual or recurrent tumor from treatment-related change after treatment for high-grade glioma. In 182 examinations from 135 patients, the fixed clinical-MRI fusion model achieved an out-of-fold AUC of 0.782, exceeding the expanded clinical model by 0.110, with a conditional paired 95% percentile interval of 0.021 to 0.214. The increment remained positive across 20 repeated patient-grouped partitions, while its presence and magnitude were uncertain in the single-scan analysis. Limited recognition of treatment-related change at the fixed threshold and unresolved improvements in probability error constrain clinical interpretation. The reproducible workflow provides a computational basis for evaluating low-dimensional fusion, subject to inherited diagnoses and the supplied derived images. Independent diagnostic evaluation and assessment of clinically justified decisions remain necessary to determine whether the observed increment generalizes and can support care.</w:t>
      </w:r>
    </w:p>
    <w:p>
      <w:pPr>
        <w:pStyle w:val="Heading1"/>
        <w:pageBreakBefore/>
      </w:pPr>
      <w:r>
        <w:t>References</w:t>
      </w:r>
    </w:p>
    <w:p>
      <w:pPr>
        <w:keepNext w:val="0"/>
        <w:keepLines/>
      </w:pPr>
      <w:r>
        <w:t>1. Wen PY, Weller M, Lee EQ, Touat M, Khasraw M, Rahman R, et al. Glioblastoma in adults: A Society for Neuro-Oncology (SNO) and European Society of Neuro-Oncology (EANO) consensus review on current management and future directions. Neuro Oncol. 2025;27(11):2751-2788. doi: 10.1093/neuonc/noaf177.</w:t>
      </w:r>
    </w:p>
    <w:p>
      <w:pPr>
        <w:keepNext w:val="0"/>
        <w:keepLines/>
      </w:pPr>
      <w:r>
        <w:t>2. Wen PY, van den Bent M, Youssef G, Cloughesy TF, Ellingson BM, Weller M, et al. RANO 2.0: Update to the Response Assessment in Neuro-Oncology Criteria for High- and Low-Grade Gliomas in Adults. J Clin Oncol. 2023;41(33):5187-5199. doi: 10.1200/JCO.23.01059.</w:t>
      </w:r>
    </w:p>
    <w:p>
      <w:pPr>
        <w:keepNext w:val="0"/>
        <w:keepLines/>
      </w:pPr>
      <w:r>
        <w:t>3. Reddy S, Lung T, Muniyappa S, Hadley C, Templeton B, Fritz J, et al. Radiomics and Radiogenomics in Differentiating Progression, Pseudoprogression, and Radiation Necrosis in Gliomas. Biomedicines. 2025;13(7):1778. doi: 10.3390/biomedicines13071778.</w:t>
      </w:r>
    </w:p>
    <w:p>
      <w:pPr>
        <w:keepNext w:val="0"/>
        <w:keepLines/>
      </w:pPr>
      <w:r>
        <w:t>4. Ellingson BM, Sanvito F, Cloughesy TF, Huang RY, Villanueva-Meyer JE, Pope WB, et al. A Neuroradiologist's Guide to Operationalizing the Response Assessment in Neuro-Oncology (RANO) Criteria Version 2.0 for Gliomas in Adults. AJNR Am J Neuroradiol. 2024;45(12):1846-1856. doi: 10.3174/ajnr.A8396.</w:t>
      </w:r>
    </w:p>
    <w:p>
      <w:pPr>
        <w:keepNext w:val="0"/>
        <w:keepLines/>
      </w:pPr>
      <w:r>
        <w:t>5. Gagnon L, Gupta D, Nguyen U, Correia de Verdier M, Saluja R, Mastorakos G, et al. The University of California San Diego Post-Treatment Glioblastoma (UCSD-PTGBM) annotated multimodal MRI Dataset. Sci Data. 2026;13(1):183. doi: 10.1038/s41597-025-06499-z.</w:t>
      </w:r>
    </w:p>
    <w:p>
      <w:pPr>
        <w:keepNext w:val="0"/>
        <w:keepLines/>
      </w:pPr>
      <w:r>
        <w:t>6. Zwanenburg A, Vallières M, Abdalah MA, Aerts HJWL, Andrearczyk V, Apte A, et al. The Image Biomarker Standardization Initiative: Standardized Quantitative Radiomics for High-Throughput Image-based Phenotyping. Radiology. 2020;295(2):328-338. doi: 10.1148/radiol.2020191145.</w:t>
      </w:r>
    </w:p>
    <w:p>
      <w:pPr>
        <w:keepNext w:val="0"/>
        <w:keepLines/>
      </w:pPr>
      <w:r>
        <w:t>7. Foltyn-Dumitru M, Schell M, Rastogi A, Sahm F, Kessler T, Wick W, et al. Impact of signal intensity normalization of MRI on the generalizability of radiomic-based prediction of molecular glioma subtypes. Eur Radiol. 2024;34(4):2782-2790. doi: 10.1007/s00330-023-10034-2.</w:t>
      </w:r>
    </w:p>
    <w:p>
      <w:pPr>
        <w:keepNext w:val="0"/>
        <w:keepLines/>
      </w:pPr>
      <w:r>
        <w:t>8. Zhou J, Danmeng Z, Hui Y, Zhuohua X, Mingjing W, Ying L. Radiomics and clinical data predict pseudoprogression after radiotherapy in high-grade glioma. Front Oncol. 2026;16:1892760. doi: 10.3389/fonc.2026.1892760.</w:t>
      </w:r>
    </w:p>
    <w:p>
      <w:pPr>
        <w:keepNext w:val="0"/>
        <w:keepLines/>
      </w:pPr>
      <w:r>
        <w:t>9. McKenney AS, Weg E, Bale TA, Wild AT, Um H, Fox MJ, et al. Radiomic Analysis to Predict Histopathologically Confirmed Pseudoprogression in Glioblastoma Patients. Adv Radiat Oncol. 2023;8(1):100916. doi: 10.1016/j.adro.2022.100916.</w:t>
      </w:r>
    </w:p>
    <w:p>
      <w:pPr>
        <w:keepNext w:val="0"/>
        <w:keepLines/>
      </w:pPr>
      <w:r>
        <w:t>10.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Next w:val="0"/>
        <w:keepLines/>
      </w:pPr>
      <w:r>
        <w:t>11. de Godoy LL, Mohan S, Wang S, Nasrallah MP, Sakai Y, O'Rourke DM, et al. Validation of multiparametric MRI based prediction model in identification of pseudoprogression in glioblastomas. J Transl Med. 2023;21(1):287. doi: 10.1186/s12967-023-03941-x.</w:t>
      </w:r>
    </w:p>
    <w:p>
      <w:pPr>
        <w:keepNext w:val="0"/>
        <w:keepLines/>
      </w:pPr>
      <w:r>
        <w:t>12. Kocak B, Baessler B, Bakas S, Cuocolo R, Fedorov A, Maier-Hein L, et al. CheckList for EvaluAtion of Radiomics research (CLEAR): a step-by-step reporting guideline for authors and reviewers endorsed by ESR and EuSoMII. Insights Imaging. 2023;14(1):75. doi: 10.1186/s13244-023-01415-8.</w:t>
      </w:r>
    </w:p>
    <w:p>
      <w:pPr>
        <w:keepNext w:val="0"/>
        <w:keepLines/>
      </w:pPr>
      <w:r>
        <w:t>13. Moons KGM, Damen JAA, Kaul T, Hooft L, Andaur Navarro C, Dhiman P, et al. PROBAST+AI: an updated quality, risk of bias, and applicability assessment tool for prediction models using regression or artificial intelligence methods. BMJ. 2025;388:e082505. doi: 10.1136/bmj-2024-082505.</w:t>
      </w:r>
    </w:p>
    <w:p>
      <w:pPr>
        <w:keepNext w:val="0"/>
        <w:keepLines/>
      </w:pPr>
      <w:r>
        <w:t>14. Collins GS, Dhiman P, Ma J, Schlussel MM, Archer L, Van Calster B, et al. Evaluation of clinical prediction models (part 1): from development to external validation. BMJ. 2024;384:e074819. doi: 10.1136/bmj-2023-074819.</w:t>
      </w:r>
    </w:p>
    <w:p>
      <w:pPr>
        <w:keepNext w:val="0"/>
        <w:keepLines/>
      </w:pPr>
      <w:r>
        <w:t>15. Rosenblatt M, Tejavibulya L, Jiang R, Noble S, Scheinost D. Data leakage inflates prediction performance in connectome-based machine learning models. Nat Commun. 2024;15(1):1829. doi: 10.1038/s41467-024-46150-w.</w:t>
      </w:r>
    </w:p>
    <w:p>
      <w:pPr>
        <w:keepNext w:val="0"/>
        <w:keepLines/>
      </w:pPr>
      <w:r>
        <w:t>16. Collins GS, Moons KGM, Dhiman P, Riley RD, Beam AL, Van Calster B, et al. TRIPOD+AI statement: updated guidance for reporting clinical prediction models that use regression or machine learning methods. BMJ. 2024;385:e078378. doi: 10.1136/bmj-2023-078378.</w:t>
      </w:r>
    </w:p>
    <w:p>
      <w:pPr>
        <w:keepNext w:val="0"/>
        <w:keepLines/>
      </w:pPr>
      <w:r>
        <w:t>17. Tejani AS, Klontzas ME, Gatti AA, Mongan JT, Moy L, Park SH, et al. Checklist for Artificial Intelligence in Medical Imaging (CLAIM): 2024 Update. Radiol Artif Intell. 2024;6(4):e240300. doi: 10.1148/ryai.240300.</w:t>
      </w:r>
    </w:p>
    <w:p>
      <w:pPr>
        <w:keepNext w:val="0"/>
        <w:keepLines/>
      </w:pPr>
      <w:r>
        <w:t>18. Pedregosa F, Varoquaux G, Gramfort A, Michel V, Thirion B, Grisel O, et al. Scikit-learn: Machine Learning in Python. J Mach Learn Res. 2011;12:2825-2830. Available from: https://www.jmlr.org/papers/v12/pedregosa11a.html</w:t>
      </w:r>
    </w:p>
    <w:p>
      <w:pPr>
        <w:keepNext w:val="0"/>
        <w:keepLines/>
      </w:pPr>
      <w:r>
        <w:t>19. Reecher HM, Duenweg SR, Lowman AK, Winiarz A, Nath B, Chao B, et al. A Comparison of Radio-Pathomic, Diffusion, and Perfusion Imaging Features for Identifying Pseudoprogression in Glioblastoma. AJNR Am J Neuroradiol. 2026. doi: 10.3174/ajnr.A9574.</w:t>
      </w:r>
    </w:p>
    <w:p>
      <w:pPr>
        <w:keepNext w:val="0"/>
        <w:keepLines/>
      </w:pPr>
      <w:r>
        <w:t>20. Kocak B, Akinci D'Antonoli T, Mercaldo N, Alberich-Bayarri A, Baessler B, Ambrosini I, et al. METhodological RadiomICs Score (METRICS): a quality scoring tool for radiomics research endorsed by EuSoMII. Insights Imaging. 2024;15(1):8. doi: 10.1186/s13244-023-01572-w.</w:t>
      </w:r>
    </w:p>
    <w:p>
      <w:pPr>
        <w:keepNext w:val="0"/>
        <w:keepLines/>
      </w:pPr>
      <w:r>
        <w:t>21. Duenweg SR, Bobholz SA, Lowman AK, Winiarz A, Nath B, Barrett MJ, et al. Comparison of intensity normalization methods in prostate, brain, and breast cancer multi-parametric magnetic resonance imaging. Front Oncol. 2025;15:1433444. doi: 10.3389/fonc.2025.1433444.</w:t>
      </w:r>
    </w:p>
    <w:p>
      <w:pPr>
        <w:keepNext w:val="0"/>
        <w:keepLines/>
      </w:pPr>
      <w:r>
        <w:t>22. Martin P, Holloway L, Metcalfe P, Koh ES, Aly F, Chan E, et al. Repeatability of diffusion and perfusion MRI derived radiomic features in glioblastoma: a test-retest study. Phys Eng Sci Med. 2025;48(4):1691-1702. doi: 10.1007/s13246-025-01613-2.</w:t>
      </w:r>
    </w:p>
    <w:p>
      <w:pPr>
        <w:keepNext w:val="0"/>
        <w:keepLines/>
      </w:pPr>
      <w:r>
        <w:t>23. Riley RD, Archer L, Snell KIE, Ensor J, Dhiman P, Martin GP, et al. Evaluation of clinical prediction models (part 2): how to undertake an external validation study. BMJ. 2024;384:e074820. doi: 10.1136/bmj-2023-074820.</w:t>
      </w:r>
    </w:p>
    <w:p>
      <w:pPr>
        <w:keepNext w:val="0"/>
        <w:keepLines/>
      </w:pPr>
      <w:r>
        <w:t>24. Riley RD, Snell KIE, Archer L, Ensor J, Debray TPA, van Calster B, et al. Evaluation of clinical prediction models (part 3): calculating the sample size required for an external validation study. BMJ. 2024;384:e074821. doi: 10.1136/bmj-2023-074821.</w:t>
      </w:r>
    </w:p>
    <w:p>
      <w:pPr>
        <w:keepNext w:val="0"/>
        <w:keepLines/>
      </w:pPr>
      <w:r>
        <w:t>25. Maier-Hein L, Reinke A, Godau P, Tizabi MD, Buettner F, Christodoulou E, et al. Metrics reloaded: recommendations for image analysis validation. Nat Methods. 2024;21(2):195-212. doi: 10.1038/s41592-023-02151-z.</w:t>
      </w:r>
    </w:p>
    <w:p>
      <w:pPr>
        <w:sectPr>
          <w:footerReference w:type="default" r:id="rId9"/>
          <w:pgSz w:w="12240" w:h="15840"/>
          <w:pgMar w:top="1138" w:right="1138" w:bottom="1138" w:left="1138" w:header="504" w:footer="504" w:gutter="0"/>
          <w:cols w:space="720"/>
          <w:docGrid w:linePitch="360"/>
          <w:lnNumType w:countBy="1" w:restart="continuous" w:distance="180"/>
        </w:sectPr>
      </w:pPr>
    </w:p>
    <w:p>
      <w:pPr>
        <w:pStyle w:val="Heading2"/>
        <w:suppressLineNumbers/>
      </w:pPr>
      <w:r>
        <w:t>Table 1. Clinical characteristics of the imaging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Characteristic</w:t>
            </w:r>
          </w:p>
        </w:tc>
        <w:tc>
          <w:tcPr>
            <w:tcW w:type="dxa" w:w="2170"/>
            <w:vAlign w:val="center"/>
            <w:shd w:fill="EEEEEE"/>
          </w:tcPr>
          <w:p>
            <w:pPr>
              <w:spacing w:after="60" w:line="240" w:lineRule="auto"/>
            </w:pPr>
            <w:r>
              <w:rPr>
                <w:b/>
                <w:sz w:val="20"/>
              </w:rPr>
              <w:t>All imaging examinations</w:t>
            </w:r>
          </w:p>
        </w:tc>
        <w:tc>
          <w:tcPr>
            <w:tcW w:type="dxa" w:w="2170"/>
            <w:vAlign w:val="center"/>
            <w:shd w:fill="EEEEEE"/>
          </w:tcPr>
          <w:p>
            <w:pPr>
              <w:spacing w:after="60" w:line="240" w:lineRule="auto"/>
            </w:pPr>
            <w:r>
              <w:rPr>
                <w:b/>
                <w:sz w:val="20"/>
              </w:rPr>
              <w:t>Tumor examinations</w:t>
            </w:r>
          </w:p>
        </w:tc>
        <w:tc>
          <w:tcPr>
            <w:tcW w:type="dxa" w:w="2170"/>
            <w:vAlign w:val="center"/>
            <w:shd w:fill="EEEEEE"/>
          </w:tcPr>
          <w:p>
            <w:pPr>
              <w:spacing w:after="60" w:line="240" w:lineRule="auto"/>
            </w:pPr>
            <w:r>
              <w:rPr>
                <w:b/>
                <w:sz w:val="20"/>
              </w:rPr>
              <w:t>Treatment-related change</w:t>
            </w:r>
          </w:p>
        </w:tc>
      </w:tr>
      <w:tr>
        <w:trPr>
          <w:cantSplit/>
        </w:trPr>
        <w:tc>
          <w:tcPr>
            <w:tcW w:type="dxa" w:w="3456"/>
            <w:vAlign w:val="center"/>
          </w:tcPr>
          <w:p>
            <w:pPr>
              <w:spacing w:after="60" w:line="240" w:lineRule="auto"/>
            </w:pPr>
            <w:r>
              <w:rPr>
                <w:b w:val="0"/>
                <w:sz w:val="20"/>
              </w:rPr>
              <w:t>Examinations, n</w:t>
            </w:r>
          </w:p>
        </w:tc>
        <w:tc>
          <w:tcPr>
            <w:tcW w:type="dxa" w:w="2170"/>
            <w:vAlign w:val="center"/>
          </w:tcPr>
          <w:p>
            <w:pPr>
              <w:spacing w:after="60" w:line="240" w:lineRule="auto"/>
            </w:pPr>
            <w:r>
              <w:rPr>
                <w:b w:val="0"/>
                <w:sz w:val="20"/>
              </w:rPr>
              <w:t>182</w:t>
            </w:r>
          </w:p>
        </w:tc>
        <w:tc>
          <w:tcPr>
            <w:tcW w:type="dxa" w:w="2170"/>
            <w:vAlign w:val="center"/>
          </w:tcPr>
          <w:p>
            <w:pPr>
              <w:spacing w:after="60" w:line="240" w:lineRule="auto"/>
            </w:pPr>
            <w:r>
              <w:rPr>
                <w:b w:val="0"/>
                <w:sz w:val="20"/>
              </w:rPr>
              <w:t>141</w:t>
            </w:r>
          </w:p>
        </w:tc>
        <w:tc>
          <w:tcPr>
            <w:tcW w:type="dxa" w:w="2170"/>
            <w:vAlign w:val="center"/>
          </w:tcPr>
          <w:p>
            <w:pPr>
              <w:spacing w:after="60" w:line="240" w:lineRule="auto"/>
            </w:pPr>
            <w:r>
              <w:rPr>
                <w:b w:val="0"/>
                <w:sz w:val="20"/>
              </w:rPr>
              <w:t>41</w:t>
            </w:r>
          </w:p>
        </w:tc>
      </w:tr>
      <w:tr>
        <w:trPr>
          <w:cantSplit/>
        </w:trPr>
        <w:tc>
          <w:tcPr>
            <w:tcW w:type="dxa" w:w="3456"/>
            <w:vAlign w:val="center"/>
          </w:tcPr>
          <w:p>
            <w:pPr>
              <w:spacing w:after="60" w:line="240" w:lineRule="auto"/>
            </w:pPr>
            <w:r>
              <w:rPr>
                <w:b w:val="0"/>
                <w:sz w:val="20"/>
              </w:rPr>
              <w:t>Unique source patients, n</w:t>
            </w:r>
          </w:p>
        </w:tc>
        <w:tc>
          <w:tcPr>
            <w:tcW w:type="dxa" w:w="2170"/>
            <w:vAlign w:val="center"/>
          </w:tcPr>
          <w:p>
            <w:pPr>
              <w:spacing w:after="60" w:line="240" w:lineRule="auto"/>
            </w:pPr>
            <w:r>
              <w:rPr>
                <w:b w:val="0"/>
                <w:sz w:val="20"/>
              </w:rPr>
              <w:t>135</w:t>
            </w:r>
          </w:p>
        </w:tc>
        <w:tc>
          <w:tcPr>
            <w:tcW w:type="dxa" w:w="2170"/>
            <w:vAlign w:val="center"/>
          </w:tcPr>
          <w:p>
            <w:pPr>
              <w:spacing w:after="60" w:line="240" w:lineRule="auto"/>
            </w:pPr>
            <w:r>
              <w:rPr>
                <w:b w:val="0"/>
                <w:sz w:val="20"/>
              </w:rPr>
              <w:t>114</w:t>
            </w:r>
          </w:p>
        </w:tc>
        <w:tc>
          <w:tcPr>
            <w:tcW w:type="dxa" w:w="2170"/>
            <w:vAlign w:val="center"/>
          </w:tcPr>
          <w:p>
            <w:pPr>
              <w:spacing w:after="60" w:line="240" w:lineRule="auto"/>
            </w:pPr>
            <w:r>
              <w:rPr>
                <w:b w:val="0"/>
                <w:sz w:val="20"/>
              </w:rPr>
              <w:t>29</w:t>
            </w:r>
          </w:p>
        </w:tc>
      </w:tr>
      <w:tr>
        <w:trPr>
          <w:cantSplit/>
        </w:trPr>
        <w:tc>
          <w:tcPr>
            <w:tcW w:type="dxa" w:w="3456"/>
            <w:vAlign w:val="center"/>
          </w:tcPr>
          <w:p>
            <w:pPr>
              <w:spacing w:after="60" w:line="240" w:lineRule="auto"/>
            </w:pPr>
            <w:r>
              <w:rPr>
                <w:b w:val="0"/>
                <w:sz w:val="20"/>
              </w:rPr>
              <w:t>Age, years</w:t>
            </w:r>
          </w:p>
        </w:tc>
        <w:tc>
          <w:tcPr>
            <w:tcW w:type="dxa" w:w="2170"/>
            <w:vAlign w:val="center"/>
          </w:tcPr>
          <w:p>
            <w:pPr>
              <w:spacing w:after="60" w:line="240" w:lineRule="auto"/>
            </w:pPr>
            <w:r>
              <w:rPr>
                <w:b w:val="0"/>
                <w:sz w:val="20"/>
              </w:rPr>
              <w:t>56.5 [49.0, 66.0]</w:t>
            </w:r>
          </w:p>
        </w:tc>
        <w:tc>
          <w:tcPr>
            <w:tcW w:type="dxa" w:w="2170"/>
            <w:vAlign w:val="center"/>
          </w:tcPr>
          <w:p>
            <w:pPr>
              <w:spacing w:after="60" w:line="240" w:lineRule="auto"/>
            </w:pPr>
            <w:r>
              <w:rPr>
                <w:b w:val="0"/>
                <w:sz w:val="20"/>
              </w:rPr>
              <w:t>58.0 [50.0, 67.0]</w:t>
            </w:r>
          </w:p>
        </w:tc>
        <w:tc>
          <w:tcPr>
            <w:tcW w:type="dxa" w:w="2170"/>
            <w:vAlign w:val="center"/>
          </w:tcPr>
          <w:p>
            <w:pPr>
              <w:spacing w:after="60" w:line="240" w:lineRule="auto"/>
            </w:pPr>
            <w:r>
              <w:rPr>
                <w:b w:val="0"/>
                <w:sz w:val="20"/>
              </w:rPr>
              <w:t>54.0 [48.0, 62.0]</w:t>
            </w:r>
          </w:p>
        </w:tc>
      </w:tr>
      <w:tr>
        <w:trPr>
          <w:cantSplit/>
        </w:trPr>
        <w:tc>
          <w:tcPr>
            <w:tcW w:type="dxa" w:w="3456"/>
            <w:vAlign w:val="center"/>
          </w:tcPr>
          <w:p>
            <w:pPr>
              <w:spacing w:after="60" w:line="240" w:lineRule="auto"/>
            </w:pPr>
            <w:r>
              <w:rPr>
                <w:b w:val="0"/>
                <w:sz w:val="20"/>
              </w:rPr>
              <w:t>Male sex at birth</w:t>
            </w:r>
          </w:p>
        </w:tc>
        <w:tc>
          <w:tcPr>
            <w:tcW w:type="dxa" w:w="2170"/>
            <w:vAlign w:val="center"/>
          </w:tcPr>
          <w:p>
            <w:pPr>
              <w:spacing w:after="60" w:line="240" w:lineRule="auto"/>
            </w:pPr>
            <w:r>
              <w:rPr>
                <w:b w:val="0"/>
                <w:sz w:val="20"/>
              </w:rPr>
              <w:t>132/182 (72.5%)</w:t>
            </w:r>
          </w:p>
        </w:tc>
        <w:tc>
          <w:tcPr>
            <w:tcW w:type="dxa" w:w="2170"/>
            <w:vAlign w:val="center"/>
          </w:tcPr>
          <w:p>
            <w:pPr>
              <w:spacing w:after="60" w:line="240" w:lineRule="auto"/>
            </w:pPr>
            <w:r>
              <w:rPr>
                <w:b w:val="0"/>
                <w:sz w:val="20"/>
              </w:rPr>
              <w:t>105/141 (74.5%)</w:t>
            </w:r>
          </w:p>
        </w:tc>
        <w:tc>
          <w:tcPr>
            <w:tcW w:type="dxa" w:w="2170"/>
            <w:vAlign w:val="center"/>
          </w:tcPr>
          <w:p>
            <w:pPr>
              <w:spacing w:after="60" w:line="240" w:lineRule="auto"/>
            </w:pPr>
            <w:r>
              <w:rPr>
                <w:b w:val="0"/>
                <w:sz w:val="20"/>
              </w:rPr>
              <w:t>27/41 (65.9%)</w:t>
            </w:r>
          </w:p>
        </w:tc>
      </w:tr>
      <w:tr>
        <w:trPr>
          <w:cantSplit/>
        </w:trPr>
        <w:tc>
          <w:tcPr>
            <w:tcW w:type="dxa" w:w="3456"/>
            <w:vAlign w:val="center"/>
          </w:tcPr>
          <w:p>
            <w:pPr>
              <w:spacing w:after="60" w:line="240" w:lineRule="auto"/>
            </w:pPr>
            <w:r>
              <w:rPr>
                <w:b w:val="0"/>
                <w:sz w:val="20"/>
              </w:rPr>
              <w:t>Tumor-labeled examinations</w:t>
            </w:r>
          </w:p>
        </w:tc>
        <w:tc>
          <w:tcPr>
            <w:tcW w:type="dxa" w:w="2170"/>
            <w:vAlign w:val="center"/>
          </w:tcPr>
          <w:p>
            <w:pPr>
              <w:spacing w:after="60" w:line="240" w:lineRule="auto"/>
            </w:pPr>
            <w:r>
              <w:rPr>
                <w:b w:val="0"/>
                <w:sz w:val="20"/>
              </w:rPr>
              <w:t>141/182 (77.5%)</w:t>
            </w:r>
          </w:p>
        </w:tc>
        <w:tc>
          <w:tcPr>
            <w:tcW w:type="dxa" w:w="2170"/>
            <w:vAlign w:val="center"/>
          </w:tcPr>
          <w:p>
            <w:pPr>
              <w:spacing w:after="60" w:line="240" w:lineRule="auto"/>
            </w:pPr>
            <w:r>
              <w:rPr>
                <w:b w:val="0"/>
                <w:sz w:val="20"/>
              </w:rPr>
              <w:t>141/141 (100.0%)</w:t>
            </w:r>
          </w:p>
        </w:tc>
        <w:tc>
          <w:tcPr>
            <w:tcW w:type="dxa" w:w="2170"/>
            <w:vAlign w:val="center"/>
          </w:tcPr>
          <w:p>
            <w:pPr>
              <w:spacing w:after="60" w:line="240" w:lineRule="auto"/>
            </w:pPr>
            <w:r>
              <w:rPr>
                <w:b w:val="0"/>
                <w:sz w:val="20"/>
              </w:rPr>
              <w:t>0/41 (0.0%)</w:t>
            </w:r>
          </w:p>
        </w:tc>
      </w:tr>
      <w:tr>
        <w:trPr>
          <w:cantSplit/>
        </w:trPr>
        <w:tc>
          <w:tcPr>
            <w:tcW w:type="dxa" w:w="3456"/>
            <w:vAlign w:val="center"/>
          </w:tcPr>
          <w:p>
            <w:pPr>
              <w:spacing w:after="60" w:line="240" w:lineRule="auto"/>
            </w:pPr>
            <w:r>
              <w:rPr>
                <w:b w:val="0"/>
                <w:sz w:val="20"/>
              </w:rPr>
              <w:t>Treatment-related-change examinations</w:t>
            </w:r>
          </w:p>
        </w:tc>
        <w:tc>
          <w:tcPr>
            <w:tcW w:type="dxa" w:w="2170"/>
            <w:vAlign w:val="center"/>
          </w:tcPr>
          <w:p>
            <w:pPr>
              <w:spacing w:after="60" w:line="240" w:lineRule="auto"/>
            </w:pPr>
            <w:r>
              <w:rPr>
                <w:b w:val="0"/>
                <w:sz w:val="20"/>
              </w:rPr>
              <w:t>41/182 (22.5%)</w:t>
            </w:r>
          </w:p>
        </w:tc>
        <w:tc>
          <w:tcPr>
            <w:tcW w:type="dxa" w:w="2170"/>
            <w:vAlign w:val="center"/>
          </w:tcPr>
          <w:p>
            <w:pPr>
              <w:spacing w:after="60" w:line="240" w:lineRule="auto"/>
            </w:pPr>
            <w:r>
              <w:rPr>
                <w:b w:val="0"/>
                <w:sz w:val="20"/>
              </w:rPr>
              <w:t>0/141 (0.0%)</w:t>
            </w:r>
          </w:p>
        </w:tc>
        <w:tc>
          <w:tcPr>
            <w:tcW w:type="dxa" w:w="2170"/>
            <w:vAlign w:val="center"/>
          </w:tcPr>
          <w:p>
            <w:pPr>
              <w:spacing w:after="60" w:line="240" w:lineRule="auto"/>
            </w:pPr>
            <w:r>
              <w:rPr>
                <w:b w:val="0"/>
                <w:sz w:val="20"/>
              </w:rPr>
              <w:t>41/41 (100.0%)</w:t>
            </w:r>
          </w:p>
        </w:tc>
      </w:tr>
      <w:tr>
        <w:trPr>
          <w:cantSplit/>
        </w:trPr>
        <w:tc>
          <w:tcPr>
            <w:tcW w:type="dxa" w:w="3456"/>
            <w:vAlign w:val="center"/>
          </w:tcPr>
          <w:p>
            <w:pPr>
              <w:spacing w:after="60" w:line="240" w:lineRule="auto"/>
            </w:pPr>
            <w:r>
              <w:rPr>
                <w:b w:val="0"/>
                <w:sz w:val="20"/>
              </w:rPr>
              <w:t>Days since initial event (known only)</w:t>
            </w:r>
          </w:p>
        </w:tc>
        <w:tc>
          <w:tcPr>
            <w:tcW w:type="dxa" w:w="2170"/>
            <w:vAlign w:val="center"/>
          </w:tcPr>
          <w:p>
            <w:pPr>
              <w:spacing w:after="60" w:line="240" w:lineRule="auto"/>
            </w:pPr>
            <w:r>
              <w:rPr>
                <w:b w:val="0"/>
                <w:sz w:val="20"/>
              </w:rPr>
              <w:t>154.0 [40.5, 359.5]</w:t>
            </w:r>
          </w:p>
        </w:tc>
        <w:tc>
          <w:tcPr>
            <w:tcW w:type="dxa" w:w="2170"/>
            <w:vAlign w:val="center"/>
          </w:tcPr>
          <w:p>
            <w:pPr>
              <w:spacing w:after="60" w:line="240" w:lineRule="auto"/>
            </w:pPr>
            <w:r>
              <w:rPr>
                <w:b w:val="0"/>
                <w:sz w:val="20"/>
              </w:rPr>
              <w:t>96.0 [36.0, 261.8]</w:t>
            </w:r>
          </w:p>
        </w:tc>
        <w:tc>
          <w:tcPr>
            <w:tcW w:type="dxa" w:w="2170"/>
            <w:vAlign w:val="center"/>
          </w:tcPr>
          <w:p>
            <w:pPr>
              <w:spacing w:after="60" w:line="240" w:lineRule="auto"/>
            </w:pPr>
            <w:r>
              <w:rPr>
                <w:b w:val="0"/>
                <w:sz w:val="20"/>
              </w:rPr>
              <w:t>346.0 [140.5, 563.2]</w:t>
            </w:r>
          </w:p>
        </w:tc>
      </w:tr>
      <w:tr>
        <w:trPr>
          <w:cantSplit/>
        </w:trPr>
        <w:tc>
          <w:tcPr>
            <w:tcW w:type="dxa" w:w="3456"/>
            <w:vAlign w:val="center"/>
          </w:tcPr>
          <w:p>
            <w:pPr>
              <w:spacing w:after="60" w:line="240" w:lineRule="auto"/>
            </w:pPr>
            <w:r>
              <w:rPr>
                <w:b w:val="0"/>
                <w:sz w:val="20"/>
              </w:rPr>
              <w:t>Known interval</w:t>
            </w:r>
          </w:p>
        </w:tc>
        <w:tc>
          <w:tcPr>
            <w:tcW w:type="dxa" w:w="2170"/>
            <w:vAlign w:val="center"/>
          </w:tcPr>
          <w:p>
            <w:pPr>
              <w:spacing w:after="60" w:line="240" w:lineRule="auto"/>
            </w:pPr>
            <w:r>
              <w:rPr>
                <w:b w:val="0"/>
                <w:sz w:val="20"/>
              </w:rPr>
              <w:t>146/182 (80.2%)</w:t>
            </w:r>
          </w:p>
        </w:tc>
        <w:tc>
          <w:tcPr>
            <w:tcW w:type="dxa" w:w="2170"/>
            <w:vAlign w:val="center"/>
          </w:tcPr>
          <w:p>
            <w:pPr>
              <w:spacing w:after="60" w:line="240" w:lineRule="auto"/>
            </w:pPr>
            <w:r>
              <w:rPr>
                <w:b w:val="0"/>
                <w:sz w:val="20"/>
              </w:rPr>
              <w:t>108/141 (76.6%)</w:t>
            </w:r>
          </w:p>
        </w:tc>
        <w:tc>
          <w:tcPr>
            <w:tcW w:type="dxa" w:w="2170"/>
            <w:vAlign w:val="center"/>
          </w:tcPr>
          <w:p>
            <w:pPr>
              <w:spacing w:after="60" w:line="240" w:lineRule="auto"/>
            </w:pPr>
            <w:r>
              <w:rPr>
                <w:b w:val="0"/>
                <w:sz w:val="20"/>
              </w:rPr>
              <w:t>38/41 (92.7%)</w:t>
            </w:r>
          </w:p>
        </w:tc>
      </w:tr>
      <w:tr>
        <w:trPr>
          <w:cantSplit/>
        </w:trPr>
        <w:tc>
          <w:tcPr>
            <w:tcW w:type="dxa" w:w="3456"/>
            <w:vAlign w:val="center"/>
          </w:tcPr>
          <w:p>
            <w:pPr>
              <w:spacing w:after="60" w:line="240" w:lineRule="auto"/>
            </w:pPr>
            <w:r>
              <w:rPr>
                <w:b w:val="0"/>
                <w:sz w:val="20"/>
              </w:rPr>
              <w:t>Missing interval</w:t>
            </w:r>
          </w:p>
        </w:tc>
        <w:tc>
          <w:tcPr>
            <w:tcW w:type="dxa" w:w="2170"/>
            <w:vAlign w:val="center"/>
          </w:tcPr>
          <w:p>
            <w:pPr>
              <w:spacing w:after="60" w:line="240" w:lineRule="auto"/>
            </w:pPr>
            <w:r>
              <w:rPr>
                <w:b w:val="0"/>
                <w:sz w:val="20"/>
              </w:rPr>
              <w:t>36/182 (19.8%)</w:t>
            </w:r>
          </w:p>
        </w:tc>
        <w:tc>
          <w:tcPr>
            <w:tcW w:type="dxa" w:w="2170"/>
            <w:vAlign w:val="center"/>
          </w:tcPr>
          <w:p>
            <w:pPr>
              <w:spacing w:after="60" w:line="240" w:lineRule="auto"/>
            </w:pPr>
            <w:r>
              <w:rPr>
                <w:b w:val="0"/>
                <w:sz w:val="20"/>
              </w:rPr>
              <w:t>33/141 (23.4%)</w:t>
            </w:r>
          </w:p>
        </w:tc>
        <w:tc>
          <w:tcPr>
            <w:tcW w:type="dxa" w:w="2170"/>
            <w:vAlign w:val="center"/>
          </w:tcPr>
          <w:p>
            <w:pPr>
              <w:spacing w:after="60" w:line="240" w:lineRule="auto"/>
            </w:pPr>
            <w:r>
              <w:rPr>
                <w:b w:val="0"/>
                <w:sz w:val="20"/>
              </w:rPr>
              <w:t>3/41 (7.3%)</w:t>
            </w:r>
          </w:p>
        </w:tc>
      </w:tr>
      <w:tr>
        <w:trPr>
          <w:cantSplit/>
        </w:trPr>
        <w:tc>
          <w:tcPr>
            <w:tcW w:type="dxa" w:w="3456"/>
            <w:vAlign w:val="center"/>
          </w:tcPr>
          <w:p>
            <w:pPr>
              <w:spacing w:after="60" w:line="240" w:lineRule="auto"/>
            </w:pPr>
            <w:r>
              <w:rPr>
                <w:b w:val="0"/>
                <w:sz w:val="20"/>
              </w:rPr>
              <w:t>Other treatment before imaging</w:t>
            </w:r>
          </w:p>
        </w:tc>
        <w:tc>
          <w:tcPr>
            <w:tcW w:type="dxa" w:w="2170"/>
            <w:vAlign w:val="center"/>
          </w:tcPr>
          <w:p>
            <w:pPr>
              <w:spacing w:after="60" w:line="240" w:lineRule="auto"/>
            </w:pPr>
            <w:r>
              <w:rPr>
                <w:b w:val="0"/>
                <w:sz w:val="20"/>
              </w:rPr>
              <w:t>25/182 (13.7%)</w:t>
            </w:r>
          </w:p>
        </w:tc>
        <w:tc>
          <w:tcPr>
            <w:tcW w:type="dxa" w:w="2170"/>
            <w:vAlign w:val="center"/>
          </w:tcPr>
          <w:p>
            <w:pPr>
              <w:spacing w:after="60" w:line="240" w:lineRule="auto"/>
            </w:pPr>
            <w:r>
              <w:rPr>
                <w:b w:val="0"/>
                <w:sz w:val="20"/>
              </w:rPr>
              <w:t>20/141 (14.2%)</w:t>
            </w:r>
          </w:p>
        </w:tc>
        <w:tc>
          <w:tcPr>
            <w:tcW w:type="dxa" w:w="2170"/>
            <w:vAlign w:val="center"/>
          </w:tcPr>
          <w:p>
            <w:pPr>
              <w:spacing w:after="60" w:line="240" w:lineRule="auto"/>
            </w:pPr>
            <w:r>
              <w:rPr>
                <w:b w:val="0"/>
                <w:sz w:val="20"/>
              </w:rPr>
              <w:t>5/41 (12.2%)</w:t>
            </w:r>
          </w:p>
        </w:tc>
      </w:tr>
    </w:tbl>
    <w:p>
      <w:pPr>
        <w:keepNext w:val="0"/>
        <w:suppressLineNumbers/>
      </w:pPr>
      <w:r>
        <w:rPr>
          <w:sz w:val="20"/>
        </w:rPr>
        <w:t>Values are counts or n/N (%), except continuous variables, which are median [Q1, Q3]. Percentages use the examination count in each column. Q1 and Q3 denote the first and third quartiles.</w:t>
      </w:r>
    </w:p>
    <w:p>
      <w:pPr>
        <w:keepNext w:val="0"/>
        <w:suppressLineNumbers/>
      </w:pPr>
      <w:r>
        <w:rPr>
          <w:sz w:val="20"/>
        </w:rPr>
        <w:t>Source-patient counts are deduplicated within each column; eight patients contributed examinations to both diagnostic categories. The initial event denotes the recorded initial surgery, treatment or diagnosis, not a uniform radiotherapy date. Interval summaries use known values without imputation.</w:t>
      </w:r>
    </w:p>
    <w:p>
      <w:pPr>
        <w:sectPr>
          <w:pgSz w:w="12240" w:h="15840"/>
          <w:pgMar w:top="1138" w:right="1138" w:bottom="1138" w:left="1138" w:header="504" w:footer="504" w:gutter="0"/>
          <w:cols w:space="720"/>
          <w:docGrid w:linePitch="360"/>
        </w:sectPr>
        <w:suppressLineNumbers/>
      </w:pPr>
    </w:p>
    <w:p>
      <w:pPr>
        <w:pStyle w:val="Heading2"/>
        <w:suppressLineNumbers/>
      </w:pPr>
      <w:r>
        <w:t>Table 2. Performance of the four fixed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M0</w:t>
            </w:r>
          </w:p>
        </w:tc>
        <w:tc>
          <w:tcPr>
            <w:tcW w:type="dxa" w:w="2005"/>
            <w:vAlign w:val="center"/>
          </w:tcPr>
          <w:p>
            <w:pPr>
              <w:spacing w:after="60" w:line="240" w:lineRule="auto"/>
            </w:pPr>
            <w:r>
              <w:rPr>
                <w:b w:val="0"/>
                <w:sz w:val="20"/>
              </w:rPr>
              <w:t>0.526 [0.404, 0.644]</w:t>
            </w:r>
          </w:p>
        </w:tc>
        <w:tc>
          <w:tcPr>
            <w:tcW w:type="dxa" w:w="2005"/>
            <w:vAlign w:val="center"/>
          </w:tcPr>
          <w:p>
            <w:pPr>
              <w:spacing w:after="60" w:line="240" w:lineRule="auto"/>
            </w:pPr>
            <w:r>
              <w:rPr>
                <w:b w:val="0"/>
                <w:sz w:val="20"/>
              </w:rPr>
              <w:t>0.177</w:t>
            </w:r>
          </w:p>
        </w:tc>
        <w:tc>
          <w:tcPr>
            <w:tcW w:type="dxa" w:w="2005"/>
            <w:vAlign w:val="center"/>
          </w:tcPr>
          <w:p>
            <w:pPr>
              <w:spacing w:after="60" w:line="240" w:lineRule="auto"/>
            </w:pPr>
            <w:r>
              <w:rPr>
                <w:b w:val="0"/>
                <w:sz w:val="20"/>
              </w:rPr>
              <w:t>0.261</w:t>
            </w:r>
          </w:p>
        </w:tc>
        <w:tc>
          <w:tcPr>
            <w:tcW w:type="dxa" w:w="2005"/>
            <w:vAlign w:val="center"/>
          </w:tcPr>
          <w:p>
            <w:pPr>
              <w:spacing w:after="60" w:line="240" w:lineRule="auto"/>
            </w:pPr>
            <w:r>
              <w:rPr>
                <w:b w:val="0"/>
                <w:sz w:val="20"/>
              </w:rPr>
              <w:t>0/41</w:t>
            </w:r>
          </w:p>
        </w:tc>
      </w:tr>
      <w:tr>
        <w:trPr>
          <w:cantSplit/>
        </w:trPr>
        <w:tc>
          <w:tcPr>
            <w:tcW w:type="dxa" w:w="1944"/>
            <w:vAlign w:val="center"/>
          </w:tcPr>
          <w:p>
            <w:pPr>
              <w:spacing w:after="60" w:line="240" w:lineRule="auto"/>
            </w:pPr>
            <w:r>
              <w:rPr>
                <w:b w:val="0"/>
                <w:sz w:val="20"/>
              </w:rPr>
              <w:t>M1</w:t>
            </w:r>
          </w:p>
        </w:tc>
        <w:tc>
          <w:tcPr>
            <w:tcW w:type="dxa" w:w="2005"/>
            <w:vAlign w:val="center"/>
          </w:tcPr>
          <w:p>
            <w:pPr>
              <w:spacing w:after="60" w:line="240" w:lineRule="auto"/>
            </w:pPr>
            <w:r>
              <w:rPr>
                <w:b w:val="0"/>
                <w:sz w:val="20"/>
              </w:rPr>
              <w:t>0.672 [0.553, 0.778]</w:t>
            </w:r>
          </w:p>
        </w:tc>
        <w:tc>
          <w:tcPr>
            <w:tcW w:type="dxa" w:w="2005"/>
            <w:vAlign w:val="center"/>
          </w:tcPr>
          <w:p>
            <w:pPr>
              <w:spacing w:after="60" w:line="240" w:lineRule="auto"/>
            </w:pPr>
            <w:r>
              <w:rPr>
                <w:b w:val="0"/>
                <w:sz w:val="20"/>
              </w:rPr>
              <w:t>0.163</w:t>
            </w:r>
          </w:p>
        </w:tc>
        <w:tc>
          <w:tcPr>
            <w:tcW w:type="dxa" w:w="2005"/>
            <w:vAlign w:val="center"/>
          </w:tcPr>
          <w:p>
            <w:pPr>
              <w:spacing w:after="60" w:line="240" w:lineRule="auto"/>
            </w:pPr>
            <w:r>
              <w:rPr>
                <w:b w:val="0"/>
                <w:sz w:val="20"/>
              </w:rPr>
              <w:t>0.354</w:t>
            </w:r>
          </w:p>
        </w:tc>
        <w:tc>
          <w:tcPr>
            <w:tcW w:type="dxa" w:w="2005"/>
            <w:vAlign w:val="center"/>
          </w:tcPr>
          <w:p>
            <w:pPr>
              <w:spacing w:after="60" w:line="240" w:lineRule="auto"/>
            </w:pPr>
            <w:r>
              <w:rPr>
                <w:b w:val="0"/>
                <w:sz w:val="20"/>
              </w:rPr>
              <w:t>2/41</w:t>
            </w:r>
          </w:p>
        </w:tc>
      </w:tr>
      <w:tr>
        <w:trPr>
          <w:cantSplit/>
        </w:trPr>
        <w:tc>
          <w:tcPr>
            <w:tcW w:type="dxa" w:w="1944"/>
            <w:vAlign w:val="center"/>
          </w:tcPr>
          <w:p>
            <w:pPr>
              <w:spacing w:after="60" w:line="240" w:lineRule="auto"/>
            </w:pPr>
            <w:r>
              <w:rPr>
                <w:b w:val="0"/>
                <w:sz w:val="20"/>
              </w:rPr>
              <w:t>MRI</w:t>
            </w:r>
          </w:p>
        </w:tc>
        <w:tc>
          <w:tcPr>
            <w:tcW w:type="dxa" w:w="2005"/>
            <w:vAlign w:val="center"/>
          </w:tcPr>
          <w:p>
            <w:pPr>
              <w:spacing w:after="60" w:line="240" w:lineRule="auto"/>
            </w:pPr>
            <w:r>
              <w:rPr>
                <w:b w:val="0"/>
                <w:sz w:val="20"/>
              </w:rPr>
              <w:t>0.762 [0.683, 0.838]</w:t>
            </w:r>
          </w:p>
        </w:tc>
        <w:tc>
          <w:tcPr>
            <w:tcW w:type="dxa" w:w="2005"/>
            <w:vAlign w:val="center"/>
          </w:tcPr>
          <w:p>
            <w:pPr>
              <w:spacing w:after="60" w:line="240" w:lineRule="auto"/>
            </w:pPr>
            <w:r>
              <w:rPr>
                <w:b w:val="0"/>
                <w:sz w:val="20"/>
              </w:rPr>
              <w:t>0.151</w:t>
            </w:r>
          </w:p>
        </w:tc>
        <w:tc>
          <w:tcPr>
            <w:tcW w:type="dxa" w:w="2005"/>
            <w:vAlign w:val="center"/>
          </w:tcPr>
          <w:p>
            <w:pPr>
              <w:spacing w:after="60" w:line="240" w:lineRule="auto"/>
            </w:pPr>
            <w:r>
              <w:rPr>
                <w:b w:val="0"/>
                <w:sz w:val="20"/>
              </w:rPr>
              <w:t>0.444</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Fusion</w:t>
            </w:r>
          </w:p>
        </w:tc>
        <w:tc>
          <w:tcPr>
            <w:tcW w:type="dxa" w:w="2005"/>
            <w:vAlign w:val="center"/>
          </w:tcPr>
          <w:p>
            <w:pPr>
              <w:spacing w:after="60" w:line="240" w:lineRule="auto"/>
            </w:pPr>
            <w:r>
              <w:rPr>
                <w:b w:val="0"/>
                <w:sz w:val="20"/>
              </w:rPr>
              <w:t>0.782 [0.698, 0.859]</w:t>
            </w:r>
          </w:p>
        </w:tc>
        <w:tc>
          <w:tcPr>
            <w:tcW w:type="dxa" w:w="2005"/>
            <w:vAlign w:val="center"/>
          </w:tcPr>
          <w:p>
            <w:pPr>
              <w:spacing w:after="60" w:line="240" w:lineRule="auto"/>
            </w:pPr>
            <w:r>
              <w:rPr>
                <w:b w:val="0"/>
                <w:sz w:val="20"/>
              </w:rPr>
              <w:t>0.144</w:t>
            </w:r>
          </w:p>
        </w:tc>
        <w:tc>
          <w:tcPr>
            <w:tcW w:type="dxa" w:w="2005"/>
            <w:vAlign w:val="center"/>
          </w:tcPr>
          <w:p>
            <w:pPr>
              <w:spacing w:after="60" w:line="240" w:lineRule="auto"/>
            </w:pPr>
            <w:r>
              <w:rPr>
                <w:b w:val="0"/>
                <w:sz w:val="20"/>
              </w:rPr>
              <w:t>0.505</w:t>
            </w:r>
          </w:p>
        </w:tc>
        <w:tc>
          <w:tcPr>
            <w:tcW w:type="dxa" w:w="2005"/>
            <w:vAlign w:val="center"/>
          </w:tcPr>
          <w:p>
            <w:pPr>
              <w:spacing w:after="60" w:line="240" w:lineRule="auto"/>
            </w:pPr>
            <w:r>
              <w:rPr>
                <w:b w:val="0"/>
                <w:sz w:val="20"/>
              </w:rPr>
              <w:t>12/41</w:t>
            </w:r>
          </w:p>
        </w:tc>
      </w:tr>
    </w:tbl>
    <w:p>
      <w:pPr>
        <w:keepNext w:val="0"/>
        <w:suppressLineNumbers/>
      </w:pPr>
      <w:r>
        <w:rPr>
          <w:sz w:val="20"/>
        </w:rPr>
        <w:t>M0: age and sex; M1: expanded clinical inputs; MRI: eight MRI features; Fusion: clinical and MRI inputs. All models used the same 182 examinations and patient-grouped five-fold partition.</w:t>
      </w:r>
    </w:p>
    <w:p>
      <w:pPr>
        <w:keepNext w:val="0"/>
        <w:suppressLineNumbers/>
      </w:pPr>
      <w:r>
        <w:rPr>
          <w:sz w:val="20"/>
        </w:rPr>
        <w:t>AUC intervals are the 2.5th and 97.5th percentiles of 2000 paired patient-cluster bootstrap attempts using fixed OOF probabilities without refitting. They do not capture full retraining or partition variability.</w:t>
      </w:r>
    </w:p>
    <w:p>
      <w:pPr>
        <w:keepNext w:val="0"/>
        <w:suppressLineNumbers/>
      </w:pPr>
      <w:r>
        <w:rPr>
          <w:sz w:val="20"/>
        </w:rPr>
        <w:t>AP is average precision for treatment-related change, scored by one minus the tumor probability; its prevalence is 41/182 (0.225). Lower Brier scores indicate smaller probability error. Correct treatment-change counts use tumor probability below 0.5. Displayed metrics are rounded to three decimals; the accompanying CSV retains the original precision.</w:t>
      </w:r>
    </w:p>
    <w:p>
      <w:pPr>
        <w:sectPr>
          <w:pgSz w:w="12240" w:h="15840"/>
          <w:pgMar w:top="1138" w:right="1138" w:bottom="1138" w:left="1138" w:header="504" w:footer="504" w:gutter="0"/>
          <w:cols w:space="720"/>
          <w:docGrid w:linePitch="360"/>
        </w:sectPr>
        <w:suppressLineNumbers/>
      </w:pPr>
    </w:p>
    <w:p>
      <w:pPr>
        <w:pStyle w:val="Heading2"/>
        <w:suppressLineNumbers/>
      </w:pPr>
      <w:r>
        <w:t>Table 3. Paired incremental performance of Fusion versus M1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Metric</w:t>
            </w:r>
          </w:p>
        </w:tc>
        <w:tc>
          <w:tcPr>
            <w:tcW w:type="dxa" w:w="2170"/>
            <w:vAlign w:val="center"/>
            <w:shd w:fill="EEEEEE"/>
          </w:tcPr>
          <w:p>
            <w:pPr>
              <w:spacing w:after="60" w:line="240" w:lineRule="auto"/>
            </w:pPr>
            <w:r>
              <w:rPr>
                <w:b/>
                <w:sz w:val="20"/>
              </w:rPr>
              <w:t>Fusion minus M1</w:t>
            </w:r>
          </w:p>
        </w:tc>
        <w:tc>
          <w:tcPr>
            <w:tcW w:type="dxa" w:w="2170"/>
            <w:vAlign w:val="center"/>
            <w:shd w:fill="EEEEEE"/>
          </w:tcPr>
          <w:p>
            <w:pPr>
              <w:spacing w:after="60" w:line="240" w:lineRule="auto"/>
            </w:pPr>
            <w:r>
              <w:rPr>
                <w:b/>
                <w:sz w:val="20"/>
              </w:rPr>
              <w:t>95% paired interval</w:t>
            </w:r>
          </w:p>
        </w:tc>
        <w:tc>
          <w:tcPr>
            <w:tcW w:type="dxa" w:w="2170"/>
            <w:vAlign w:val="center"/>
            <w:shd w:fill="EEEEEE"/>
          </w:tcPr>
          <w:p>
            <w:pPr>
              <w:spacing w:after="60" w:line="240" w:lineRule="auto"/>
            </w:pPr>
            <w:r>
              <w:rPr>
                <w:b/>
                <w:sz w:val="20"/>
              </w:rPr>
              <w:t>Role</w:t>
            </w:r>
          </w:p>
        </w:tc>
      </w:tr>
      <w:tr>
        <w:trPr>
          <w:cantSplit/>
        </w:trPr>
        <w:tc>
          <w:tcPr>
            <w:tcW w:type="dxa" w:w="3456"/>
            <w:vAlign w:val="center"/>
          </w:tcPr>
          <w:p>
            <w:pPr>
              <w:spacing w:after="60" w:line="240" w:lineRule="auto"/>
            </w:pPr>
            <w:r>
              <w:rPr>
                <w:b w:val="0"/>
                <w:sz w:val="20"/>
              </w:rPr>
              <w:t>ROC AUC</w:t>
            </w:r>
          </w:p>
        </w:tc>
        <w:tc>
          <w:tcPr>
            <w:tcW w:type="dxa" w:w="2170"/>
            <w:vAlign w:val="center"/>
          </w:tcPr>
          <w:p>
            <w:pPr>
              <w:spacing w:after="60" w:line="240" w:lineRule="auto"/>
            </w:pPr>
            <w:r>
              <w:rPr>
                <w:b w:val="0"/>
                <w:sz w:val="20"/>
              </w:rPr>
              <w:t>+0.110</w:t>
            </w:r>
          </w:p>
        </w:tc>
        <w:tc>
          <w:tcPr>
            <w:tcW w:type="dxa" w:w="2170"/>
            <w:vAlign w:val="center"/>
          </w:tcPr>
          <w:p>
            <w:pPr>
              <w:spacing w:after="60" w:line="240" w:lineRule="auto"/>
            </w:pPr>
            <w:r>
              <w:rPr>
                <w:b w:val="0"/>
                <w:sz w:val="20"/>
              </w:rPr>
              <w:t>[0.021, 0.214]</w:t>
            </w:r>
          </w:p>
        </w:tc>
        <w:tc>
          <w:tcPr>
            <w:tcW w:type="dxa" w:w="2170"/>
            <w:vAlign w:val="center"/>
          </w:tcPr>
          <w:p>
            <w:pPr>
              <w:spacing w:after="60" w:line="240" w:lineRule="auto"/>
            </w:pPr>
            <w:r>
              <w:rPr>
                <w:b w:val="0"/>
                <w:sz w:val="20"/>
              </w:rPr>
              <w:t>Primary</w:t>
            </w:r>
          </w:p>
        </w:tc>
      </w:tr>
      <w:tr>
        <w:trPr>
          <w:cantSplit/>
        </w:trPr>
        <w:tc>
          <w:tcPr>
            <w:tcW w:type="dxa" w:w="3456"/>
            <w:vAlign w:val="center"/>
          </w:tcPr>
          <w:p>
            <w:pPr>
              <w:spacing w:after="60" w:line="240" w:lineRule="auto"/>
            </w:pPr>
            <w:r>
              <w:rPr>
                <w:b w:val="0"/>
                <w:sz w:val="20"/>
              </w:rPr>
              <w:t>Treatment-related-change AP</w:t>
            </w:r>
          </w:p>
        </w:tc>
        <w:tc>
          <w:tcPr>
            <w:tcW w:type="dxa" w:w="2170"/>
            <w:vAlign w:val="center"/>
          </w:tcPr>
          <w:p>
            <w:pPr>
              <w:spacing w:after="60" w:line="240" w:lineRule="auto"/>
            </w:pPr>
            <w:r>
              <w:rPr>
                <w:b w:val="0"/>
                <w:sz w:val="20"/>
              </w:rPr>
              <w:t>+0.152</w:t>
            </w:r>
          </w:p>
        </w:tc>
        <w:tc>
          <w:tcPr>
            <w:tcW w:type="dxa" w:w="2170"/>
            <w:vAlign w:val="center"/>
          </w:tcPr>
          <w:p>
            <w:pPr>
              <w:spacing w:after="60" w:line="240" w:lineRule="auto"/>
            </w:pPr>
            <w:r>
              <w:rPr>
                <w:b w:val="0"/>
                <w:sz w:val="20"/>
              </w:rPr>
              <w:t>[0.026, 0.268]</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Brier score</w:t>
            </w:r>
          </w:p>
        </w:tc>
        <w:tc>
          <w:tcPr>
            <w:tcW w:type="dxa" w:w="2170"/>
            <w:vAlign w:val="center"/>
          </w:tcPr>
          <w:p>
            <w:pPr>
              <w:spacing w:after="60" w:line="240" w:lineRule="auto"/>
            </w:pPr>
            <w:r>
              <w:rPr>
                <w:b w:val="0"/>
                <w:sz w:val="20"/>
              </w:rPr>
              <w:t>-0.019</w:t>
            </w:r>
          </w:p>
        </w:tc>
        <w:tc>
          <w:tcPr>
            <w:tcW w:type="dxa" w:w="2170"/>
            <w:vAlign w:val="center"/>
          </w:tcPr>
          <w:p>
            <w:pPr>
              <w:spacing w:after="60" w:line="240" w:lineRule="auto"/>
            </w:pPr>
            <w:r>
              <w:rPr>
                <w:b w:val="0"/>
                <w:sz w:val="20"/>
              </w:rPr>
              <w:t>[-0.040, 0.002]</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Logarithmic loss</w:t>
            </w:r>
          </w:p>
        </w:tc>
        <w:tc>
          <w:tcPr>
            <w:tcW w:type="dxa" w:w="2170"/>
            <w:vAlign w:val="center"/>
          </w:tcPr>
          <w:p>
            <w:pPr>
              <w:spacing w:after="60" w:line="240" w:lineRule="auto"/>
            </w:pPr>
            <w:r>
              <w:rPr>
                <w:b w:val="0"/>
                <w:sz w:val="20"/>
              </w:rPr>
              <w:t>-0.037</w:t>
            </w:r>
          </w:p>
        </w:tc>
        <w:tc>
          <w:tcPr>
            <w:tcW w:type="dxa" w:w="2170"/>
            <w:vAlign w:val="center"/>
          </w:tcPr>
          <w:p>
            <w:pPr>
              <w:spacing w:after="60" w:line="240" w:lineRule="auto"/>
            </w:pPr>
            <w:r>
              <w:rPr>
                <w:b w:val="0"/>
                <w:sz w:val="20"/>
              </w:rPr>
              <w:t>[-0.107, 0.039]</w:t>
            </w:r>
          </w:p>
        </w:tc>
        <w:tc>
          <w:tcPr>
            <w:tcW w:type="dxa" w:w="2170"/>
            <w:vAlign w:val="center"/>
          </w:tcPr>
          <w:p>
            <w:pPr>
              <w:spacing w:after="60" w:line="240" w:lineRule="auto"/>
            </w:pPr>
            <w:r>
              <w:rPr>
                <w:b w:val="0"/>
                <w:sz w:val="20"/>
              </w:rPr>
              <w:t>Auxiliary</w:t>
            </w:r>
          </w:p>
        </w:tc>
      </w:tr>
    </w:tbl>
    <w:p>
      <w:pPr>
        <w:keepNext w:val="0"/>
        <w:suppressLineNumbers/>
      </w:pPr>
      <w:r>
        <w:rPr>
          <w:sz w:val="20"/>
        </w:rPr>
        <w:t>All differences are Fusion minus M1 on the same 182 examinations from 135 patients. Positive AUC or AP differences favor Fusion; negative Brier-score or logarithmic-loss differences favor Fusion.</w:t>
      </w:r>
    </w:p>
    <w:p>
      <w:pPr>
        <w:keepNext w:val="0"/>
        <w:suppressLineNumbers/>
      </w:pPr>
      <w:r>
        <w:rPr>
          <w:sz w:val="20"/>
        </w:rPr>
        <w:t>Intervals are the 2.5th and 97.5th percentiles of 2000 paired patient-cluster bootstrap attempts. Both models use identical resampled groups and fixed OOF probabilities without refitting. The intervals do not include full retraining or partition variability.</w:t>
      </w:r>
    </w:p>
    <w:p>
      <w:pPr>
        <w:keepNext w:val="0"/>
        <w:suppressLineNumbers/>
      </w:pPr>
      <w:r>
        <w:rPr>
          <w:sz w:val="20"/>
        </w:rPr>
        <w:t>ROC AUC is the sole primary incremental metric; other metrics are auxiliary summaries. AP denotes average precision for treatment-related change. Differences are calculated from unrounded metrics and displayed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Figure 1</w:t>
      </w:r>
    </w:p>
    <w:p>
      <w:pPr>
        <w:suppressLineNumbers/>
      </w:pPr>
      <w:r>
        <w:drawing>
          <wp:inline xmlns:a="http://schemas.openxmlformats.org/drawingml/2006/main" xmlns:pic="http://schemas.openxmlformats.org/drawingml/2006/picture">
            <wp:extent cx="6217920" cy="5440680"/>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10"/>
                    <a:stretch>
                      <a:fillRect/>
                    </a:stretch>
                  </pic:blipFill>
                  <pic:spPr>
                    <a:xfrm>
                      <a:off x="0" y="0"/>
                      <a:ext cx="6217920" cy="5440680"/>
                    </a:xfrm>
                    <a:prstGeom prst="rect"/>
                  </pic:spPr>
                </pic:pic>
              </a:graphicData>
            </a:graphic>
          </wp:inline>
        </w:drawing>
      </w:r>
    </w:p>
    <w:p>
      <w:pPr>
        <w:keepNext w:val="0"/>
        <w:keepLines/>
        <w:suppressLineNumbers/>
      </w:pPr>
      <w:r>
        <w:rPr>
          <w:sz w:val="21"/>
        </w:rPr>
        <w:t>Figure 1. Cohort assembly and analysis populations. Counts refer to examinations and source patients. After identifier quarantine, the imaging cohort included 182 examinations from 135 patients. The one-scan-per-patient sensitivity analysis selected the smallest available session number within this imaging cohort. It does not necessarily represent the first examination in the clinical course.</w:t>
      </w:r>
    </w:p>
    <w:p>
      <w:pPr>
        <w:sectPr>
          <w:pgSz w:w="12240" w:h="15840"/>
          <w:pgMar w:top="1138" w:right="1138" w:bottom="1138" w:left="1138" w:header="504" w:footer="504" w:gutter="0"/>
          <w:cols w:space="720"/>
          <w:docGrid w:linePitch="360"/>
        </w:sectPr>
        <w:suppressLineNumbers/>
      </w:pPr>
    </w:p>
    <w:p>
      <w:pPr>
        <w:pStyle w:val="Heading2"/>
        <w:suppressLineNumbers/>
      </w:pPr>
      <w:r>
        <w:t>Figure 2</w:t>
      </w:r>
    </w:p>
    <w:p>
      <w:pPr>
        <w:suppressLineNumbers/>
      </w:pPr>
      <w:r>
        <w:drawing>
          <wp:inline xmlns:a="http://schemas.openxmlformats.org/drawingml/2006/main" xmlns:pic="http://schemas.openxmlformats.org/drawingml/2006/picture">
            <wp:extent cx="8412480" cy="2691994"/>
            <wp:docPr id="2" name="Picture 2"/>
            <wp:cNvGraphicFramePr>
              <a:graphicFrameLocks noChangeAspect="1"/>
            </wp:cNvGraphicFramePr>
            <a:graphic>
              <a:graphicData uri="http://schemas.openxmlformats.org/drawingml/2006/picture">
                <pic:pic>
                  <pic:nvPicPr>
                    <pic:cNvPr id="0" name="Figure2_Main_Comparison.png"/>
                    <pic:cNvPicPr/>
                  </pic:nvPicPr>
                  <pic:blipFill>
                    <a:blip r:embed="rId11"/>
                    <a:stretch>
                      <a:fillRect/>
                    </a:stretch>
                  </pic:blipFill>
                  <pic:spPr>
                    <a:xfrm>
                      <a:off x="0" y="0"/>
                      <a:ext cx="8412480" cy="2691994"/>
                    </a:xfrm>
                    <a:prstGeom prst="rect"/>
                  </pic:spPr>
                </pic:pic>
              </a:graphicData>
            </a:graphic>
          </wp:inline>
        </w:drawing>
      </w:r>
    </w:p>
    <w:p>
      <w:pPr>
        <w:keepNext w:val="0"/>
        <w:keepLines/>
        <w:suppressLineNumbers/>
      </w:pPr>
      <w:r>
        <w:rPr>
          <w:sz w:val="21"/>
        </w:rPr>
        <w:t>Figure 2. Internal validation of the four fixed models in 182 examinations from 135 patients. A, ROC curves based on pooled patient-grouped OOF probabilities. B, Precision-recall curves for treatment-related change; the dashed horizontal line marks its examination-level prevalence. AP denotes average precision. C, Descriptive calibration using predicted-probability quantile groups, with mean predicted tumor probability plotted against observed tumor proportion. The diagonal line in A is a reference for nondiscrimination and in C for agreement. Calibration summaries were not used to recalibrate the evaluated probabilities.</w:t>
      </w:r>
    </w:p>
    <w:p>
      <w:pPr>
        <w:sectPr>
          <w:pgSz w:w="15840" w:h="12240" w:orient="landscape"/>
          <w:pgMar w:top="1138" w:right="1138" w:bottom="1138" w:left="1138" w:header="504" w:footer="504" w:gutter="0"/>
          <w:cols w:space="720"/>
          <w:docGrid w:linePitch="360"/>
        </w:sectPr>
        <w:suppressLineNumbers/>
      </w:pPr>
    </w:p>
    <w:p>
      <w:pPr>
        <w:pStyle w:val="Heading2"/>
        <w:suppressLineNumbers/>
      </w:pPr>
      <w:r>
        <w:t>Figure 3</w:t>
      </w:r>
    </w:p>
    <w:p>
      <w:pPr>
        <w:suppressLineNumbers/>
      </w:pPr>
      <w:r>
        <w:drawing>
          <wp:inline xmlns:a="http://schemas.openxmlformats.org/drawingml/2006/main" xmlns:pic="http://schemas.openxmlformats.org/drawingml/2006/picture">
            <wp:extent cx="8412480" cy="3364992"/>
            <wp:docPr id="3" name="Picture 3"/>
            <wp:cNvGraphicFramePr>
              <a:graphicFrameLocks noChangeAspect="1"/>
            </wp:cNvGraphicFramePr>
            <a:graphic>
              <a:graphicData uri="http://schemas.openxmlformats.org/drawingml/2006/picture">
                <pic:pic>
                  <pic:nvPicPr>
                    <pic:cNvPr id="0" name="Figure3_Repeat_Stability.png"/>
                    <pic:cNvPicPr/>
                  </pic:nvPicPr>
                  <pic:blipFill>
                    <a:blip r:embed="rId12"/>
                    <a:stretch>
                      <a:fillRect/>
                    </a:stretch>
                  </pic:blipFill>
                  <pic:spPr>
                    <a:xfrm>
                      <a:off x="0" y="0"/>
                      <a:ext cx="8412480" cy="3364992"/>
                    </a:xfrm>
                    <a:prstGeom prst="rect"/>
                  </pic:spPr>
                </pic:pic>
              </a:graphicData>
            </a:graphic>
          </wp:inline>
        </w:drawing>
      </w:r>
    </w:p>
    <w:p>
      <w:pPr>
        <w:keepNext w:val="0"/>
        <w:keepLines/>
        <w:suppressLineNumbers/>
      </w:pPr>
      <w:r>
        <w:rPr>
          <w:sz w:val="21"/>
        </w:rPr>
        <w:t>Figure 3. Sensitivity to 20 prespecified patient-grouped five-fold partitions. A, Pooled OOF AUC for each of the four fixed models within each repetition. B, Fusion-minus-M1 AUC differences calculated within the corresponding repetition; the dashed line marks zero. All repetitions reused the same 182 examinations from 135 patients. The repetitions are not independent validation cohorts, and their distribution does not define a confidence interval. Repetition 1 reproduces the primary partition. The highest AUC was not used to select a replacement analysis.</w:t>
      </w:r>
    </w:p>
    <w:sectPr w:rsidR="00FC693F" w:rsidRPr="0006063C" w:rsidSect="00034616">
      <w:pgSz w:w="15840" w:h="12240" w:orient="landscape"/>
      <w:pgMar w:top="1138" w:right="1138" w:bottom="1138"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0" w:lineRule="auto"/>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40" w:lineRule="auto"/>
      <w:outlineLvl w:val="1"/>
    </w:pPr>
    <w:rPr>
      <w:rFonts w:ascii="Times New Roman" w:hAnsi="Times New Roman" w:eastAsia="Noto Serif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Clinical-MRI Feature Fusion for Distinguishing Residual or Recurrent Tumor from Treatment-Related Changes after Glioma Treatment: A Public-Data Internal Validation Study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