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Table S1. Clinical characteristics by imaging coverage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2170"/>
        <w:gridCol w:w="2170"/>
        <w:gridCol w:w="2170"/>
      </w:tblGrid>
      <w:tr>
        <w:trPr>
          <w:cantSplit/>
          <w:tblHeader/>
        </w:trPr>
        <w:tc>
          <w:tcPr>
            <w:tcW w:type="dxa" w:w="3456"/>
            <w:vAlign w:val="center"/>
            <w:shd w:fill="EEEEEE"/>
          </w:tcPr>
          <w:p>
            <w:pPr>
              <w:spacing w:after="60" w:line="240" w:lineRule="auto"/>
            </w:pPr>
            <w:r>
              <w:rPr>
                <w:b/>
                <w:sz w:val="20"/>
              </w:rPr>
              <w:t>Characteristic</w:t>
            </w:r>
          </w:p>
        </w:tc>
        <w:tc>
          <w:tcPr>
            <w:tcW w:type="dxa" w:w="2170"/>
            <w:vAlign w:val="center"/>
            <w:shd w:fill="EEEEEE"/>
          </w:tcPr>
          <w:p>
            <w:pPr>
              <w:spacing w:after="60" w:line="240" w:lineRule="auto"/>
            </w:pPr>
            <w:r>
              <w:rPr>
                <w:b/>
                <w:sz w:val="20"/>
              </w:rPr>
              <w:t>Retained clinical cohort</w:t>
            </w:r>
          </w:p>
        </w:tc>
        <w:tc>
          <w:tcPr>
            <w:tcW w:type="dxa" w:w="2170"/>
            <w:vAlign w:val="center"/>
            <w:shd w:fill="EEEEEE"/>
          </w:tcPr>
          <w:p>
            <w:pPr>
              <w:spacing w:after="60" w:line="240" w:lineRule="auto"/>
            </w:pPr>
            <w:r>
              <w:rPr>
                <w:b/>
                <w:sz w:val="20"/>
              </w:rPr>
              <w:t>Imaging coverage</w:t>
            </w:r>
          </w:p>
        </w:tc>
        <w:tc>
          <w:tcPr>
            <w:tcW w:type="dxa" w:w="2170"/>
            <w:vAlign w:val="center"/>
            <w:shd w:fill="EEEEEE"/>
          </w:tcPr>
          <w:p>
            <w:pPr>
              <w:spacing w:after="60" w:line="240" w:lineRule="auto"/>
            </w:pPr>
            <w:r>
              <w:rPr>
                <w:b/>
                <w:sz w:val="20"/>
              </w:rPr>
              <w:t>No imaging coverage</w:t>
            </w:r>
          </w:p>
        </w:tc>
      </w:tr>
      <w:tr>
        <w:trPr>
          <w:cantSplit/>
        </w:trPr>
        <w:tc>
          <w:tcPr>
            <w:tcW w:type="dxa" w:w="3456"/>
            <w:vAlign w:val="center"/>
          </w:tcPr>
          <w:p>
            <w:pPr>
              <w:spacing w:after="60" w:line="240" w:lineRule="auto"/>
            </w:pPr>
            <w:r>
              <w:rPr>
                <w:b w:val="0"/>
                <w:sz w:val="20"/>
              </w:rPr>
              <w:t>Examinations, n</w:t>
            </w:r>
          </w:p>
        </w:tc>
        <w:tc>
          <w:tcPr>
            <w:tcW w:type="dxa" w:w="2170"/>
            <w:vAlign w:val="center"/>
          </w:tcPr>
          <w:p>
            <w:pPr>
              <w:spacing w:after="60" w:line="240" w:lineRule="auto"/>
            </w:pPr>
            <w:r>
              <w:rPr>
                <w:b w:val="0"/>
                <w:sz w:val="20"/>
              </w:rPr>
              <w:t>238</w:t>
            </w:r>
          </w:p>
        </w:tc>
        <w:tc>
          <w:tcPr>
            <w:tcW w:type="dxa" w:w="2170"/>
            <w:vAlign w:val="center"/>
          </w:tcPr>
          <w:p>
            <w:pPr>
              <w:spacing w:after="60" w:line="240" w:lineRule="auto"/>
            </w:pPr>
            <w:r>
              <w:rPr>
                <w:b w:val="0"/>
                <w:sz w:val="20"/>
              </w:rPr>
              <w:t>182</w:t>
            </w:r>
          </w:p>
        </w:tc>
        <w:tc>
          <w:tcPr>
            <w:tcW w:type="dxa" w:w="2170"/>
            <w:vAlign w:val="center"/>
          </w:tcPr>
          <w:p>
            <w:pPr>
              <w:spacing w:after="60" w:line="240" w:lineRule="auto"/>
            </w:pPr>
            <w:r>
              <w:rPr>
                <w:b w:val="0"/>
                <w:sz w:val="20"/>
              </w:rPr>
              <w:t>56</w:t>
            </w:r>
          </w:p>
        </w:tc>
      </w:tr>
      <w:tr>
        <w:trPr>
          <w:cantSplit/>
        </w:trPr>
        <w:tc>
          <w:tcPr>
            <w:tcW w:type="dxa" w:w="3456"/>
            <w:vAlign w:val="center"/>
          </w:tcPr>
          <w:p>
            <w:pPr>
              <w:spacing w:after="60" w:line="240" w:lineRule="auto"/>
            </w:pPr>
            <w:r>
              <w:rPr>
                <w:b w:val="0"/>
                <w:sz w:val="20"/>
              </w:rPr>
              <w:t>Unique source patients, n</w:t>
            </w:r>
          </w:p>
        </w:tc>
        <w:tc>
          <w:tcPr>
            <w:tcW w:type="dxa" w:w="2170"/>
            <w:vAlign w:val="center"/>
          </w:tcPr>
          <w:p>
            <w:pPr>
              <w:spacing w:after="60" w:line="240" w:lineRule="auto"/>
            </w:pPr>
            <w:r>
              <w:rPr>
                <w:b w:val="0"/>
                <w:sz w:val="20"/>
              </w:rPr>
              <w:t>176</w:t>
            </w:r>
          </w:p>
        </w:tc>
        <w:tc>
          <w:tcPr>
            <w:tcW w:type="dxa" w:w="2170"/>
            <w:vAlign w:val="center"/>
          </w:tcPr>
          <w:p>
            <w:pPr>
              <w:spacing w:after="60" w:line="240" w:lineRule="auto"/>
            </w:pPr>
            <w:r>
              <w:rPr>
                <w:b w:val="0"/>
                <w:sz w:val="20"/>
              </w:rPr>
              <w:t>135</w:t>
            </w:r>
          </w:p>
        </w:tc>
        <w:tc>
          <w:tcPr>
            <w:tcW w:type="dxa" w:w="2170"/>
            <w:vAlign w:val="center"/>
          </w:tcPr>
          <w:p>
            <w:pPr>
              <w:spacing w:after="60" w:line="240" w:lineRule="auto"/>
            </w:pPr>
            <w:r>
              <w:rPr>
                <w:b w:val="0"/>
                <w:sz w:val="20"/>
              </w:rPr>
              <w:t>41</w:t>
            </w:r>
          </w:p>
        </w:tc>
      </w:tr>
      <w:tr>
        <w:trPr>
          <w:cantSplit/>
        </w:trPr>
        <w:tc>
          <w:tcPr>
            <w:tcW w:type="dxa" w:w="3456"/>
            <w:vAlign w:val="center"/>
          </w:tcPr>
          <w:p>
            <w:pPr>
              <w:spacing w:after="60" w:line="240" w:lineRule="auto"/>
            </w:pPr>
            <w:r>
              <w:rPr>
                <w:b w:val="0"/>
                <w:sz w:val="20"/>
              </w:rPr>
              <w:t>Age, years</w:t>
            </w:r>
          </w:p>
        </w:tc>
        <w:tc>
          <w:tcPr>
            <w:tcW w:type="dxa" w:w="2170"/>
            <w:vAlign w:val="center"/>
          </w:tcPr>
          <w:p>
            <w:pPr>
              <w:spacing w:after="60" w:line="240" w:lineRule="auto"/>
            </w:pPr>
            <w:r>
              <w:rPr>
                <w:b w:val="0"/>
                <w:sz w:val="20"/>
              </w:rPr>
              <w:t>56.0 [47.0, 64.8]</w:t>
            </w:r>
          </w:p>
        </w:tc>
        <w:tc>
          <w:tcPr>
            <w:tcW w:type="dxa" w:w="2170"/>
            <w:vAlign w:val="center"/>
          </w:tcPr>
          <w:p>
            <w:pPr>
              <w:spacing w:after="60" w:line="240" w:lineRule="auto"/>
            </w:pPr>
            <w:r>
              <w:rPr>
                <w:b w:val="0"/>
                <w:sz w:val="20"/>
              </w:rPr>
              <w:t>56.5 [49.0, 66.0]</w:t>
            </w:r>
          </w:p>
        </w:tc>
        <w:tc>
          <w:tcPr>
            <w:tcW w:type="dxa" w:w="2170"/>
            <w:vAlign w:val="center"/>
          </w:tcPr>
          <w:p>
            <w:pPr>
              <w:spacing w:after="60" w:line="240" w:lineRule="auto"/>
            </w:pPr>
            <w:r>
              <w:rPr>
                <w:b w:val="0"/>
                <w:sz w:val="20"/>
              </w:rPr>
              <w:t>53.5 [45.0, 62.0]</w:t>
            </w:r>
          </w:p>
        </w:tc>
      </w:tr>
      <w:tr>
        <w:trPr>
          <w:cantSplit/>
        </w:trPr>
        <w:tc>
          <w:tcPr>
            <w:tcW w:type="dxa" w:w="3456"/>
            <w:vAlign w:val="center"/>
          </w:tcPr>
          <w:p>
            <w:pPr>
              <w:spacing w:after="60" w:line="240" w:lineRule="auto"/>
            </w:pPr>
            <w:r>
              <w:rPr>
                <w:b w:val="0"/>
                <w:sz w:val="20"/>
              </w:rPr>
              <w:t>Male sex at birth</w:t>
            </w:r>
          </w:p>
        </w:tc>
        <w:tc>
          <w:tcPr>
            <w:tcW w:type="dxa" w:w="2170"/>
            <w:vAlign w:val="center"/>
          </w:tcPr>
          <w:p>
            <w:pPr>
              <w:spacing w:after="60" w:line="240" w:lineRule="auto"/>
            </w:pPr>
            <w:r>
              <w:rPr>
                <w:b w:val="0"/>
                <w:sz w:val="20"/>
              </w:rPr>
              <w:t>166/238 (69.7%)</w:t>
            </w:r>
          </w:p>
        </w:tc>
        <w:tc>
          <w:tcPr>
            <w:tcW w:type="dxa" w:w="2170"/>
            <w:vAlign w:val="center"/>
          </w:tcPr>
          <w:p>
            <w:pPr>
              <w:spacing w:after="60" w:line="240" w:lineRule="auto"/>
            </w:pPr>
            <w:r>
              <w:rPr>
                <w:b w:val="0"/>
                <w:sz w:val="20"/>
              </w:rPr>
              <w:t>132/182 (72.5%)</w:t>
            </w:r>
          </w:p>
        </w:tc>
        <w:tc>
          <w:tcPr>
            <w:tcW w:type="dxa" w:w="2170"/>
            <w:vAlign w:val="center"/>
          </w:tcPr>
          <w:p>
            <w:pPr>
              <w:spacing w:after="60" w:line="240" w:lineRule="auto"/>
            </w:pPr>
            <w:r>
              <w:rPr>
                <w:b w:val="0"/>
                <w:sz w:val="20"/>
              </w:rPr>
              <w:t>34/56 (60.7%)</w:t>
            </w:r>
          </w:p>
        </w:tc>
      </w:tr>
      <w:tr>
        <w:trPr>
          <w:cantSplit/>
        </w:trPr>
        <w:tc>
          <w:tcPr>
            <w:tcW w:type="dxa" w:w="3456"/>
            <w:vAlign w:val="center"/>
          </w:tcPr>
          <w:p>
            <w:pPr>
              <w:spacing w:after="60" w:line="240" w:lineRule="auto"/>
            </w:pPr>
            <w:r>
              <w:rPr>
                <w:b w:val="0"/>
                <w:sz w:val="20"/>
              </w:rPr>
              <w:t>Tumor-labeled examinations</w:t>
            </w:r>
          </w:p>
        </w:tc>
        <w:tc>
          <w:tcPr>
            <w:tcW w:type="dxa" w:w="2170"/>
            <w:vAlign w:val="center"/>
          </w:tcPr>
          <w:p>
            <w:pPr>
              <w:spacing w:after="60" w:line="240" w:lineRule="auto"/>
            </w:pPr>
            <w:r>
              <w:rPr>
                <w:b w:val="0"/>
                <w:sz w:val="20"/>
              </w:rPr>
              <w:t>187/238 (78.6%)</w:t>
            </w:r>
          </w:p>
        </w:tc>
        <w:tc>
          <w:tcPr>
            <w:tcW w:type="dxa" w:w="2170"/>
            <w:vAlign w:val="center"/>
          </w:tcPr>
          <w:p>
            <w:pPr>
              <w:spacing w:after="60" w:line="240" w:lineRule="auto"/>
            </w:pPr>
            <w:r>
              <w:rPr>
                <w:b w:val="0"/>
                <w:sz w:val="20"/>
              </w:rPr>
              <w:t>141/182 (77.5%)</w:t>
            </w:r>
          </w:p>
        </w:tc>
        <w:tc>
          <w:tcPr>
            <w:tcW w:type="dxa" w:w="2170"/>
            <w:vAlign w:val="center"/>
          </w:tcPr>
          <w:p>
            <w:pPr>
              <w:spacing w:after="60" w:line="240" w:lineRule="auto"/>
            </w:pPr>
            <w:r>
              <w:rPr>
                <w:b w:val="0"/>
                <w:sz w:val="20"/>
              </w:rPr>
              <w:t>46/56 (82.1%)</w:t>
            </w:r>
          </w:p>
        </w:tc>
      </w:tr>
      <w:tr>
        <w:trPr>
          <w:cantSplit/>
        </w:trPr>
        <w:tc>
          <w:tcPr>
            <w:tcW w:type="dxa" w:w="3456"/>
            <w:vAlign w:val="center"/>
          </w:tcPr>
          <w:p>
            <w:pPr>
              <w:spacing w:after="60" w:line="240" w:lineRule="auto"/>
            </w:pPr>
            <w:r>
              <w:rPr>
                <w:b w:val="0"/>
                <w:sz w:val="20"/>
              </w:rPr>
              <w:t>Treatment-related-change examinations</w:t>
            </w:r>
          </w:p>
        </w:tc>
        <w:tc>
          <w:tcPr>
            <w:tcW w:type="dxa" w:w="2170"/>
            <w:vAlign w:val="center"/>
          </w:tcPr>
          <w:p>
            <w:pPr>
              <w:spacing w:after="60" w:line="240" w:lineRule="auto"/>
            </w:pPr>
            <w:r>
              <w:rPr>
                <w:b w:val="0"/>
                <w:sz w:val="20"/>
              </w:rPr>
              <w:t>51/238 (21.4%)</w:t>
            </w:r>
          </w:p>
        </w:tc>
        <w:tc>
          <w:tcPr>
            <w:tcW w:type="dxa" w:w="2170"/>
            <w:vAlign w:val="center"/>
          </w:tcPr>
          <w:p>
            <w:pPr>
              <w:spacing w:after="60" w:line="240" w:lineRule="auto"/>
            </w:pPr>
            <w:r>
              <w:rPr>
                <w:b w:val="0"/>
                <w:sz w:val="20"/>
              </w:rPr>
              <w:t>41/182 (22.5%)</w:t>
            </w:r>
          </w:p>
        </w:tc>
        <w:tc>
          <w:tcPr>
            <w:tcW w:type="dxa" w:w="2170"/>
            <w:vAlign w:val="center"/>
          </w:tcPr>
          <w:p>
            <w:pPr>
              <w:spacing w:after="60" w:line="240" w:lineRule="auto"/>
            </w:pPr>
            <w:r>
              <w:rPr>
                <w:b w:val="0"/>
                <w:sz w:val="20"/>
              </w:rPr>
              <w:t>10/56 (17.9%)</w:t>
            </w:r>
          </w:p>
        </w:tc>
      </w:tr>
      <w:tr>
        <w:trPr>
          <w:cantSplit/>
        </w:trPr>
        <w:tc>
          <w:tcPr>
            <w:tcW w:type="dxa" w:w="3456"/>
            <w:vAlign w:val="center"/>
          </w:tcPr>
          <w:p>
            <w:pPr>
              <w:spacing w:after="60" w:line="240" w:lineRule="auto"/>
            </w:pPr>
            <w:r>
              <w:rPr>
                <w:b w:val="0"/>
                <w:sz w:val="20"/>
              </w:rPr>
              <w:t>Days since initial event (known only)</w:t>
            </w:r>
          </w:p>
        </w:tc>
        <w:tc>
          <w:tcPr>
            <w:tcW w:type="dxa" w:w="2170"/>
            <w:vAlign w:val="center"/>
          </w:tcPr>
          <w:p>
            <w:pPr>
              <w:spacing w:after="60" w:line="240" w:lineRule="auto"/>
            </w:pPr>
            <w:r>
              <w:rPr>
                <w:b w:val="0"/>
                <w:sz w:val="20"/>
              </w:rPr>
              <w:t>153.5 [37.0, 364.2]</w:t>
            </w:r>
          </w:p>
        </w:tc>
        <w:tc>
          <w:tcPr>
            <w:tcW w:type="dxa" w:w="2170"/>
            <w:vAlign w:val="center"/>
          </w:tcPr>
          <w:p>
            <w:pPr>
              <w:spacing w:after="60" w:line="240" w:lineRule="auto"/>
            </w:pPr>
            <w:r>
              <w:rPr>
                <w:b w:val="0"/>
                <w:sz w:val="20"/>
              </w:rPr>
              <w:t>154.0 [40.5, 359.5]</w:t>
            </w:r>
          </w:p>
        </w:tc>
        <w:tc>
          <w:tcPr>
            <w:tcW w:type="dxa" w:w="2170"/>
            <w:vAlign w:val="center"/>
          </w:tcPr>
          <w:p>
            <w:pPr>
              <w:spacing w:after="60" w:line="240" w:lineRule="auto"/>
            </w:pPr>
            <w:r>
              <w:rPr>
                <w:b w:val="0"/>
                <w:sz w:val="20"/>
              </w:rPr>
              <w:t>153.0 [33.5, 439.2]</w:t>
            </w:r>
          </w:p>
        </w:tc>
      </w:tr>
      <w:tr>
        <w:trPr>
          <w:cantSplit/>
        </w:trPr>
        <w:tc>
          <w:tcPr>
            <w:tcW w:type="dxa" w:w="3456"/>
            <w:vAlign w:val="center"/>
          </w:tcPr>
          <w:p>
            <w:pPr>
              <w:spacing w:after="60" w:line="240" w:lineRule="auto"/>
            </w:pPr>
            <w:r>
              <w:rPr>
                <w:b w:val="0"/>
                <w:sz w:val="20"/>
              </w:rPr>
              <w:t>Known interval</w:t>
            </w:r>
          </w:p>
        </w:tc>
        <w:tc>
          <w:tcPr>
            <w:tcW w:type="dxa" w:w="2170"/>
            <w:vAlign w:val="center"/>
          </w:tcPr>
          <w:p>
            <w:pPr>
              <w:spacing w:after="60" w:line="240" w:lineRule="auto"/>
            </w:pPr>
            <w:r>
              <w:rPr>
                <w:b w:val="0"/>
                <w:sz w:val="20"/>
              </w:rPr>
              <w:t>192/238 (80.7%)</w:t>
            </w:r>
          </w:p>
        </w:tc>
        <w:tc>
          <w:tcPr>
            <w:tcW w:type="dxa" w:w="2170"/>
            <w:vAlign w:val="center"/>
          </w:tcPr>
          <w:p>
            <w:pPr>
              <w:spacing w:after="60" w:line="240" w:lineRule="auto"/>
            </w:pPr>
            <w:r>
              <w:rPr>
                <w:b w:val="0"/>
                <w:sz w:val="20"/>
              </w:rPr>
              <w:t>146/182 (80.2%)</w:t>
            </w:r>
          </w:p>
        </w:tc>
        <w:tc>
          <w:tcPr>
            <w:tcW w:type="dxa" w:w="2170"/>
            <w:vAlign w:val="center"/>
          </w:tcPr>
          <w:p>
            <w:pPr>
              <w:spacing w:after="60" w:line="240" w:lineRule="auto"/>
            </w:pPr>
            <w:r>
              <w:rPr>
                <w:b w:val="0"/>
                <w:sz w:val="20"/>
              </w:rPr>
              <w:t>46/56 (82.1%)</w:t>
            </w:r>
          </w:p>
        </w:tc>
      </w:tr>
      <w:tr>
        <w:trPr>
          <w:cantSplit/>
        </w:trPr>
        <w:tc>
          <w:tcPr>
            <w:tcW w:type="dxa" w:w="3456"/>
            <w:vAlign w:val="center"/>
          </w:tcPr>
          <w:p>
            <w:pPr>
              <w:spacing w:after="60" w:line="240" w:lineRule="auto"/>
            </w:pPr>
            <w:r>
              <w:rPr>
                <w:b w:val="0"/>
                <w:sz w:val="20"/>
              </w:rPr>
              <w:t>Missing interval</w:t>
            </w:r>
          </w:p>
        </w:tc>
        <w:tc>
          <w:tcPr>
            <w:tcW w:type="dxa" w:w="2170"/>
            <w:vAlign w:val="center"/>
          </w:tcPr>
          <w:p>
            <w:pPr>
              <w:spacing w:after="60" w:line="240" w:lineRule="auto"/>
            </w:pPr>
            <w:r>
              <w:rPr>
                <w:b w:val="0"/>
                <w:sz w:val="20"/>
              </w:rPr>
              <w:t>46/238 (19.3%)</w:t>
            </w:r>
          </w:p>
        </w:tc>
        <w:tc>
          <w:tcPr>
            <w:tcW w:type="dxa" w:w="2170"/>
            <w:vAlign w:val="center"/>
          </w:tcPr>
          <w:p>
            <w:pPr>
              <w:spacing w:after="60" w:line="240" w:lineRule="auto"/>
            </w:pPr>
            <w:r>
              <w:rPr>
                <w:b w:val="0"/>
                <w:sz w:val="20"/>
              </w:rPr>
              <w:t>36/182 (19.8%)</w:t>
            </w:r>
          </w:p>
        </w:tc>
        <w:tc>
          <w:tcPr>
            <w:tcW w:type="dxa" w:w="2170"/>
            <w:vAlign w:val="center"/>
          </w:tcPr>
          <w:p>
            <w:pPr>
              <w:spacing w:after="60" w:line="240" w:lineRule="auto"/>
            </w:pPr>
            <w:r>
              <w:rPr>
                <w:b w:val="0"/>
                <w:sz w:val="20"/>
              </w:rPr>
              <w:t>10/56 (17.9%)</w:t>
            </w:r>
          </w:p>
        </w:tc>
      </w:tr>
      <w:tr>
        <w:trPr>
          <w:cantSplit/>
        </w:trPr>
        <w:tc>
          <w:tcPr>
            <w:tcW w:type="dxa" w:w="3456"/>
            <w:vAlign w:val="center"/>
          </w:tcPr>
          <w:p>
            <w:pPr>
              <w:spacing w:after="60" w:line="240" w:lineRule="auto"/>
            </w:pPr>
            <w:r>
              <w:rPr>
                <w:b w:val="0"/>
                <w:sz w:val="20"/>
              </w:rPr>
              <w:t>Other treatment before imaging</w:t>
            </w:r>
          </w:p>
        </w:tc>
        <w:tc>
          <w:tcPr>
            <w:tcW w:type="dxa" w:w="2170"/>
            <w:vAlign w:val="center"/>
          </w:tcPr>
          <w:p>
            <w:pPr>
              <w:spacing w:after="60" w:line="240" w:lineRule="auto"/>
            </w:pPr>
            <w:r>
              <w:rPr>
                <w:b w:val="0"/>
                <w:sz w:val="20"/>
              </w:rPr>
              <w:t>38/238 (16.0%)</w:t>
            </w:r>
          </w:p>
        </w:tc>
        <w:tc>
          <w:tcPr>
            <w:tcW w:type="dxa" w:w="2170"/>
            <w:vAlign w:val="center"/>
          </w:tcPr>
          <w:p>
            <w:pPr>
              <w:spacing w:after="60" w:line="240" w:lineRule="auto"/>
            </w:pPr>
            <w:r>
              <w:rPr>
                <w:b w:val="0"/>
                <w:sz w:val="20"/>
              </w:rPr>
              <w:t>25/182 (13.7%)</w:t>
            </w:r>
          </w:p>
        </w:tc>
        <w:tc>
          <w:tcPr>
            <w:tcW w:type="dxa" w:w="2170"/>
            <w:vAlign w:val="center"/>
          </w:tcPr>
          <w:p>
            <w:pPr>
              <w:spacing w:after="60" w:line="240" w:lineRule="auto"/>
            </w:pPr>
            <w:r>
              <w:rPr>
                <w:b w:val="0"/>
                <w:sz w:val="20"/>
              </w:rPr>
              <w:t>13/56 (23.2%)</w:t>
            </w:r>
          </w:p>
        </w:tc>
      </w:tr>
    </w:tbl>
    <w:p>
      <w:pPr>
        <w:keepNext w:val="0"/>
      </w:pPr>
      <w:r>
        <w:rPr>
          <w:sz w:val="20"/>
        </w:rPr>
        <w:t>Values are counts or n/N (%), except continuous variables, which are median [Q1, Q3]. Percentages use the examination count in each column. Q1 and Q3 denote the first and third quartiles.</w:t>
      </w:r>
    </w:p>
    <w:p>
      <w:pPr>
        <w:keepNext w:val="0"/>
      </w:pPr>
      <w:r>
        <w:rPr>
          <w:sz w:val="20"/>
        </w:rPr>
        <w:t>Coverage refers to the accessed image mirror. The 135 patients with coverage and 41 without coverage do not overlap in this cohort. The initial event denotes recorded surgery, treatment or diagnosis; interval summaries use known values without imputation. No between-group significance tests were performed.</w:t>
      </w:r>
    </w:p>
    <w:p>
      <w:pPr>
        <w:sectPr>
          <w:footerReference w:type="default" r:id="rId12"/>
          <w:pgSz w:w="12240" w:h="15840"/>
          <w:pgMar w:top="1138" w:right="1138" w:bottom="1138" w:left="1138" w:header="504" w:footer="504" w:gutter="0"/>
          <w:cols w:space="720"/>
          <w:docGrid w:linePitch="360"/>
        </w:sectPr>
      </w:pPr>
    </w:p>
    <w:p>
      <w:pPr>
        <w:pStyle w:val="Heading2"/>
      </w:pPr>
      <w:r>
        <w:t>Table S2. Predictor definitions and processing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2880"/>
        <w:gridCol w:w="1440"/>
        <w:gridCol w:w="6653"/>
      </w:tblGrid>
      <w:tr>
        <w:trPr>
          <w:cantSplit/>
          <w:tblHeader/>
        </w:trPr>
        <w:tc>
          <w:tcPr>
            <w:tcW w:type="dxa" w:w="2592"/>
            <w:vAlign w:val="center"/>
            <w:shd w:fill="EEEEEE"/>
          </w:tcPr>
          <w:p>
            <w:pPr>
              <w:spacing w:after="60" w:line="240" w:lineRule="auto"/>
            </w:pPr>
            <w:r>
              <w:rPr>
                <w:b/>
                <w:sz w:val="20"/>
              </w:rPr>
              <w:t>Variable</w:t>
            </w:r>
          </w:p>
        </w:tc>
        <w:tc>
          <w:tcPr>
            <w:tcW w:type="dxa" w:w="2880"/>
            <w:vAlign w:val="center"/>
            <w:shd w:fill="EEEEEE"/>
          </w:tcPr>
          <w:p>
            <w:pPr>
              <w:spacing w:after="60" w:line="240" w:lineRule="auto"/>
            </w:pPr>
            <w:r>
              <w:rPr>
                <w:b/>
                <w:sz w:val="20"/>
              </w:rPr>
              <w:t>Definition</w:t>
            </w:r>
          </w:p>
        </w:tc>
        <w:tc>
          <w:tcPr>
            <w:tcW w:type="dxa" w:w="1440"/>
            <w:vAlign w:val="center"/>
            <w:shd w:fill="EEEEEE"/>
          </w:tcPr>
          <w:p>
            <w:pPr>
              <w:spacing w:after="60" w:line="240" w:lineRule="auto"/>
            </w:pPr>
            <w:r>
              <w:rPr>
                <w:b/>
                <w:sz w:val="20"/>
              </w:rPr>
              <w:t>Models</w:t>
            </w:r>
          </w:p>
        </w:tc>
        <w:tc>
          <w:tcPr>
            <w:tcW w:type="dxa" w:w="6653"/>
            <w:vAlign w:val="center"/>
            <w:shd w:fill="EEEEEE"/>
          </w:tcPr>
          <w:p>
            <w:pPr>
              <w:spacing w:after="60" w:line="240" w:lineRule="auto"/>
            </w:pPr>
            <w:r>
              <w:rPr>
                <w:b/>
                <w:sz w:val="20"/>
              </w:rPr>
              <w:t>Processing and units</w:t>
            </w:r>
          </w:p>
        </w:tc>
      </w:tr>
      <w:tr>
        <w:trPr>
          <w:cantSplit/>
        </w:trPr>
        <w:tc>
          <w:tcPr>
            <w:tcW w:type="dxa" w:w="2592"/>
            <w:vAlign w:val="center"/>
          </w:tcPr>
          <w:p>
            <w:pPr>
              <w:spacing w:after="60" w:line="240" w:lineRule="auto"/>
            </w:pPr>
            <w:r>
              <w:rPr>
                <w:b w:val="0"/>
                <w:sz w:val="20"/>
              </w:rPr>
              <w:t>age_years</w:t>
            </w:r>
          </w:p>
        </w:tc>
        <w:tc>
          <w:tcPr>
            <w:tcW w:type="dxa" w:w="2880"/>
            <w:vAlign w:val="center"/>
          </w:tcPr>
          <w:p>
            <w:pPr>
              <w:spacing w:after="60" w:line="240" w:lineRule="auto"/>
            </w:pPr>
            <w:r>
              <w:rPr>
                <w:b w:val="0"/>
                <w:sz w:val="20"/>
              </w:rPr>
              <w:t>Age at imaging</w:t>
            </w:r>
          </w:p>
        </w:tc>
        <w:tc>
          <w:tcPr>
            <w:tcW w:type="dxa" w:w="1440"/>
            <w:vAlign w:val="center"/>
          </w:tcPr>
          <w:p>
            <w:pPr>
              <w:spacing w:after="60" w:line="240" w:lineRule="auto"/>
            </w:pPr>
            <w:r>
              <w:rPr>
                <w:b w:val="0"/>
                <w:sz w:val="20"/>
              </w:rPr>
              <w:t>M0 M1 Fusion</w:t>
            </w:r>
          </w:p>
        </w:tc>
        <w:tc>
          <w:tcPr>
            <w:tcW w:type="dxa" w:w="6653"/>
            <w:vAlign w:val="center"/>
          </w:tcPr>
          <w:p>
            <w:pPr>
              <w:spacing w:after="60" w:line="240" w:lineRule="auto"/>
            </w:pPr>
            <w:r>
              <w:rPr>
                <w:b w:val="0"/>
                <w:sz w:val="20"/>
              </w:rPr>
              <w:t>Years; standardized within each training fold.</w:t>
            </w:r>
          </w:p>
        </w:tc>
      </w:tr>
      <w:tr>
        <w:trPr>
          <w:cantSplit/>
        </w:trPr>
        <w:tc>
          <w:tcPr>
            <w:tcW w:type="dxa" w:w="2592"/>
            <w:vAlign w:val="center"/>
          </w:tcPr>
          <w:p>
            <w:pPr>
              <w:spacing w:after="60" w:line="240" w:lineRule="auto"/>
            </w:pPr>
            <w:r>
              <w:rPr>
                <w:b w:val="0"/>
                <w:sz w:val="20"/>
              </w:rPr>
              <w:t>sex_male</w:t>
            </w:r>
          </w:p>
        </w:tc>
        <w:tc>
          <w:tcPr>
            <w:tcW w:type="dxa" w:w="2880"/>
            <w:vAlign w:val="center"/>
          </w:tcPr>
          <w:p>
            <w:pPr>
              <w:spacing w:after="60" w:line="240" w:lineRule="auto"/>
            </w:pPr>
            <w:r>
              <w:rPr>
                <w:b w:val="0"/>
                <w:sz w:val="20"/>
              </w:rPr>
              <w:t>Male sex at birth</w:t>
            </w:r>
          </w:p>
        </w:tc>
        <w:tc>
          <w:tcPr>
            <w:tcW w:type="dxa" w:w="1440"/>
            <w:vAlign w:val="center"/>
          </w:tcPr>
          <w:p>
            <w:pPr>
              <w:spacing w:after="60" w:line="240" w:lineRule="auto"/>
            </w:pPr>
            <w:r>
              <w:rPr>
                <w:b w:val="0"/>
                <w:sz w:val="20"/>
              </w:rPr>
              <w:t>M0 M1 Fusion</w:t>
            </w:r>
          </w:p>
        </w:tc>
        <w:tc>
          <w:tcPr>
            <w:tcW w:type="dxa" w:w="6653"/>
            <w:vAlign w:val="center"/>
          </w:tcPr>
          <w:p>
            <w:pPr>
              <w:spacing w:after="60" w:line="240" w:lineRule="auto"/>
            </w:pPr>
            <w:r>
              <w:rPr>
                <w:b w:val="0"/>
                <w:sz w:val="20"/>
              </w:rPr>
              <w:t>Male=1, female=0; not scaled.</w:t>
            </w:r>
          </w:p>
        </w:tc>
      </w:tr>
      <w:tr>
        <w:trPr>
          <w:cantSplit/>
        </w:trPr>
        <w:tc>
          <w:tcPr>
            <w:tcW w:type="dxa" w:w="2592"/>
            <w:vAlign w:val="center"/>
          </w:tcPr>
          <w:p>
            <w:pPr>
              <w:spacing w:after="60" w:line="240" w:lineRule="auto"/>
            </w:pPr>
            <w:r>
              <w:rPr>
                <w:b w:val="0"/>
                <w:sz w:val="20"/>
              </w:rPr>
              <w:t>log_initial_event_days</w:t>
            </w:r>
          </w:p>
        </w:tc>
        <w:tc>
          <w:tcPr>
            <w:tcW w:type="dxa" w:w="2880"/>
            <w:vAlign w:val="center"/>
          </w:tcPr>
          <w:p>
            <w:pPr>
              <w:spacing w:after="60" w:line="240" w:lineRule="auto"/>
            </w:pPr>
            <w:r>
              <w:rPr>
                <w:b w:val="0"/>
                <w:sz w:val="20"/>
              </w:rPr>
              <w:t>Interval since initial event</w:t>
            </w:r>
          </w:p>
        </w:tc>
        <w:tc>
          <w:tcPr>
            <w:tcW w:type="dxa" w:w="1440"/>
            <w:vAlign w:val="center"/>
          </w:tcPr>
          <w:p>
            <w:pPr>
              <w:spacing w:after="60" w:line="240" w:lineRule="auto"/>
            </w:pPr>
            <w:r>
              <w:rPr>
                <w:b w:val="0"/>
                <w:sz w:val="20"/>
              </w:rPr>
              <w:t>M1 Fusion</w:t>
            </w:r>
          </w:p>
        </w:tc>
        <w:tc>
          <w:tcPr>
            <w:tcW w:type="dxa" w:w="6653"/>
            <w:vAlign w:val="center"/>
          </w:tcPr>
          <w:p>
            <w:pPr>
              <w:spacing w:after="60" w:line="240" w:lineRule="auto"/>
            </w:pPr>
            <w:r>
              <w:rPr>
                <w:b w:val="0"/>
                <w:sz w:val="20"/>
              </w:rPr>
              <w:t>Natural log of one plus elapsed days; training-fold median imputation and standardization.</w:t>
            </w:r>
          </w:p>
        </w:tc>
      </w:tr>
      <w:tr>
        <w:trPr>
          <w:cantSplit/>
        </w:trPr>
        <w:tc>
          <w:tcPr>
            <w:tcW w:type="dxa" w:w="2592"/>
            <w:vAlign w:val="center"/>
          </w:tcPr>
          <w:p>
            <w:pPr>
              <w:spacing w:after="60" w:line="240" w:lineRule="auto"/>
            </w:pPr>
            <w:r>
              <w:rPr>
                <w:b w:val="0"/>
                <w:sz w:val="20"/>
              </w:rPr>
              <w:t>other_treatment_prior</w:t>
            </w:r>
          </w:p>
        </w:tc>
        <w:tc>
          <w:tcPr>
            <w:tcW w:type="dxa" w:w="2880"/>
            <w:vAlign w:val="center"/>
          </w:tcPr>
          <w:p>
            <w:pPr>
              <w:spacing w:after="60" w:line="240" w:lineRule="auto"/>
            </w:pPr>
            <w:r>
              <w:rPr>
                <w:b w:val="0"/>
                <w:sz w:val="20"/>
              </w:rPr>
              <w:t>Other treatment before imaging</w:t>
            </w:r>
          </w:p>
        </w:tc>
        <w:tc>
          <w:tcPr>
            <w:tcW w:type="dxa" w:w="1440"/>
            <w:vAlign w:val="center"/>
          </w:tcPr>
          <w:p>
            <w:pPr>
              <w:spacing w:after="60" w:line="240" w:lineRule="auto"/>
            </w:pPr>
            <w:r>
              <w:rPr>
                <w:b w:val="0"/>
                <w:sz w:val="20"/>
              </w:rPr>
              <w:t>M1 Fusion</w:t>
            </w:r>
          </w:p>
        </w:tc>
        <w:tc>
          <w:tcPr>
            <w:tcW w:type="dxa" w:w="6653"/>
            <w:vAlign w:val="center"/>
          </w:tcPr>
          <w:p>
            <w:pPr>
              <w:spacing w:after="60" w:line="240" w:lineRule="auto"/>
            </w:pPr>
            <w:r>
              <w:rPr>
                <w:b w:val="0"/>
                <w:sz w:val="20"/>
              </w:rPr>
              <w:t>Yes=1, no=0; not scaled.</w:t>
            </w:r>
          </w:p>
        </w:tc>
      </w:tr>
      <w:tr>
        <w:trPr>
          <w:cantSplit/>
        </w:trPr>
        <w:tc>
          <w:tcPr>
            <w:tcW w:type="dxa" w:w="2592"/>
            <w:vAlign w:val="center"/>
          </w:tcPr>
          <w:p>
            <w:pPr>
              <w:spacing w:after="60" w:line="240" w:lineRule="auto"/>
            </w:pPr>
            <w:r>
              <w:rPr>
                <w:b w:val="0"/>
                <w:sz w:val="20"/>
              </w:rPr>
              <w:t>initial_event_missing</w:t>
            </w:r>
          </w:p>
        </w:tc>
        <w:tc>
          <w:tcPr>
            <w:tcW w:type="dxa" w:w="2880"/>
            <w:vAlign w:val="center"/>
          </w:tcPr>
          <w:p>
            <w:pPr>
              <w:spacing w:after="60" w:line="240" w:lineRule="auto"/>
            </w:pPr>
            <w:r>
              <w:rPr>
                <w:b w:val="0"/>
                <w:sz w:val="20"/>
              </w:rPr>
              <w:t>Missing initial-event interval</w:t>
            </w:r>
          </w:p>
        </w:tc>
        <w:tc>
          <w:tcPr>
            <w:tcW w:type="dxa" w:w="1440"/>
            <w:vAlign w:val="center"/>
          </w:tcPr>
          <w:p>
            <w:pPr>
              <w:spacing w:after="60" w:line="240" w:lineRule="auto"/>
            </w:pPr>
            <w:r>
              <w:rPr>
                <w:b w:val="0"/>
                <w:sz w:val="20"/>
              </w:rPr>
              <w:t>M1 Fusion</w:t>
            </w:r>
          </w:p>
        </w:tc>
        <w:tc>
          <w:tcPr>
            <w:tcW w:type="dxa" w:w="6653"/>
            <w:vAlign w:val="center"/>
          </w:tcPr>
          <w:p>
            <w:pPr>
              <w:spacing w:after="60" w:line="240" w:lineRule="auto"/>
            </w:pPr>
            <w:r>
              <w:rPr>
                <w:b w:val="0"/>
                <w:sz w:val="20"/>
              </w:rPr>
              <w:t>Missing=1, observed=0; not scaled.</w:t>
            </w:r>
          </w:p>
        </w:tc>
      </w:tr>
      <w:tr>
        <w:trPr>
          <w:cantSplit/>
        </w:trPr>
        <w:tc>
          <w:tcPr>
            <w:tcW w:type="dxa" w:w="2592"/>
            <w:vAlign w:val="center"/>
          </w:tcPr>
          <w:p>
            <w:pPr>
              <w:spacing w:after="60" w:line="240" w:lineRule="auto"/>
            </w:pPr>
            <w:r>
              <w:rPr>
                <w:b w:val="0"/>
                <w:sz w:val="20"/>
              </w:rPr>
              <w:t>FLAIR_mean</w:t>
            </w:r>
          </w:p>
        </w:tc>
        <w:tc>
          <w:tcPr>
            <w:tcW w:type="dxa" w:w="2880"/>
            <w:vAlign w:val="center"/>
          </w:tcPr>
          <w:p>
            <w:pPr>
              <w:spacing w:after="60" w:line="240" w:lineRule="auto"/>
            </w:pPr>
            <w:r>
              <w:rPr>
                <w:b w:val="0"/>
                <w:sz w:val="20"/>
              </w:rPr>
              <w:t>FLAIR mean</w:t>
            </w:r>
          </w:p>
        </w:tc>
        <w:tc>
          <w:tcPr>
            <w:tcW w:type="dxa" w:w="1440"/>
            <w:vAlign w:val="center"/>
          </w:tcPr>
          <w:p>
            <w:pPr>
              <w:spacing w:after="60" w:line="240" w:lineRule="auto"/>
            </w:pPr>
            <w:r>
              <w:rPr>
                <w:b w:val="0"/>
                <w:sz w:val="20"/>
              </w:rPr>
              <w:t>MRI Fusion</w:t>
            </w:r>
          </w:p>
        </w:tc>
        <w:tc>
          <w:tcPr>
            <w:tcW w:type="dxa" w:w="6653"/>
            <w:vAlign w:val="center"/>
          </w:tcPr>
          <w:p>
            <w:pPr>
              <w:spacing w:after="60" w:line="240" w:lineRule="auto"/>
            </w:pPr>
            <w:r>
              <w:rPr>
                <w:b w:val="0"/>
                <w:sz w:val="20"/>
              </w:rPr>
              <w:t>Dimensionless, unclipped percentile-scaled ROI mean; training-fold standardization.</w:t>
            </w:r>
          </w:p>
        </w:tc>
      </w:tr>
      <w:tr>
        <w:trPr>
          <w:cantSplit/>
        </w:trPr>
        <w:tc>
          <w:tcPr>
            <w:tcW w:type="dxa" w:w="2592"/>
            <w:vAlign w:val="center"/>
          </w:tcPr>
          <w:p>
            <w:pPr>
              <w:spacing w:after="60" w:line="240" w:lineRule="auto"/>
            </w:pPr>
            <w:r>
              <w:rPr>
                <w:b w:val="0"/>
                <w:sz w:val="20"/>
              </w:rPr>
              <w:t>FLAIR_std</w:t>
            </w:r>
          </w:p>
        </w:tc>
        <w:tc>
          <w:tcPr>
            <w:tcW w:type="dxa" w:w="2880"/>
            <w:vAlign w:val="center"/>
          </w:tcPr>
          <w:p>
            <w:pPr>
              <w:spacing w:after="60" w:line="240" w:lineRule="auto"/>
            </w:pPr>
            <w:r>
              <w:rPr>
                <w:b w:val="0"/>
                <w:sz w:val="20"/>
              </w:rPr>
              <w:t>FLAIR standard deviation</w:t>
            </w:r>
          </w:p>
        </w:tc>
        <w:tc>
          <w:tcPr>
            <w:tcW w:type="dxa" w:w="1440"/>
            <w:vAlign w:val="center"/>
          </w:tcPr>
          <w:p>
            <w:pPr>
              <w:spacing w:after="60" w:line="240" w:lineRule="auto"/>
            </w:pPr>
            <w:r>
              <w:rPr>
                <w:b w:val="0"/>
                <w:sz w:val="20"/>
              </w:rPr>
              <w:t>MRI Fusion</w:t>
            </w:r>
          </w:p>
        </w:tc>
        <w:tc>
          <w:tcPr>
            <w:tcW w:type="dxa" w:w="6653"/>
            <w:vAlign w:val="center"/>
          </w:tcPr>
          <w:p>
            <w:pPr>
              <w:spacing w:after="60" w:line="240" w:lineRule="auto"/>
            </w:pPr>
            <w:r>
              <w:rPr>
                <w:b w:val="0"/>
                <w:sz w:val="20"/>
              </w:rPr>
              <w:t>Dimensionless; population SD (ddof=0); training-fold standardization.</w:t>
            </w:r>
          </w:p>
        </w:tc>
      </w:tr>
      <w:tr>
        <w:trPr>
          <w:cantSplit/>
        </w:trPr>
        <w:tc>
          <w:tcPr>
            <w:tcW w:type="dxa" w:w="2592"/>
            <w:vAlign w:val="center"/>
          </w:tcPr>
          <w:p>
            <w:pPr>
              <w:spacing w:after="60" w:line="240" w:lineRule="auto"/>
            </w:pPr>
            <w:r>
              <w:rPr>
                <w:b w:val="0"/>
                <w:sz w:val="20"/>
              </w:rPr>
              <w:t>FLAIR_entropy</w:t>
            </w:r>
          </w:p>
        </w:tc>
        <w:tc>
          <w:tcPr>
            <w:tcW w:type="dxa" w:w="2880"/>
            <w:vAlign w:val="center"/>
          </w:tcPr>
          <w:p>
            <w:pPr>
              <w:spacing w:after="60" w:line="240" w:lineRule="auto"/>
            </w:pPr>
            <w:r>
              <w:rPr>
                <w:b w:val="0"/>
                <w:sz w:val="20"/>
              </w:rPr>
              <w:t>FLAIR entropy</w:t>
            </w:r>
          </w:p>
        </w:tc>
        <w:tc>
          <w:tcPr>
            <w:tcW w:type="dxa" w:w="1440"/>
            <w:vAlign w:val="center"/>
          </w:tcPr>
          <w:p>
            <w:pPr>
              <w:spacing w:after="60" w:line="240" w:lineRule="auto"/>
            </w:pPr>
            <w:r>
              <w:rPr>
                <w:b w:val="0"/>
                <w:sz w:val="20"/>
              </w:rPr>
              <w:t>MRI Fusion</w:t>
            </w:r>
          </w:p>
        </w:tc>
        <w:tc>
          <w:tcPr>
            <w:tcW w:type="dxa" w:w="6653"/>
            <w:vAlign w:val="center"/>
          </w:tcPr>
          <w:p>
            <w:pPr>
              <w:spacing w:after="60" w:line="240" w:lineRule="auto"/>
            </w:pPr>
            <w:r>
              <w:rPr>
                <w:b w:val="0"/>
                <w:sz w:val="20"/>
              </w:rPr>
              <w:t>Bits; Shannon entropy with 32 ROI-range bins; training-fold standardization.</w:t>
            </w:r>
          </w:p>
        </w:tc>
      </w:tr>
      <w:tr>
        <w:trPr>
          <w:cantSplit/>
        </w:trPr>
        <w:tc>
          <w:tcPr>
            <w:tcW w:type="dxa" w:w="2592"/>
            <w:vAlign w:val="center"/>
          </w:tcPr>
          <w:p>
            <w:pPr>
              <w:spacing w:after="60" w:line="240" w:lineRule="auto"/>
            </w:pPr>
            <w:r>
              <w:rPr>
                <w:b w:val="0"/>
                <w:sz w:val="20"/>
              </w:rPr>
              <w:t>FLAIR_glcm_contrast</w:t>
            </w:r>
          </w:p>
        </w:tc>
        <w:tc>
          <w:tcPr>
            <w:tcW w:type="dxa" w:w="2880"/>
            <w:vAlign w:val="center"/>
          </w:tcPr>
          <w:p>
            <w:pPr>
              <w:spacing w:after="60" w:line="240" w:lineRule="auto"/>
            </w:pPr>
            <w:r>
              <w:rPr>
                <w:b w:val="0"/>
                <w:sz w:val="20"/>
              </w:rPr>
              <w:t>FLAIR GLCM contrast</w:t>
            </w:r>
          </w:p>
        </w:tc>
        <w:tc>
          <w:tcPr>
            <w:tcW w:type="dxa" w:w="1440"/>
            <w:vAlign w:val="center"/>
          </w:tcPr>
          <w:p>
            <w:pPr>
              <w:spacing w:after="60" w:line="240" w:lineRule="auto"/>
            </w:pPr>
            <w:r>
              <w:rPr>
                <w:b w:val="0"/>
                <w:sz w:val="20"/>
              </w:rPr>
              <w:t>MRI Fusion</w:t>
            </w:r>
          </w:p>
        </w:tc>
        <w:tc>
          <w:tcPr>
            <w:tcW w:type="dxa" w:w="6653"/>
            <w:vAlign w:val="center"/>
          </w:tcPr>
          <w:p>
            <w:pPr>
              <w:spacing w:after="60" w:line="240" w:lineRule="auto"/>
            </w:pPr>
            <w:r>
              <w:rPr>
                <w:b w:val="0"/>
                <w:sz w:val="20"/>
              </w:rPr>
              <w:t>Squared bin-index differences; symmetric counts merged across 13 directions; training-fold standardization.</w:t>
            </w:r>
          </w:p>
        </w:tc>
      </w:tr>
      <w:tr>
        <w:trPr>
          <w:cantSplit/>
        </w:trPr>
        <w:tc>
          <w:tcPr>
            <w:tcW w:type="dxa" w:w="2592"/>
            <w:vAlign w:val="center"/>
          </w:tcPr>
          <w:p>
            <w:pPr>
              <w:spacing w:after="60" w:line="240" w:lineRule="auto"/>
            </w:pPr>
            <w:r>
              <w:rPr>
                <w:b w:val="0"/>
                <w:sz w:val="20"/>
              </w:rPr>
              <w:t>T1post_mean</w:t>
            </w:r>
          </w:p>
        </w:tc>
        <w:tc>
          <w:tcPr>
            <w:tcW w:type="dxa" w:w="2880"/>
            <w:vAlign w:val="center"/>
          </w:tcPr>
          <w:p>
            <w:pPr>
              <w:spacing w:after="60" w:line="240" w:lineRule="auto"/>
            </w:pPr>
            <w:r>
              <w:rPr>
                <w:b w:val="0"/>
                <w:sz w:val="20"/>
              </w:rPr>
              <w:t>Postcontrast T1 mean</w:t>
            </w:r>
          </w:p>
        </w:tc>
        <w:tc>
          <w:tcPr>
            <w:tcW w:type="dxa" w:w="1440"/>
            <w:vAlign w:val="center"/>
          </w:tcPr>
          <w:p>
            <w:pPr>
              <w:spacing w:after="60" w:line="240" w:lineRule="auto"/>
            </w:pPr>
            <w:r>
              <w:rPr>
                <w:b w:val="0"/>
                <w:sz w:val="20"/>
              </w:rPr>
              <w:t>MRI Fusion</w:t>
            </w:r>
          </w:p>
        </w:tc>
        <w:tc>
          <w:tcPr>
            <w:tcW w:type="dxa" w:w="6653"/>
            <w:vAlign w:val="center"/>
          </w:tcPr>
          <w:p>
            <w:pPr>
              <w:spacing w:after="60" w:line="240" w:lineRule="auto"/>
            </w:pPr>
            <w:r>
              <w:rPr>
                <w:b w:val="0"/>
                <w:sz w:val="20"/>
              </w:rPr>
              <w:t>Dimensionless, unclipped percentile-scaled ROI mean; training-fold standardization.</w:t>
            </w:r>
          </w:p>
        </w:tc>
      </w:tr>
      <w:tr>
        <w:trPr>
          <w:cantSplit/>
        </w:trPr>
        <w:tc>
          <w:tcPr>
            <w:tcW w:type="dxa" w:w="2592"/>
            <w:vAlign w:val="center"/>
          </w:tcPr>
          <w:p>
            <w:pPr>
              <w:spacing w:after="60" w:line="240" w:lineRule="auto"/>
            </w:pPr>
            <w:r>
              <w:rPr>
                <w:b w:val="0"/>
                <w:sz w:val="20"/>
              </w:rPr>
              <w:t>T1post_std</w:t>
            </w:r>
          </w:p>
        </w:tc>
        <w:tc>
          <w:tcPr>
            <w:tcW w:type="dxa" w:w="2880"/>
            <w:vAlign w:val="center"/>
          </w:tcPr>
          <w:p>
            <w:pPr>
              <w:spacing w:after="60" w:line="240" w:lineRule="auto"/>
            </w:pPr>
            <w:r>
              <w:rPr>
                <w:b w:val="0"/>
                <w:sz w:val="20"/>
              </w:rPr>
              <w:t>Postcontrast T1 standard deviation</w:t>
            </w:r>
          </w:p>
        </w:tc>
        <w:tc>
          <w:tcPr>
            <w:tcW w:type="dxa" w:w="1440"/>
            <w:vAlign w:val="center"/>
          </w:tcPr>
          <w:p>
            <w:pPr>
              <w:spacing w:after="60" w:line="240" w:lineRule="auto"/>
            </w:pPr>
            <w:r>
              <w:rPr>
                <w:b w:val="0"/>
                <w:sz w:val="20"/>
              </w:rPr>
              <w:t>MRI Fusion</w:t>
            </w:r>
          </w:p>
        </w:tc>
        <w:tc>
          <w:tcPr>
            <w:tcW w:type="dxa" w:w="6653"/>
            <w:vAlign w:val="center"/>
          </w:tcPr>
          <w:p>
            <w:pPr>
              <w:spacing w:after="60" w:line="240" w:lineRule="auto"/>
            </w:pPr>
            <w:r>
              <w:rPr>
                <w:b w:val="0"/>
                <w:sz w:val="20"/>
              </w:rPr>
              <w:t>Dimensionless; population SD (ddof=0); training-fold standardization.</w:t>
            </w:r>
          </w:p>
        </w:tc>
      </w:tr>
      <w:tr>
        <w:trPr>
          <w:cantSplit/>
        </w:trPr>
        <w:tc>
          <w:tcPr>
            <w:tcW w:type="dxa" w:w="2592"/>
            <w:vAlign w:val="center"/>
          </w:tcPr>
          <w:p>
            <w:pPr>
              <w:spacing w:after="60" w:line="240" w:lineRule="auto"/>
            </w:pPr>
            <w:r>
              <w:rPr>
                <w:b w:val="0"/>
                <w:sz w:val="20"/>
              </w:rPr>
              <w:t>T1post_entropy</w:t>
            </w:r>
          </w:p>
        </w:tc>
        <w:tc>
          <w:tcPr>
            <w:tcW w:type="dxa" w:w="2880"/>
            <w:vAlign w:val="center"/>
          </w:tcPr>
          <w:p>
            <w:pPr>
              <w:spacing w:after="60" w:line="240" w:lineRule="auto"/>
            </w:pPr>
            <w:r>
              <w:rPr>
                <w:b w:val="0"/>
                <w:sz w:val="20"/>
              </w:rPr>
              <w:t>Postcontrast T1 entropy</w:t>
            </w:r>
          </w:p>
        </w:tc>
        <w:tc>
          <w:tcPr>
            <w:tcW w:type="dxa" w:w="1440"/>
            <w:vAlign w:val="center"/>
          </w:tcPr>
          <w:p>
            <w:pPr>
              <w:spacing w:after="60" w:line="240" w:lineRule="auto"/>
            </w:pPr>
            <w:r>
              <w:rPr>
                <w:b w:val="0"/>
                <w:sz w:val="20"/>
              </w:rPr>
              <w:t>MRI Fusion</w:t>
            </w:r>
          </w:p>
        </w:tc>
        <w:tc>
          <w:tcPr>
            <w:tcW w:type="dxa" w:w="6653"/>
            <w:vAlign w:val="center"/>
          </w:tcPr>
          <w:p>
            <w:pPr>
              <w:spacing w:after="60" w:line="240" w:lineRule="auto"/>
            </w:pPr>
            <w:r>
              <w:rPr>
                <w:b w:val="0"/>
                <w:sz w:val="20"/>
              </w:rPr>
              <w:t>Bits; Shannon entropy with 32 ROI-range bins; training-fold standardization.</w:t>
            </w:r>
          </w:p>
        </w:tc>
      </w:tr>
      <w:tr>
        <w:trPr>
          <w:cantSplit/>
        </w:trPr>
        <w:tc>
          <w:tcPr>
            <w:tcW w:type="dxa" w:w="2592"/>
            <w:vAlign w:val="center"/>
          </w:tcPr>
          <w:p>
            <w:pPr>
              <w:spacing w:after="60" w:line="240" w:lineRule="auto"/>
            </w:pPr>
            <w:r>
              <w:rPr>
                <w:b w:val="0"/>
                <w:sz w:val="20"/>
              </w:rPr>
              <w:t>T1post_glcm_contrast</w:t>
            </w:r>
          </w:p>
        </w:tc>
        <w:tc>
          <w:tcPr>
            <w:tcW w:type="dxa" w:w="2880"/>
            <w:vAlign w:val="center"/>
          </w:tcPr>
          <w:p>
            <w:pPr>
              <w:spacing w:after="60" w:line="240" w:lineRule="auto"/>
            </w:pPr>
            <w:r>
              <w:rPr>
                <w:b w:val="0"/>
                <w:sz w:val="20"/>
              </w:rPr>
              <w:t>Postcontrast T1 GLCM contrast</w:t>
            </w:r>
          </w:p>
        </w:tc>
        <w:tc>
          <w:tcPr>
            <w:tcW w:type="dxa" w:w="1440"/>
            <w:vAlign w:val="center"/>
          </w:tcPr>
          <w:p>
            <w:pPr>
              <w:spacing w:after="60" w:line="240" w:lineRule="auto"/>
            </w:pPr>
            <w:r>
              <w:rPr>
                <w:b w:val="0"/>
                <w:sz w:val="20"/>
              </w:rPr>
              <w:t>MRI Fusion</w:t>
            </w:r>
          </w:p>
        </w:tc>
        <w:tc>
          <w:tcPr>
            <w:tcW w:type="dxa" w:w="6653"/>
            <w:vAlign w:val="center"/>
          </w:tcPr>
          <w:p>
            <w:pPr>
              <w:spacing w:after="60" w:line="240" w:lineRule="auto"/>
            </w:pPr>
            <w:r>
              <w:rPr>
                <w:b w:val="0"/>
                <w:sz w:val="20"/>
              </w:rPr>
              <w:t>Squared bin-index differences; symmetric counts merged across 13 directions; training-fold standardization.</w:t>
            </w:r>
          </w:p>
        </w:tc>
      </w:tr>
    </w:tbl>
    <w:p>
      <w:pPr>
        <w:keepNext w:val="0"/>
      </w:pPr>
      <w:r>
        <w:rPr>
          <w:sz w:val="20"/>
        </w:rPr>
        <w:t>M0: age and sex; M1: expanded clinical model; MRI: image features only; Fusion: clinical and MRI inputs. All learning of imputation and scaling parameters was confined to training folds.</w:t>
      </w:r>
    </w:p>
    <w:p>
      <w:pPr>
        <w:keepNext w:val="0"/>
      </w:pPr>
      <w:r>
        <w:rPr>
          <w:sz w:val="20"/>
        </w:rPr>
        <w:t>The initial event could be initial surgery, another initial treatment, or diagnosis; only strictly negative source offsets were accepted as preceding the examination. Missing or nonnegative offsets were not treated as valid elapsed intervals.</w:t>
      </w:r>
    </w:p>
    <w:p>
      <w:pPr>
        <w:keepNext w:val="0"/>
      </w:pPr>
      <w:r>
        <w:rPr>
          <w:sz w:val="20"/>
        </w:rPr>
        <w:t>MRI inputs used the union of positive supplied BraTS labels, without tissue-specific reinterpretation. The supplied spatial units were unknown; physical volumes and quantitative ADC were not included.</w:t>
      </w:r>
    </w:p>
    <w:p>
      <w:pPr>
        <w:sectPr>
          <w:pgSz w:w="15840" w:h="12240" w:orient="landscape"/>
          <w:pgMar w:top="1138" w:right="1138" w:bottom="1138" w:left="1138" w:header="504" w:footer="504" w:gutter="0"/>
          <w:cols w:space="720"/>
          <w:docGrid w:linePitch="360"/>
        </w:sectPr>
      </w:pPr>
    </w:p>
    <w:p>
      <w:pPr>
        <w:pStyle w:val="Heading2"/>
      </w:pPr>
      <w:r>
        <w:t>Table S3. Fixed-threshold classification and calibration diagnostics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2324"/>
        <w:gridCol w:w="2324"/>
        <w:gridCol w:w="2324"/>
        <w:gridCol w:w="2324"/>
        <w:gridCol w:w="2324"/>
      </w:tblGrid>
      <w:tr>
        <w:trPr>
          <w:cantSplit/>
          <w:tblHeader/>
        </w:trPr>
        <w:tc>
          <w:tcPr>
            <w:tcW w:type="dxa" w:w="1944"/>
            <w:vAlign w:val="center"/>
            <w:shd w:fill="EEEEEE"/>
          </w:tcPr>
          <w:p>
            <w:pPr>
              <w:spacing w:after="60" w:line="240" w:lineRule="auto"/>
            </w:pPr>
            <w:r>
              <w:rPr>
                <w:b/>
                <w:sz w:val="20"/>
              </w:rPr>
              <w:t>Model</w:t>
            </w:r>
          </w:p>
        </w:tc>
        <w:tc>
          <w:tcPr>
            <w:tcW w:type="dxa" w:w="2324"/>
            <w:vAlign w:val="center"/>
            <w:shd w:fill="EEEEEE"/>
          </w:tcPr>
          <w:p>
            <w:pPr>
              <w:spacing w:after="60" w:line="240" w:lineRule="auto"/>
            </w:pPr>
            <w:r>
              <w:rPr>
                <w:b/>
                <w:sz w:val="20"/>
              </w:rPr>
              <w:t>Treatment change correct, n/N</w:t>
            </w:r>
          </w:p>
        </w:tc>
        <w:tc>
          <w:tcPr>
            <w:tcW w:type="dxa" w:w="2324"/>
            <w:vAlign w:val="center"/>
            <w:shd w:fill="EEEEEE"/>
          </w:tcPr>
          <w:p>
            <w:pPr>
              <w:spacing w:after="60" w:line="240" w:lineRule="auto"/>
            </w:pPr>
            <w:r>
              <w:rPr>
                <w:b/>
                <w:sz w:val="20"/>
              </w:rPr>
              <w:t>Tumor correct, n/N</w:t>
            </w:r>
          </w:p>
        </w:tc>
        <w:tc>
          <w:tcPr>
            <w:tcW w:type="dxa" w:w="2324"/>
            <w:vAlign w:val="center"/>
            <w:shd w:fill="EEEEEE"/>
          </w:tcPr>
          <w:p>
            <w:pPr>
              <w:spacing w:after="60" w:line="240" w:lineRule="auto"/>
            </w:pPr>
            <w:r>
              <w:rPr>
                <w:b/>
                <w:sz w:val="20"/>
              </w:rPr>
              <w:t>Balanced accuracy</w:t>
            </w:r>
          </w:p>
        </w:tc>
        <w:tc>
          <w:tcPr>
            <w:tcW w:type="dxa" w:w="2324"/>
            <w:vAlign w:val="center"/>
            <w:shd w:fill="EEEEEE"/>
          </w:tcPr>
          <w:p>
            <w:pPr>
              <w:spacing w:after="60" w:line="240" w:lineRule="auto"/>
            </w:pPr>
            <w:r>
              <w:rPr>
                <w:b/>
                <w:sz w:val="20"/>
              </w:rPr>
              <w:t>Calibration offset intercept</w:t>
            </w:r>
          </w:p>
        </w:tc>
        <w:tc>
          <w:tcPr>
            <w:tcW w:type="dxa" w:w="2324"/>
            <w:vAlign w:val="center"/>
            <w:shd w:fill="EEEEEE"/>
          </w:tcPr>
          <w:p>
            <w:pPr>
              <w:spacing w:after="60" w:line="240" w:lineRule="auto"/>
            </w:pPr>
            <w:r>
              <w:rPr>
                <w:b/>
                <w:sz w:val="20"/>
              </w:rPr>
              <w:t>Calibration slope</w:t>
            </w:r>
          </w:p>
        </w:tc>
      </w:tr>
      <w:tr>
        <w:trPr>
          <w:cantSplit/>
        </w:trPr>
        <w:tc>
          <w:tcPr>
            <w:tcW w:type="dxa" w:w="1944"/>
            <w:vAlign w:val="center"/>
          </w:tcPr>
          <w:p>
            <w:pPr>
              <w:spacing w:after="60" w:line="240" w:lineRule="auto"/>
            </w:pPr>
            <w:r>
              <w:rPr>
                <w:b w:val="0"/>
                <w:sz w:val="20"/>
              </w:rPr>
              <w:t>M0</w:t>
            </w:r>
          </w:p>
        </w:tc>
        <w:tc>
          <w:tcPr>
            <w:tcW w:type="dxa" w:w="2324"/>
            <w:vAlign w:val="center"/>
          </w:tcPr>
          <w:p>
            <w:pPr>
              <w:spacing w:after="60" w:line="240" w:lineRule="auto"/>
            </w:pPr>
            <w:r>
              <w:rPr>
                <w:b w:val="0"/>
                <w:sz w:val="20"/>
              </w:rPr>
              <w:t>0/41</w:t>
            </w:r>
          </w:p>
        </w:tc>
        <w:tc>
          <w:tcPr>
            <w:tcW w:type="dxa" w:w="2324"/>
            <w:vAlign w:val="center"/>
          </w:tcPr>
          <w:p>
            <w:pPr>
              <w:spacing w:after="60" w:line="240" w:lineRule="auto"/>
            </w:pPr>
            <w:r>
              <w:rPr>
                <w:b w:val="0"/>
                <w:sz w:val="20"/>
              </w:rPr>
              <w:t>140/141</w:t>
            </w:r>
          </w:p>
        </w:tc>
        <w:tc>
          <w:tcPr>
            <w:tcW w:type="dxa" w:w="2324"/>
            <w:vAlign w:val="center"/>
          </w:tcPr>
          <w:p>
            <w:pPr>
              <w:spacing w:after="60" w:line="240" w:lineRule="auto"/>
            </w:pPr>
            <w:r>
              <w:rPr>
                <w:b w:val="0"/>
                <w:sz w:val="20"/>
              </w:rPr>
              <w:t>0.496</w:t>
            </w:r>
          </w:p>
        </w:tc>
        <w:tc>
          <w:tcPr>
            <w:tcW w:type="dxa" w:w="2324"/>
            <w:vAlign w:val="center"/>
          </w:tcPr>
          <w:p>
            <w:pPr>
              <w:spacing w:after="60" w:line="240" w:lineRule="auto"/>
            </w:pPr>
            <w:r>
              <w:rPr>
                <w:b w:val="0"/>
                <w:sz w:val="20"/>
              </w:rPr>
              <w:t>-0.023</w:t>
            </w:r>
          </w:p>
        </w:tc>
        <w:tc>
          <w:tcPr>
            <w:tcW w:type="dxa" w:w="2324"/>
            <w:vAlign w:val="center"/>
          </w:tcPr>
          <w:p>
            <w:pPr>
              <w:spacing w:after="60" w:line="240" w:lineRule="auto"/>
            </w:pPr>
            <w:r>
              <w:rPr>
                <w:b w:val="0"/>
                <w:sz w:val="20"/>
              </w:rPr>
              <w:t>0.311</w:t>
            </w:r>
          </w:p>
        </w:tc>
      </w:tr>
      <w:tr>
        <w:trPr>
          <w:cantSplit/>
        </w:trPr>
        <w:tc>
          <w:tcPr>
            <w:tcW w:type="dxa" w:w="1944"/>
            <w:vAlign w:val="center"/>
          </w:tcPr>
          <w:p>
            <w:pPr>
              <w:spacing w:after="60" w:line="240" w:lineRule="auto"/>
            </w:pPr>
            <w:r>
              <w:rPr>
                <w:b w:val="0"/>
                <w:sz w:val="20"/>
              </w:rPr>
              <w:t>M1</w:t>
            </w:r>
          </w:p>
        </w:tc>
        <w:tc>
          <w:tcPr>
            <w:tcW w:type="dxa" w:w="2324"/>
            <w:vAlign w:val="center"/>
          </w:tcPr>
          <w:p>
            <w:pPr>
              <w:spacing w:after="60" w:line="240" w:lineRule="auto"/>
            </w:pPr>
            <w:r>
              <w:rPr>
                <w:b w:val="0"/>
                <w:sz w:val="20"/>
              </w:rPr>
              <w:t>2/41</w:t>
            </w:r>
          </w:p>
        </w:tc>
        <w:tc>
          <w:tcPr>
            <w:tcW w:type="dxa" w:w="2324"/>
            <w:vAlign w:val="center"/>
          </w:tcPr>
          <w:p>
            <w:pPr>
              <w:spacing w:after="60" w:line="240" w:lineRule="auto"/>
            </w:pPr>
            <w:r>
              <w:rPr>
                <w:b w:val="0"/>
                <w:sz w:val="20"/>
              </w:rPr>
              <w:t>134/141</w:t>
            </w:r>
          </w:p>
        </w:tc>
        <w:tc>
          <w:tcPr>
            <w:tcW w:type="dxa" w:w="2324"/>
            <w:vAlign w:val="center"/>
          </w:tcPr>
          <w:p>
            <w:pPr>
              <w:spacing w:after="60" w:line="240" w:lineRule="auto"/>
            </w:pPr>
            <w:r>
              <w:rPr>
                <w:b w:val="0"/>
                <w:sz w:val="20"/>
              </w:rPr>
              <w:t>0.500</w:t>
            </w:r>
          </w:p>
        </w:tc>
        <w:tc>
          <w:tcPr>
            <w:tcW w:type="dxa" w:w="2324"/>
            <w:vAlign w:val="center"/>
          </w:tcPr>
          <w:p>
            <w:pPr>
              <w:spacing w:after="60" w:line="240" w:lineRule="auto"/>
            </w:pPr>
            <w:r>
              <w:rPr>
                <w:b w:val="0"/>
                <w:sz w:val="20"/>
              </w:rPr>
              <w:t>-0.023</w:t>
            </w:r>
          </w:p>
        </w:tc>
        <w:tc>
          <w:tcPr>
            <w:tcW w:type="dxa" w:w="2324"/>
            <w:vAlign w:val="center"/>
          </w:tcPr>
          <w:p>
            <w:pPr>
              <w:spacing w:after="60" w:line="240" w:lineRule="auto"/>
            </w:pPr>
            <w:r>
              <w:rPr>
                <w:b w:val="0"/>
                <w:sz w:val="20"/>
              </w:rPr>
              <w:t>0.761</w:t>
            </w:r>
          </w:p>
        </w:tc>
      </w:tr>
      <w:tr>
        <w:trPr>
          <w:cantSplit/>
        </w:trPr>
        <w:tc>
          <w:tcPr>
            <w:tcW w:type="dxa" w:w="1944"/>
            <w:vAlign w:val="center"/>
          </w:tcPr>
          <w:p>
            <w:pPr>
              <w:spacing w:after="60" w:line="240" w:lineRule="auto"/>
            </w:pPr>
            <w:r>
              <w:rPr>
                <w:b w:val="0"/>
                <w:sz w:val="20"/>
              </w:rPr>
              <w:t>MRI</w:t>
            </w:r>
          </w:p>
        </w:tc>
        <w:tc>
          <w:tcPr>
            <w:tcW w:type="dxa" w:w="2324"/>
            <w:vAlign w:val="center"/>
          </w:tcPr>
          <w:p>
            <w:pPr>
              <w:spacing w:after="60" w:line="240" w:lineRule="auto"/>
            </w:pPr>
            <w:r>
              <w:rPr>
                <w:b w:val="0"/>
                <w:sz w:val="20"/>
              </w:rPr>
              <w:t>12/41</w:t>
            </w:r>
          </w:p>
        </w:tc>
        <w:tc>
          <w:tcPr>
            <w:tcW w:type="dxa" w:w="2324"/>
            <w:vAlign w:val="center"/>
          </w:tcPr>
          <w:p>
            <w:pPr>
              <w:spacing w:after="60" w:line="240" w:lineRule="auto"/>
            </w:pPr>
            <w:r>
              <w:rPr>
                <w:b w:val="0"/>
                <w:sz w:val="20"/>
              </w:rPr>
              <w:t>128/141</w:t>
            </w:r>
          </w:p>
        </w:tc>
        <w:tc>
          <w:tcPr>
            <w:tcW w:type="dxa" w:w="2324"/>
            <w:vAlign w:val="center"/>
          </w:tcPr>
          <w:p>
            <w:pPr>
              <w:spacing w:after="60" w:line="240" w:lineRule="auto"/>
            </w:pPr>
            <w:r>
              <w:rPr>
                <w:b w:val="0"/>
                <w:sz w:val="20"/>
              </w:rPr>
              <w:t>0.600</w:t>
            </w:r>
          </w:p>
        </w:tc>
        <w:tc>
          <w:tcPr>
            <w:tcW w:type="dxa" w:w="2324"/>
            <w:vAlign w:val="center"/>
          </w:tcPr>
          <w:p>
            <w:pPr>
              <w:spacing w:after="60" w:line="240" w:lineRule="auto"/>
            </w:pPr>
            <w:r>
              <w:rPr>
                <w:b w:val="0"/>
                <w:sz w:val="20"/>
              </w:rPr>
              <w:t>-0.058</w:t>
            </w:r>
          </w:p>
        </w:tc>
        <w:tc>
          <w:tcPr>
            <w:tcW w:type="dxa" w:w="2324"/>
            <w:vAlign w:val="center"/>
          </w:tcPr>
          <w:p>
            <w:pPr>
              <w:spacing w:after="60" w:line="240" w:lineRule="auto"/>
            </w:pPr>
            <w:r>
              <w:rPr>
                <w:b w:val="0"/>
                <w:sz w:val="20"/>
              </w:rPr>
              <w:t>0.678</w:t>
            </w:r>
          </w:p>
        </w:tc>
      </w:tr>
      <w:tr>
        <w:trPr>
          <w:cantSplit/>
        </w:trPr>
        <w:tc>
          <w:tcPr>
            <w:tcW w:type="dxa" w:w="1944"/>
            <w:vAlign w:val="center"/>
          </w:tcPr>
          <w:p>
            <w:pPr>
              <w:spacing w:after="60" w:line="240" w:lineRule="auto"/>
            </w:pPr>
            <w:r>
              <w:rPr>
                <w:b w:val="0"/>
                <w:sz w:val="20"/>
              </w:rPr>
              <w:t>Fusion</w:t>
            </w:r>
          </w:p>
        </w:tc>
        <w:tc>
          <w:tcPr>
            <w:tcW w:type="dxa" w:w="2324"/>
            <w:vAlign w:val="center"/>
          </w:tcPr>
          <w:p>
            <w:pPr>
              <w:spacing w:after="60" w:line="240" w:lineRule="auto"/>
            </w:pPr>
            <w:r>
              <w:rPr>
                <w:b w:val="0"/>
                <w:sz w:val="20"/>
              </w:rPr>
              <w:t>12/41</w:t>
            </w:r>
          </w:p>
        </w:tc>
        <w:tc>
          <w:tcPr>
            <w:tcW w:type="dxa" w:w="2324"/>
            <w:vAlign w:val="center"/>
          </w:tcPr>
          <w:p>
            <w:pPr>
              <w:spacing w:after="60" w:line="240" w:lineRule="auto"/>
            </w:pPr>
            <w:r>
              <w:rPr>
                <w:b w:val="0"/>
                <w:sz w:val="20"/>
              </w:rPr>
              <w:t>130/141</w:t>
            </w:r>
          </w:p>
        </w:tc>
        <w:tc>
          <w:tcPr>
            <w:tcW w:type="dxa" w:w="2324"/>
            <w:vAlign w:val="center"/>
          </w:tcPr>
          <w:p>
            <w:pPr>
              <w:spacing w:after="60" w:line="240" w:lineRule="auto"/>
            </w:pPr>
            <w:r>
              <w:rPr>
                <w:b w:val="0"/>
                <w:sz w:val="20"/>
              </w:rPr>
              <w:t>0.607</w:t>
            </w:r>
          </w:p>
        </w:tc>
        <w:tc>
          <w:tcPr>
            <w:tcW w:type="dxa" w:w="2324"/>
            <w:vAlign w:val="center"/>
          </w:tcPr>
          <w:p>
            <w:pPr>
              <w:spacing w:after="60" w:line="240" w:lineRule="auto"/>
            </w:pPr>
            <w:r>
              <w:rPr>
                <w:b w:val="0"/>
                <w:sz w:val="20"/>
              </w:rPr>
              <w:t>-0.121</w:t>
            </w:r>
          </w:p>
        </w:tc>
        <w:tc>
          <w:tcPr>
            <w:tcW w:type="dxa" w:w="2324"/>
            <w:vAlign w:val="center"/>
          </w:tcPr>
          <w:p>
            <w:pPr>
              <w:spacing w:after="60" w:line="240" w:lineRule="auto"/>
            </w:pPr>
            <w:r>
              <w:rPr>
                <w:b w:val="0"/>
                <w:sz w:val="20"/>
              </w:rPr>
              <w:t>0.667</w:t>
            </w:r>
          </w:p>
        </w:tc>
      </w:tr>
    </w:tbl>
    <w:p>
      <w:pPr>
        <w:keepNext w:val="0"/>
      </w:pPr>
      <w:r>
        <w:rPr>
          <w:sz w:val="20"/>
        </w:rPr>
        <w:t>All counts refer to the same 182 examinations from 135 patients. Tumor probability at least 0.5 is classified as tumor; a lower probability is classified as treatment-related change. Balanced accuracy is the mean of tumor sensitivity and treatment-change recognition.</w:t>
      </w:r>
    </w:p>
    <w:p>
      <w:pPr>
        <w:keepNext w:val="0"/>
      </w:pPr>
      <w:r>
        <w:rPr>
          <w:sz w:val="20"/>
        </w:rPr>
        <w:t>The calibration offset intercept is estimated with the predicted log odds as a fixed offset and slope set to one. The calibration slope is estimated jointly with a free intercept in a separate unpenalized logistic diagnostic regression. These two intercept definitions are distinct; the joint intercept is not shown here.</w:t>
      </w:r>
    </w:p>
    <w:p>
      <w:pPr>
        <w:keepNext w:val="0"/>
      </w:pPr>
      <w:r>
        <w:rPr>
          <w:sz w:val="20"/>
        </w:rPr>
        <w:t>Calibration uses the pooled OOF predictions without subsequent recalibration or threshold changes. Values are descriptive estimates without calibration confidence intervals. Metrics are displayed to three decimals; class counts retain their exact denominators.</w:t>
      </w:r>
    </w:p>
    <w:p>
      <w:pPr>
        <w:sectPr>
          <w:pgSz w:w="15840" w:h="12240" w:orient="landscape"/>
          <w:pgMar w:top="1138" w:right="1138" w:bottom="1138" w:left="1138" w:header="504" w:footer="504" w:gutter="0"/>
          <w:cols w:space="720"/>
          <w:docGrid w:linePitch="360"/>
        </w:sectPr>
      </w:pPr>
    </w:p>
    <w:p>
      <w:pPr>
        <w:pStyle w:val="Heading2"/>
      </w:pPr>
      <w:r>
        <w:t>Table S4. Original ROI and eroded-boundary sensitivity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2005"/>
        <w:gridCol w:w="2005"/>
        <w:gridCol w:w="2005"/>
        <w:gridCol w:w="2005"/>
      </w:tblGrid>
      <w:tr>
        <w:trPr>
          <w:cantSplit/>
          <w:tblHeader/>
        </w:trPr>
        <w:tc>
          <w:tcPr>
            <w:tcW w:type="dxa" w:w="1944"/>
            <w:vAlign w:val="center"/>
            <w:shd w:fill="EEEEEE"/>
          </w:tcPr>
          <w:p>
            <w:pPr>
              <w:spacing w:after="60" w:line="240" w:lineRule="auto"/>
            </w:pPr>
            <w:r>
              <w:rPr>
                <w:b/>
                <w:sz w:val="20"/>
              </w:rPr>
              <w:t>Model</w:t>
            </w:r>
          </w:p>
        </w:tc>
        <w:tc>
          <w:tcPr>
            <w:tcW w:type="dxa" w:w="2005"/>
            <w:vAlign w:val="center"/>
            <w:shd w:fill="EEEEEE"/>
          </w:tcPr>
          <w:p>
            <w:pPr>
              <w:spacing w:after="60" w:line="240" w:lineRule="auto"/>
            </w:pPr>
            <w:r>
              <w:rPr>
                <w:b/>
                <w:sz w:val="20"/>
              </w:rPr>
              <w:t>ROC AUC (95% interval)</w:t>
            </w:r>
          </w:p>
        </w:tc>
        <w:tc>
          <w:tcPr>
            <w:tcW w:type="dxa" w:w="2005"/>
            <w:vAlign w:val="center"/>
            <w:shd w:fill="EEEEEE"/>
          </w:tcPr>
          <w:p>
            <w:pPr>
              <w:spacing w:after="60" w:line="240" w:lineRule="auto"/>
            </w:pPr>
            <w:r>
              <w:rPr>
                <w:b/>
                <w:sz w:val="20"/>
              </w:rPr>
              <w:t>Brier score</w:t>
            </w:r>
          </w:p>
        </w:tc>
        <w:tc>
          <w:tcPr>
            <w:tcW w:type="dxa" w:w="2005"/>
            <w:vAlign w:val="center"/>
            <w:shd w:fill="EEEEEE"/>
          </w:tcPr>
          <w:p>
            <w:pPr>
              <w:spacing w:after="60" w:line="240" w:lineRule="auto"/>
            </w:pPr>
            <w:r>
              <w:rPr>
                <w:b/>
                <w:sz w:val="20"/>
              </w:rPr>
              <w:t>AP for treatment change</w:t>
            </w:r>
          </w:p>
        </w:tc>
        <w:tc>
          <w:tcPr>
            <w:tcW w:type="dxa" w:w="2005"/>
            <w:vAlign w:val="center"/>
            <w:shd w:fill="EEEEEE"/>
          </w:tcPr>
          <w:p>
            <w:pPr>
              <w:spacing w:after="60" w:line="240" w:lineRule="auto"/>
            </w:pPr>
            <w:r>
              <w:rPr>
                <w:b/>
                <w:sz w:val="20"/>
              </w:rPr>
              <w:t>Treatment change correct, n/N</w:t>
            </w:r>
          </w:p>
        </w:tc>
      </w:tr>
      <w:tr>
        <w:trPr>
          <w:cantSplit/>
        </w:trPr>
        <w:tc>
          <w:tcPr>
            <w:tcW w:type="dxa" w:w="1944"/>
            <w:vAlign w:val="center"/>
          </w:tcPr>
          <w:p>
            <w:pPr>
              <w:spacing w:after="60" w:line="240" w:lineRule="auto"/>
            </w:pPr>
            <w:r>
              <w:rPr>
                <w:b w:val="0"/>
                <w:sz w:val="20"/>
              </w:rPr>
              <w:t>Original MRI</w:t>
            </w:r>
          </w:p>
        </w:tc>
        <w:tc>
          <w:tcPr>
            <w:tcW w:type="dxa" w:w="2005"/>
            <w:vAlign w:val="center"/>
          </w:tcPr>
          <w:p>
            <w:pPr>
              <w:spacing w:after="60" w:line="240" w:lineRule="auto"/>
            </w:pPr>
            <w:r>
              <w:rPr>
                <w:b w:val="0"/>
                <w:sz w:val="20"/>
              </w:rPr>
              <w:t>0.762 [0.683, 0.838]</w:t>
            </w:r>
          </w:p>
        </w:tc>
        <w:tc>
          <w:tcPr>
            <w:tcW w:type="dxa" w:w="2005"/>
            <w:vAlign w:val="center"/>
          </w:tcPr>
          <w:p>
            <w:pPr>
              <w:spacing w:after="60" w:line="240" w:lineRule="auto"/>
            </w:pPr>
            <w:r>
              <w:rPr>
                <w:b w:val="0"/>
                <w:sz w:val="20"/>
              </w:rPr>
              <w:t>0.151</w:t>
            </w:r>
          </w:p>
        </w:tc>
        <w:tc>
          <w:tcPr>
            <w:tcW w:type="dxa" w:w="2005"/>
            <w:vAlign w:val="center"/>
          </w:tcPr>
          <w:p>
            <w:pPr>
              <w:spacing w:after="60" w:line="240" w:lineRule="auto"/>
            </w:pPr>
            <w:r>
              <w:rPr>
                <w:b w:val="0"/>
                <w:sz w:val="20"/>
              </w:rPr>
              <w:t>0.444</w:t>
            </w:r>
          </w:p>
        </w:tc>
        <w:tc>
          <w:tcPr>
            <w:tcW w:type="dxa" w:w="2005"/>
            <w:vAlign w:val="center"/>
          </w:tcPr>
          <w:p>
            <w:pPr>
              <w:spacing w:after="60" w:line="240" w:lineRule="auto"/>
            </w:pPr>
            <w:r>
              <w:rPr>
                <w:b w:val="0"/>
                <w:sz w:val="20"/>
              </w:rPr>
              <w:t>12/41</w:t>
            </w:r>
          </w:p>
        </w:tc>
      </w:tr>
      <w:tr>
        <w:trPr>
          <w:cantSplit/>
        </w:trPr>
        <w:tc>
          <w:tcPr>
            <w:tcW w:type="dxa" w:w="1944"/>
            <w:vAlign w:val="center"/>
          </w:tcPr>
          <w:p>
            <w:pPr>
              <w:spacing w:after="60" w:line="240" w:lineRule="auto"/>
            </w:pPr>
            <w:r>
              <w:rPr>
                <w:b w:val="0"/>
                <w:sz w:val="20"/>
              </w:rPr>
              <w:t>Original Fusion</w:t>
            </w:r>
          </w:p>
        </w:tc>
        <w:tc>
          <w:tcPr>
            <w:tcW w:type="dxa" w:w="2005"/>
            <w:vAlign w:val="center"/>
          </w:tcPr>
          <w:p>
            <w:pPr>
              <w:spacing w:after="60" w:line="240" w:lineRule="auto"/>
            </w:pPr>
            <w:r>
              <w:rPr>
                <w:b w:val="0"/>
                <w:sz w:val="20"/>
              </w:rPr>
              <w:t>0.782 [0.698, 0.859]</w:t>
            </w:r>
          </w:p>
        </w:tc>
        <w:tc>
          <w:tcPr>
            <w:tcW w:type="dxa" w:w="2005"/>
            <w:vAlign w:val="center"/>
          </w:tcPr>
          <w:p>
            <w:pPr>
              <w:spacing w:after="60" w:line="240" w:lineRule="auto"/>
            </w:pPr>
            <w:r>
              <w:rPr>
                <w:b w:val="0"/>
                <w:sz w:val="20"/>
              </w:rPr>
              <w:t>0.144</w:t>
            </w:r>
          </w:p>
        </w:tc>
        <w:tc>
          <w:tcPr>
            <w:tcW w:type="dxa" w:w="2005"/>
            <w:vAlign w:val="center"/>
          </w:tcPr>
          <w:p>
            <w:pPr>
              <w:spacing w:after="60" w:line="240" w:lineRule="auto"/>
            </w:pPr>
            <w:r>
              <w:rPr>
                <w:b w:val="0"/>
                <w:sz w:val="20"/>
              </w:rPr>
              <w:t>0.505</w:t>
            </w:r>
          </w:p>
        </w:tc>
        <w:tc>
          <w:tcPr>
            <w:tcW w:type="dxa" w:w="2005"/>
            <w:vAlign w:val="center"/>
          </w:tcPr>
          <w:p>
            <w:pPr>
              <w:spacing w:after="60" w:line="240" w:lineRule="auto"/>
            </w:pPr>
            <w:r>
              <w:rPr>
                <w:b w:val="0"/>
                <w:sz w:val="20"/>
              </w:rPr>
              <w:t>12/41</w:t>
            </w:r>
          </w:p>
        </w:tc>
      </w:tr>
      <w:tr>
        <w:trPr>
          <w:cantSplit/>
        </w:trPr>
        <w:tc>
          <w:tcPr>
            <w:tcW w:type="dxa" w:w="1944"/>
            <w:vAlign w:val="center"/>
          </w:tcPr>
          <w:p>
            <w:pPr>
              <w:spacing w:after="60" w:line="240" w:lineRule="auto"/>
            </w:pPr>
            <w:r>
              <w:rPr>
                <w:b w:val="0"/>
                <w:sz w:val="20"/>
              </w:rPr>
              <w:t>Eroded MRI</w:t>
            </w:r>
          </w:p>
        </w:tc>
        <w:tc>
          <w:tcPr>
            <w:tcW w:type="dxa" w:w="2005"/>
            <w:vAlign w:val="center"/>
          </w:tcPr>
          <w:p>
            <w:pPr>
              <w:spacing w:after="60" w:line="240" w:lineRule="auto"/>
            </w:pPr>
            <w:r>
              <w:rPr>
                <w:b w:val="0"/>
                <w:sz w:val="20"/>
              </w:rPr>
              <w:t>0.765 [0.684, 0.844]</w:t>
            </w:r>
          </w:p>
        </w:tc>
        <w:tc>
          <w:tcPr>
            <w:tcW w:type="dxa" w:w="2005"/>
            <w:vAlign w:val="center"/>
          </w:tcPr>
          <w:p>
            <w:pPr>
              <w:spacing w:after="60" w:line="240" w:lineRule="auto"/>
            </w:pPr>
            <w:r>
              <w:rPr>
                <w:b w:val="0"/>
                <w:sz w:val="20"/>
              </w:rPr>
              <w:t>0.149</w:t>
            </w:r>
          </w:p>
        </w:tc>
        <w:tc>
          <w:tcPr>
            <w:tcW w:type="dxa" w:w="2005"/>
            <w:vAlign w:val="center"/>
          </w:tcPr>
          <w:p>
            <w:pPr>
              <w:spacing w:after="60" w:line="240" w:lineRule="auto"/>
            </w:pPr>
            <w:r>
              <w:rPr>
                <w:b w:val="0"/>
                <w:sz w:val="20"/>
              </w:rPr>
              <w:t>0.458</w:t>
            </w:r>
          </w:p>
        </w:tc>
        <w:tc>
          <w:tcPr>
            <w:tcW w:type="dxa" w:w="2005"/>
            <w:vAlign w:val="center"/>
          </w:tcPr>
          <w:p>
            <w:pPr>
              <w:spacing w:after="60" w:line="240" w:lineRule="auto"/>
            </w:pPr>
            <w:r>
              <w:rPr>
                <w:b w:val="0"/>
                <w:sz w:val="20"/>
              </w:rPr>
              <w:t>11/41</w:t>
            </w:r>
          </w:p>
        </w:tc>
      </w:tr>
      <w:tr>
        <w:trPr>
          <w:cantSplit/>
        </w:trPr>
        <w:tc>
          <w:tcPr>
            <w:tcW w:type="dxa" w:w="1944"/>
            <w:vAlign w:val="center"/>
          </w:tcPr>
          <w:p>
            <w:pPr>
              <w:spacing w:after="60" w:line="240" w:lineRule="auto"/>
            </w:pPr>
            <w:r>
              <w:rPr>
                <w:b w:val="0"/>
                <w:sz w:val="20"/>
              </w:rPr>
              <w:t>Eroded Fusion</w:t>
            </w:r>
          </w:p>
        </w:tc>
        <w:tc>
          <w:tcPr>
            <w:tcW w:type="dxa" w:w="2005"/>
            <w:vAlign w:val="center"/>
          </w:tcPr>
          <w:p>
            <w:pPr>
              <w:spacing w:after="60" w:line="240" w:lineRule="auto"/>
            </w:pPr>
            <w:r>
              <w:rPr>
                <w:b w:val="0"/>
                <w:sz w:val="20"/>
              </w:rPr>
              <w:t>0.788 [0.706, 0.867]</w:t>
            </w:r>
          </w:p>
        </w:tc>
        <w:tc>
          <w:tcPr>
            <w:tcW w:type="dxa" w:w="2005"/>
            <w:vAlign w:val="center"/>
          </w:tcPr>
          <w:p>
            <w:pPr>
              <w:spacing w:after="60" w:line="240" w:lineRule="auto"/>
            </w:pPr>
            <w:r>
              <w:rPr>
                <w:b w:val="0"/>
                <w:sz w:val="20"/>
              </w:rPr>
              <w:t>0.141</w:t>
            </w:r>
          </w:p>
        </w:tc>
        <w:tc>
          <w:tcPr>
            <w:tcW w:type="dxa" w:w="2005"/>
            <w:vAlign w:val="center"/>
          </w:tcPr>
          <w:p>
            <w:pPr>
              <w:spacing w:after="60" w:line="240" w:lineRule="auto"/>
            </w:pPr>
            <w:r>
              <w:rPr>
                <w:b w:val="0"/>
                <w:sz w:val="20"/>
              </w:rPr>
              <w:t>0.529</w:t>
            </w:r>
          </w:p>
        </w:tc>
        <w:tc>
          <w:tcPr>
            <w:tcW w:type="dxa" w:w="2005"/>
            <w:vAlign w:val="center"/>
          </w:tcPr>
          <w:p>
            <w:pPr>
              <w:spacing w:after="60" w:line="240" w:lineRule="auto"/>
            </w:pPr>
            <w:r>
              <w:rPr>
                <w:b w:val="0"/>
                <w:sz w:val="20"/>
              </w:rPr>
              <w:t>14/41</w:t>
            </w:r>
          </w:p>
        </w:tc>
      </w:tr>
    </w:tbl>
    <w:p>
      <w:pPr>
        <w:keepNext w:val="0"/>
      </w:pPr>
      <w:r>
        <w:rPr>
          <w:sz w:val="20"/>
        </w:rPr>
        <w:t>All models used the same 182 examinations, patient groups, folds and fixed model settings. Eroded models replaced the eight MRI features while retaining the image-specific normalization parameters and full-ROI discretization boundaries.</w:t>
      </w:r>
    </w:p>
    <w:p>
      <w:pPr>
        <w:keepNext w:val="0"/>
      </w:pPr>
      <w:r>
        <w:rPr>
          <w:sz w:val="20"/>
        </w:rPr>
        <w:t>The paired eroded-minus-original Fusion AUC difference was 0.0062 (95% interval, -0.0051 to 0.0183). Intervals use 2000 patient-cluster bootstrap attempts with fixed OOF probabilities and no refitting; they do not include full retraining or partition variability.</w:t>
      </w:r>
    </w:p>
    <w:p>
      <w:pPr>
        <w:keepNext w:val="0"/>
      </w:pPr>
      <w:r>
        <w:rPr>
          <w:sz w:val="20"/>
        </w:rPr>
        <w:t>AP denotes average precision for treatment-related change, using one minus the tumor probability. Lower Brier scores indicate smaller probability error. Treatment-change correct counts use tumor probability below 0.5. The original ROI remained primary. Performance values are displayed to three decimals; the small paired AUC difference and its interval are shown to four decimals.</w:t>
      </w:r>
    </w:p>
    <w:p>
      <w:pPr>
        <w:sectPr>
          <w:pgSz w:w="12240" w:h="15840"/>
          <w:pgMar w:top="1138" w:right="1138" w:bottom="1138" w:left="1138" w:header="504" w:footer="504" w:gutter="0"/>
          <w:cols w:space="720"/>
          <w:docGrid w:linePitch="360"/>
        </w:sectPr>
      </w:pPr>
    </w:p>
    <w:p>
      <w:pPr>
        <w:pStyle w:val="Heading2"/>
      </w:pPr>
      <w:r>
        <w:t>Table S5A. Performance across 20 fixed patient-grouped partitions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2170"/>
        <w:gridCol w:w="2170"/>
        <w:gridCol w:w="2170"/>
      </w:tblGrid>
      <w:tr>
        <w:trPr>
          <w:cantSplit/>
          <w:tblHeader/>
        </w:trPr>
        <w:tc>
          <w:tcPr>
            <w:tcW w:type="dxa" w:w="3456"/>
            <w:vAlign w:val="center"/>
            <w:shd w:fill="EEEEEE"/>
          </w:tcPr>
          <w:p>
            <w:pPr>
              <w:spacing w:after="60" w:line="240" w:lineRule="auto"/>
            </w:pPr>
            <w:r>
              <w:rPr>
                <w:b/>
                <w:sz w:val="20"/>
              </w:rPr>
              <w:t>Model</w:t>
            </w:r>
          </w:p>
        </w:tc>
        <w:tc>
          <w:tcPr>
            <w:tcW w:type="dxa" w:w="2170"/>
            <w:vAlign w:val="center"/>
            <w:shd w:fill="EEEEEE"/>
          </w:tcPr>
          <w:p>
            <w:pPr>
              <w:spacing w:after="60" w:line="240" w:lineRule="auto"/>
            </w:pPr>
            <w:r>
              <w:rPr>
                <w:b/>
                <w:sz w:val="20"/>
              </w:rPr>
              <w:t>Median ROC AUC [Q1, Q3]</w:t>
            </w:r>
          </w:p>
        </w:tc>
        <w:tc>
          <w:tcPr>
            <w:tcW w:type="dxa" w:w="2170"/>
            <w:vAlign w:val="center"/>
            <w:shd w:fill="EEEEEE"/>
          </w:tcPr>
          <w:p>
            <w:pPr>
              <w:spacing w:after="60" w:line="240" w:lineRule="auto"/>
            </w:pPr>
            <w:r>
              <w:rPr>
                <w:b/>
                <w:sz w:val="20"/>
              </w:rPr>
              <w:t>ROC AUC range</w:t>
            </w:r>
          </w:p>
        </w:tc>
        <w:tc>
          <w:tcPr>
            <w:tcW w:type="dxa" w:w="2170"/>
            <w:vAlign w:val="center"/>
            <w:shd w:fill="EEEEEE"/>
          </w:tcPr>
          <w:p>
            <w:pPr>
              <w:spacing w:after="60" w:line="240" w:lineRule="auto"/>
            </w:pPr>
            <w:r>
              <w:rPr>
                <w:b/>
                <w:sz w:val="20"/>
              </w:rPr>
              <w:t>Median Brier score</w:t>
            </w:r>
          </w:p>
        </w:tc>
      </w:tr>
      <w:tr>
        <w:trPr>
          <w:cantSplit/>
        </w:trPr>
        <w:tc>
          <w:tcPr>
            <w:tcW w:type="dxa" w:w="3456"/>
            <w:vAlign w:val="center"/>
          </w:tcPr>
          <w:p>
            <w:pPr>
              <w:spacing w:after="60" w:line="240" w:lineRule="auto"/>
            </w:pPr>
            <w:r>
              <w:rPr>
                <w:b w:val="0"/>
                <w:sz w:val="20"/>
              </w:rPr>
              <w:t>M0</w:t>
            </w:r>
          </w:p>
        </w:tc>
        <w:tc>
          <w:tcPr>
            <w:tcW w:type="dxa" w:w="2170"/>
            <w:vAlign w:val="center"/>
          </w:tcPr>
          <w:p>
            <w:pPr>
              <w:spacing w:after="60" w:line="240" w:lineRule="auto"/>
            </w:pPr>
            <w:r>
              <w:rPr>
                <w:b w:val="0"/>
                <w:sz w:val="20"/>
              </w:rPr>
              <w:t>0.556 [0.528, 0.567]</w:t>
            </w:r>
          </w:p>
        </w:tc>
        <w:tc>
          <w:tcPr>
            <w:tcW w:type="dxa" w:w="2170"/>
            <w:vAlign w:val="center"/>
          </w:tcPr>
          <w:p>
            <w:pPr>
              <w:spacing w:after="60" w:line="240" w:lineRule="auto"/>
            </w:pPr>
            <w:r>
              <w:rPr>
                <w:b w:val="0"/>
                <w:sz w:val="20"/>
              </w:rPr>
              <w:t>[0.489, 0.594]</w:t>
            </w:r>
          </w:p>
        </w:tc>
        <w:tc>
          <w:tcPr>
            <w:tcW w:type="dxa" w:w="2170"/>
            <w:vAlign w:val="center"/>
          </w:tcPr>
          <w:p>
            <w:pPr>
              <w:spacing w:after="60" w:line="240" w:lineRule="auto"/>
            </w:pPr>
            <w:r>
              <w:rPr>
                <w:b w:val="0"/>
                <w:sz w:val="20"/>
              </w:rPr>
              <w:t>0.174</w:t>
            </w:r>
          </w:p>
        </w:tc>
      </w:tr>
      <w:tr>
        <w:trPr>
          <w:cantSplit/>
        </w:trPr>
        <w:tc>
          <w:tcPr>
            <w:tcW w:type="dxa" w:w="3456"/>
            <w:vAlign w:val="center"/>
          </w:tcPr>
          <w:p>
            <w:pPr>
              <w:spacing w:after="60" w:line="240" w:lineRule="auto"/>
            </w:pPr>
            <w:r>
              <w:rPr>
                <w:b w:val="0"/>
                <w:sz w:val="20"/>
              </w:rPr>
              <w:t>M1</w:t>
            </w:r>
          </w:p>
        </w:tc>
        <w:tc>
          <w:tcPr>
            <w:tcW w:type="dxa" w:w="2170"/>
            <w:vAlign w:val="center"/>
          </w:tcPr>
          <w:p>
            <w:pPr>
              <w:spacing w:after="60" w:line="240" w:lineRule="auto"/>
            </w:pPr>
            <w:r>
              <w:rPr>
                <w:b w:val="0"/>
                <w:sz w:val="20"/>
              </w:rPr>
              <w:t>0.667 [0.650, 0.670]</w:t>
            </w:r>
          </w:p>
        </w:tc>
        <w:tc>
          <w:tcPr>
            <w:tcW w:type="dxa" w:w="2170"/>
            <w:vAlign w:val="center"/>
          </w:tcPr>
          <w:p>
            <w:pPr>
              <w:spacing w:after="60" w:line="240" w:lineRule="auto"/>
            </w:pPr>
            <w:r>
              <w:rPr>
                <w:b w:val="0"/>
                <w:sz w:val="20"/>
              </w:rPr>
              <w:t>[0.620, 0.685]</w:t>
            </w:r>
          </w:p>
        </w:tc>
        <w:tc>
          <w:tcPr>
            <w:tcW w:type="dxa" w:w="2170"/>
            <w:vAlign w:val="center"/>
          </w:tcPr>
          <w:p>
            <w:pPr>
              <w:spacing w:after="60" w:line="240" w:lineRule="auto"/>
            </w:pPr>
            <w:r>
              <w:rPr>
                <w:b w:val="0"/>
                <w:sz w:val="20"/>
              </w:rPr>
              <w:t>0.163</w:t>
            </w:r>
          </w:p>
        </w:tc>
      </w:tr>
      <w:tr>
        <w:trPr>
          <w:cantSplit/>
        </w:trPr>
        <w:tc>
          <w:tcPr>
            <w:tcW w:type="dxa" w:w="3456"/>
            <w:vAlign w:val="center"/>
          </w:tcPr>
          <w:p>
            <w:pPr>
              <w:spacing w:after="60" w:line="240" w:lineRule="auto"/>
            </w:pPr>
            <w:r>
              <w:rPr>
                <w:b w:val="0"/>
                <w:sz w:val="20"/>
              </w:rPr>
              <w:t>MRI</w:t>
            </w:r>
          </w:p>
        </w:tc>
        <w:tc>
          <w:tcPr>
            <w:tcW w:type="dxa" w:w="2170"/>
            <w:vAlign w:val="center"/>
          </w:tcPr>
          <w:p>
            <w:pPr>
              <w:spacing w:after="60" w:line="240" w:lineRule="auto"/>
            </w:pPr>
            <w:r>
              <w:rPr>
                <w:b w:val="0"/>
                <w:sz w:val="20"/>
              </w:rPr>
              <w:t>0.775 [0.768, 0.783]</w:t>
            </w:r>
          </w:p>
        </w:tc>
        <w:tc>
          <w:tcPr>
            <w:tcW w:type="dxa" w:w="2170"/>
            <w:vAlign w:val="center"/>
          </w:tcPr>
          <w:p>
            <w:pPr>
              <w:spacing w:after="60" w:line="240" w:lineRule="auto"/>
            </w:pPr>
            <w:r>
              <w:rPr>
                <w:b w:val="0"/>
                <w:sz w:val="20"/>
              </w:rPr>
              <w:t>[0.759, 0.792]</w:t>
            </w:r>
          </w:p>
        </w:tc>
        <w:tc>
          <w:tcPr>
            <w:tcW w:type="dxa" w:w="2170"/>
            <w:vAlign w:val="center"/>
          </w:tcPr>
          <w:p>
            <w:pPr>
              <w:spacing w:after="60" w:line="240" w:lineRule="auto"/>
            </w:pPr>
            <w:r>
              <w:rPr>
                <w:b w:val="0"/>
                <w:sz w:val="20"/>
              </w:rPr>
              <w:t>0.148</w:t>
            </w:r>
          </w:p>
        </w:tc>
      </w:tr>
      <w:tr>
        <w:trPr>
          <w:cantSplit/>
        </w:trPr>
        <w:tc>
          <w:tcPr>
            <w:tcW w:type="dxa" w:w="3456"/>
            <w:vAlign w:val="center"/>
          </w:tcPr>
          <w:p>
            <w:pPr>
              <w:spacing w:after="60" w:line="240" w:lineRule="auto"/>
            </w:pPr>
            <w:r>
              <w:rPr>
                <w:b w:val="0"/>
                <w:sz w:val="20"/>
              </w:rPr>
              <w:t>Fusion</w:t>
            </w:r>
          </w:p>
        </w:tc>
        <w:tc>
          <w:tcPr>
            <w:tcW w:type="dxa" w:w="2170"/>
            <w:vAlign w:val="center"/>
          </w:tcPr>
          <w:p>
            <w:pPr>
              <w:spacing w:after="60" w:line="240" w:lineRule="auto"/>
            </w:pPr>
            <w:r>
              <w:rPr>
                <w:b w:val="0"/>
                <w:sz w:val="20"/>
              </w:rPr>
              <w:t>0.784 [0.775, 0.795]</w:t>
            </w:r>
          </w:p>
        </w:tc>
        <w:tc>
          <w:tcPr>
            <w:tcW w:type="dxa" w:w="2170"/>
            <w:vAlign w:val="center"/>
          </w:tcPr>
          <w:p>
            <w:pPr>
              <w:spacing w:after="60" w:line="240" w:lineRule="auto"/>
            </w:pPr>
            <w:r>
              <w:rPr>
                <w:b w:val="0"/>
                <w:sz w:val="20"/>
              </w:rPr>
              <w:t>[0.759, 0.809]</w:t>
            </w:r>
          </w:p>
        </w:tc>
        <w:tc>
          <w:tcPr>
            <w:tcW w:type="dxa" w:w="2170"/>
            <w:vAlign w:val="center"/>
          </w:tcPr>
          <w:p>
            <w:pPr>
              <w:spacing w:after="60" w:line="240" w:lineRule="auto"/>
            </w:pPr>
            <w:r>
              <w:rPr>
                <w:b w:val="0"/>
                <w:sz w:val="20"/>
              </w:rPr>
              <w:t>0.143</w:t>
            </w:r>
          </w:p>
        </w:tc>
      </w:tr>
    </w:tbl>
    <w:p>
      <w:pPr>
        <w:keepNext w:val="0"/>
      </w:pPr>
      <w:r>
        <w:rPr>
          <w:sz w:val="20"/>
        </w:rPr>
        <w:t>All 20 repetitions were complete. Each repetition evaluated the same 182 examinations from 135 patients, using patient-grouped five-fold validation and the same fixed settings for M0, M1, MRI and Fusion.</w:t>
      </w:r>
    </w:p>
    <w:p>
      <w:pPr>
        <w:keepNext w:val="0"/>
      </w:pPr>
      <w:r>
        <w:rPr>
          <w:sz w:val="20"/>
        </w:rPr>
        <w:t>Q1 and Q3 are the first and third quartiles across the 20 repetition-level estimates. Ranges are observed minima and maxima, not 95% confidence intervals. Repetitions reuse the same patients and are not independent studies. The primary Fusion AUC remains 0.782 from repetition 1.</w:t>
      </w:r>
    </w:p>
    <w:p>
      <w:pPr>
        <w:sectPr>
          <w:pgSz w:w="12240" w:h="15840"/>
          <w:pgMar w:top="1138" w:right="1138" w:bottom="1138" w:left="1138" w:header="504" w:footer="504" w:gutter="0"/>
          <w:cols w:space="720"/>
          <w:docGrid w:linePitch="360"/>
        </w:sectPr>
      </w:pPr>
    </w:p>
    <w:p>
      <w:pPr>
        <w:pStyle w:val="Heading2"/>
      </w:pPr>
      <w:r>
        <w:t>Table S5B. Fusion-minus-M1 differences across the 20 partitions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2170"/>
        <w:gridCol w:w="2170"/>
        <w:gridCol w:w="2170"/>
      </w:tblGrid>
      <w:tr>
        <w:trPr>
          <w:cantSplit/>
          <w:tblHeader/>
        </w:trPr>
        <w:tc>
          <w:tcPr>
            <w:tcW w:type="dxa" w:w="3456"/>
            <w:vAlign w:val="center"/>
            <w:shd w:fill="EEEEEE"/>
          </w:tcPr>
          <w:p>
            <w:pPr>
              <w:spacing w:after="60" w:line="240" w:lineRule="auto"/>
            </w:pPr>
            <w:r>
              <w:rPr>
                <w:b/>
                <w:sz w:val="20"/>
              </w:rPr>
              <w:t>Metric</w:t>
            </w:r>
          </w:p>
        </w:tc>
        <w:tc>
          <w:tcPr>
            <w:tcW w:type="dxa" w:w="2170"/>
            <w:vAlign w:val="center"/>
            <w:shd w:fill="EEEEEE"/>
          </w:tcPr>
          <w:p>
            <w:pPr>
              <w:spacing w:after="60" w:line="240" w:lineRule="auto"/>
            </w:pPr>
            <w:r>
              <w:rPr>
                <w:b/>
                <w:sz w:val="20"/>
              </w:rPr>
              <w:t>Median difference [Q1, Q3]</w:t>
            </w:r>
          </w:p>
        </w:tc>
        <w:tc>
          <w:tcPr>
            <w:tcW w:type="dxa" w:w="2170"/>
            <w:vAlign w:val="center"/>
            <w:shd w:fill="EEEEEE"/>
          </w:tcPr>
          <w:p>
            <w:pPr>
              <w:spacing w:after="60" w:line="240" w:lineRule="auto"/>
            </w:pPr>
            <w:r>
              <w:rPr>
                <w:b/>
                <w:sz w:val="20"/>
              </w:rPr>
              <w:t>Difference range</w:t>
            </w:r>
          </w:p>
        </w:tc>
        <w:tc>
          <w:tcPr>
            <w:tcW w:type="dxa" w:w="2170"/>
            <w:vAlign w:val="center"/>
            <w:shd w:fill="EEEEEE"/>
          </w:tcPr>
          <w:p>
            <w:pPr>
              <w:spacing w:after="60" w:line="240" w:lineRule="auto"/>
            </w:pPr>
            <w:r>
              <w:rPr>
                <w:b/>
                <w:sz w:val="20"/>
              </w:rPr>
              <w:t>Favorable repetitions, n/N</w:t>
            </w:r>
          </w:p>
        </w:tc>
      </w:tr>
      <w:tr>
        <w:trPr>
          <w:cantSplit/>
        </w:trPr>
        <w:tc>
          <w:tcPr>
            <w:tcW w:type="dxa" w:w="3456"/>
            <w:vAlign w:val="center"/>
          </w:tcPr>
          <w:p>
            <w:pPr>
              <w:spacing w:after="60" w:line="240" w:lineRule="auto"/>
            </w:pPr>
            <w:r>
              <w:rPr>
                <w:b w:val="0"/>
                <w:sz w:val="20"/>
              </w:rPr>
              <w:t>ROC AUC</w:t>
            </w:r>
          </w:p>
        </w:tc>
        <w:tc>
          <w:tcPr>
            <w:tcW w:type="dxa" w:w="2170"/>
            <w:vAlign w:val="center"/>
          </w:tcPr>
          <w:p>
            <w:pPr>
              <w:spacing w:after="60" w:line="240" w:lineRule="auto"/>
            </w:pPr>
            <w:r>
              <w:rPr>
                <w:b w:val="0"/>
                <w:sz w:val="20"/>
              </w:rPr>
              <w:t>+0.125 [0.118, 0.135]</w:t>
            </w:r>
          </w:p>
        </w:tc>
        <w:tc>
          <w:tcPr>
            <w:tcW w:type="dxa" w:w="2170"/>
            <w:vAlign w:val="center"/>
          </w:tcPr>
          <w:p>
            <w:pPr>
              <w:spacing w:after="60" w:line="240" w:lineRule="auto"/>
            </w:pPr>
            <w:r>
              <w:rPr>
                <w:b w:val="0"/>
                <w:sz w:val="20"/>
              </w:rPr>
              <w:t>[0.103, 0.150]</w:t>
            </w:r>
          </w:p>
        </w:tc>
        <w:tc>
          <w:tcPr>
            <w:tcW w:type="dxa" w:w="2170"/>
            <w:vAlign w:val="center"/>
          </w:tcPr>
          <w:p>
            <w:pPr>
              <w:spacing w:after="60" w:line="240" w:lineRule="auto"/>
            </w:pPr>
            <w:r>
              <w:rPr>
                <w:b w:val="0"/>
                <w:sz w:val="20"/>
              </w:rPr>
              <w:t>20/20</w:t>
            </w:r>
          </w:p>
        </w:tc>
      </w:tr>
      <w:tr>
        <w:trPr>
          <w:cantSplit/>
        </w:trPr>
        <w:tc>
          <w:tcPr>
            <w:tcW w:type="dxa" w:w="3456"/>
            <w:vAlign w:val="center"/>
          </w:tcPr>
          <w:p>
            <w:pPr>
              <w:spacing w:after="60" w:line="240" w:lineRule="auto"/>
            </w:pPr>
            <w:r>
              <w:rPr>
                <w:b w:val="0"/>
                <w:sz w:val="20"/>
              </w:rPr>
              <w:t>Treatment-related-change AP</w:t>
            </w:r>
          </w:p>
        </w:tc>
        <w:tc>
          <w:tcPr>
            <w:tcW w:type="dxa" w:w="2170"/>
            <w:vAlign w:val="center"/>
          </w:tcPr>
          <w:p>
            <w:pPr>
              <w:spacing w:after="60" w:line="240" w:lineRule="auto"/>
            </w:pPr>
            <w:r>
              <w:rPr>
                <w:b w:val="0"/>
                <w:sz w:val="20"/>
              </w:rPr>
              <w:t>+0.125 [0.108, 0.139]</w:t>
            </w:r>
          </w:p>
        </w:tc>
        <w:tc>
          <w:tcPr>
            <w:tcW w:type="dxa" w:w="2170"/>
            <w:vAlign w:val="center"/>
          </w:tcPr>
          <w:p>
            <w:pPr>
              <w:spacing w:after="60" w:line="240" w:lineRule="auto"/>
            </w:pPr>
            <w:r>
              <w:rPr>
                <w:b w:val="0"/>
                <w:sz w:val="20"/>
              </w:rPr>
              <w:t>[0.068, 0.176]</w:t>
            </w:r>
          </w:p>
        </w:tc>
        <w:tc>
          <w:tcPr>
            <w:tcW w:type="dxa" w:w="2170"/>
            <w:vAlign w:val="center"/>
          </w:tcPr>
          <w:p>
            <w:pPr>
              <w:spacing w:after="60" w:line="240" w:lineRule="auto"/>
            </w:pPr>
            <w:r>
              <w:rPr>
                <w:b w:val="0"/>
                <w:sz w:val="20"/>
              </w:rPr>
              <w:t>20/20</w:t>
            </w:r>
          </w:p>
        </w:tc>
      </w:tr>
      <w:tr>
        <w:trPr>
          <w:cantSplit/>
        </w:trPr>
        <w:tc>
          <w:tcPr>
            <w:tcW w:type="dxa" w:w="3456"/>
            <w:vAlign w:val="center"/>
          </w:tcPr>
          <w:p>
            <w:pPr>
              <w:spacing w:after="60" w:line="240" w:lineRule="auto"/>
            </w:pPr>
            <w:r>
              <w:rPr>
                <w:b w:val="0"/>
                <w:sz w:val="20"/>
              </w:rPr>
              <w:t>Brier score</w:t>
            </w:r>
          </w:p>
        </w:tc>
        <w:tc>
          <w:tcPr>
            <w:tcW w:type="dxa" w:w="2170"/>
            <w:vAlign w:val="center"/>
          </w:tcPr>
          <w:p>
            <w:pPr>
              <w:spacing w:after="60" w:line="240" w:lineRule="auto"/>
            </w:pPr>
            <w:r>
              <w:rPr>
                <w:b w:val="0"/>
                <w:sz w:val="20"/>
              </w:rPr>
              <w:t>-0.019 [-0.023, -0.018]</w:t>
            </w:r>
          </w:p>
        </w:tc>
        <w:tc>
          <w:tcPr>
            <w:tcW w:type="dxa" w:w="2170"/>
            <w:vAlign w:val="center"/>
          </w:tcPr>
          <w:p>
            <w:pPr>
              <w:spacing w:after="60" w:line="240" w:lineRule="auto"/>
            </w:pPr>
            <w:r>
              <w:rPr>
                <w:b w:val="0"/>
                <w:sz w:val="20"/>
              </w:rPr>
              <w:t>[-0.027, -0.014]</w:t>
            </w:r>
          </w:p>
        </w:tc>
        <w:tc>
          <w:tcPr>
            <w:tcW w:type="dxa" w:w="2170"/>
            <w:vAlign w:val="center"/>
          </w:tcPr>
          <w:p>
            <w:pPr>
              <w:spacing w:after="60" w:line="240" w:lineRule="auto"/>
            </w:pPr>
            <w:r>
              <w:rPr>
                <w:b w:val="0"/>
                <w:sz w:val="20"/>
              </w:rPr>
              <w:t>20/20</w:t>
            </w:r>
          </w:p>
        </w:tc>
      </w:tr>
      <w:tr>
        <w:trPr>
          <w:cantSplit/>
        </w:trPr>
        <w:tc>
          <w:tcPr>
            <w:tcW w:type="dxa" w:w="3456"/>
            <w:vAlign w:val="center"/>
          </w:tcPr>
          <w:p>
            <w:pPr>
              <w:spacing w:after="60" w:line="240" w:lineRule="auto"/>
            </w:pPr>
            <w:r>
              <w:rPr>
                <w:b w:val="0"/>
                <w:sz w:val="20"/>
              </w:rPr>
              <w:t>Logarithmic loss</w:t>
            </w:r>
          </w:p>
        </w:tc>
        <w:tc>
          <w:tcPr>
            <w:tcW w:type="dxa" w:w="2170"/>
            <w:vAlign w:val="center"/>
          </w:tcPr>
          <w:p>
            <w:pPr>
              <w:spacing w:after="60" w:line="240" w:lineRule="auto"/>
            </w:pPr>
            <w:r>
              <w:rPr>
                <w:b w:val="0"/>
                <w:sz w:val="20"/>
              </w:rPr>
              <w:t>-0.047 [-0.058, -0.038]</w:t>
            </w:r>
          </w:p>
        </w:tc>
        <w:tc>
          <w:tcPr>
            <w:tcW w:type="dxa" w:w="2170"/>
            <w:vAlign w:val="center"/>
          </w:tcPr>
          <w:p>
            <w:pPr>
              <w:spacing w:after="60" w:line="240" w:lineRule="auto"/>
            </w:pPr>
            <w:r>
              <w:rPr>
                <w:b w:val="0"/>
                <w:sz w:val="20"/>
              </w:rPr>
              <w:t>[-0.071, -0.022]</w:t>
            </w:r>
          </w:p>
        </w:tc>
        <w:tc>
          <w:tcPr>
            <w:tcW w:type="dxa" w:w="2170"/>
            <w:vAlign w:val="center"/>
          </w:tcPr>
          <w:p>
            <w:pPr>
              <w:spacing w:after="60" w:line="240" w:lineRule="auto"/>
            </w:pPr>
            <w:r>
              <w:rPr>
                <w:b w:val="0"/>
                <w:sz w:val="20"/>
              </w:rPr>
              <w:t>20/20</w:t>
            </w:r>
          </w:p>
        </w:tc>
      </w:tr>
    </w:tbl>
    <w:p>
      <w:pPr>
        <w:keepNext w:val="0"/>
      </w:pPr>
      <w:r>
        <w:rPr>
          <w:sz w:val="20"/>
        </w:rPr>
        <w:t>Differences are calculated as Fusion minus M1 within each repetition, then summarized across repetitions. The median paired difference is not obtained by subtracting the two models’ separate medians.</w:t>
      </w:r>
    </w:p>
    <w:p>
      <w:pPr>
        <w:keepNext w:val="0"/>
      </w:pPr>
      <w:r>
        <w:rPr>
          <w:sz w:val="20"/>
        </w:rPr>
        <w:t>Positive AUC or treatment-change AP differences and negative Brier-score or logarithmic-loss differences favor Fusion. AP denotes average precision for treatment-related change. Q1 and Q3 are quartiles, and ranges are observed minima and maxima.</w:t>
      </w:r>
    </w:p>
    <w:p>
      <w:pPr>
        <w:keepNext w:val="0"/>
      </w:pPr>
      <w:r>
        <w:rPr>
          <w:sz w:val="20"/>
        </w:rPr>
        <w:t>Sign counts, including 20/20, are descriptive summaries of reused patients across fixed partitions. They are not independent replications or hypothesis tests and do not replace the primary paired patient-bootstrap intervals. Values are displayed to three decimals.</w:t>
      </w:r>
    </w:p>
    <w:p>
      <w:pPr>
        <w:sectPr>
          <w:pgSz w:w="12240" w:h="15840"/>
          <w:pgMar w:top="1138" w:right="1138" w:bottom="1138" w:left="1138" w:header="504" w:footer="504" w:gutter="0"/>
          <w:cols w:space="720"/>
          <w:docGrid w:linePitch="360"/>
        </w:sectPr>
      </w:pPr>
    </w:p>
    <w:p>
      <w:pPr>
        <w:pStyle w:val="Heading2"/>
      </w:pPr>
      <w:r>
        <w:t>Table S6. Performance in the one-examination-per-patient analysis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2005"/>
        <w:gridCol w:w="2005"/>
        <w:gridCol w:w="2005"/>
        <w:gridCol w:w="2005"/>
      </w:tblGrid>
      <w:tr>
        <w:trPr>
          <w:cantSplit/>
          <w:tblHeader/>
        </w:trPr>
        <w:tc>
          <w:tcPr>
            <w:tcW w:type="dxa" w:w="1944"/>
            <w:vAlign w:val="center"/>
            <w:shd w:fill="EEEEEE"/>
          </w:tcPr>
          <w:p>
            <w:pPr>
              <w:spacing w:after="60" w:line="240" w:lineRule="auto"/>
            </w:pPr>
            <w:r>
              <w:rPr>
                <w:b/>
                <w:sz w:val="20"/>
              </w:rPr>
              <w:t>Model</w:t>
            </w:r>
          </w:p>
        </w:tc>
        <w:tc>
          <w:tcPr>
            <w:tcW w:type="dxa" w:w="2005"/>
            <w:vAlign w:val="center"/>
            <w:shd w:fill="EEEEEE"/>
          </w:tcPr>
          <w:p>
            <w:pPr>
              <w:spacing w:after="60" w:line="240" w:lineRule="auto"/>
            </w:pPr>
            <w:r>
              <w:rPr>
                <w:b/>
                <w:sz w:val="20"/>
              </w:rPr>
              <w:t>ROC AUC (95% interval)</w:t>
            </w:r>
          </w:p>
        </w:tc>
        <w:tc>
          <w:tcPr>
            <w:tcW w:type="dxa" w:w="2005"/>
            <w:vAlign w:val="center"/>
            <w:shd w:fill="EEEEEE"/>
          </w:tcPr>
          <w:p>
            <w:pPr>
              <w:spacing w:after="60" w:line="240" w:lineRule="auto"/>
            </w:pPr>
            <w:r>
              <w:rPr>
                <w:b/>
                <w:sz w:val="20"/>
              </w:rPr>
              <w:t>Brier score</w:t>
            </w:r>
          </w:p>
        </w:tc>
        <w:tc>
          <w:tcPr>
            <w:tcW w:type="dxa" w:w="2005"/>
            <w:vAlign w:val="center"/>
            <w:shd w:fill="EEEEEE"/>
          </w:tcPr>
          <w:p>
            <w:pPr>
              <w:spacing w:after="60" w:line="240" w:lineRule="auto"/>
            </w:pPr>
            <w:r>
              <w:rPr>
                <w:b/>
                <w:sz w:val="20"/>
              </w:rPr>
              <w:t>AP for treatment change</w:t>
            </w:r>
          </w:p>
        </w:tc>
        <w:tc>
          <w:tcPr>
            <w:tcW w:type="dxa" w:w="2005"/>
            <w:vAlign w:val="center"/>
            <w:shd w:fill="EEEEEE"/>
          </w:tcPr>
          <w:p>
            <w:pPr>
              <w:spacing w:after="60" w:line="240" w:lineRule="auto"/>
            </w:pPr>
            <w:r>
              <w:rPr>
                <w:b/>
                <w:sz w:val="20"/>
              </w:rPr>
              <w:t>Treatment change correct, n/N</w:t>
            </w:r>
          </w:p>
        </w:tc>
      </w:tr>
      <w:tr>
        <w:trPr>
          <w:cantSplit/>
        </w:trPr>
        <w:tc>
          <w:tcPr>
            <w:tcW w:type="dxa" w:w="1944"/>
            <w:vAlign w:val="center"/>
          </w:tcPr>
          <w:p>
            <w:pPr>
              <w:spacing w:after="60" w:line="240" w:lineRule="auto"/>
            </w:pPr>
            <w:r>
              <w:rPr>
                <w:b w:val="0"/>
                <w:sz w:val="20"/>
              </w:rPr>
              <w:t>M0</w:t>
            </w:r>
          </w:p>
        </w:tc>
        <w:tc>
          <w:tcPr>
            <w:tcW w:type="dxa" w:w="2005"/>
            <w:vAlign w:val="center"/>
          </w:tcPr>
          <w:p>
            <w:pPr>
              <w:spacing w:after="60" w:line="240" w:lineRule="auto"/>
            </w:pPr>
            <w:r>
              <w:rPr>
                <w:b w:val="0"/>
                <w:sz w:val="20"/>
              </w:rPr>
              <w:t>0.501 [0.364, 0.639]</w:t>
            </w:r>
          </w:p>
        </w:tc>
        <w:tc>
          <w:tcPr>
            <w:tcW w:type="dxa" w:w="2005"/>
            <w:vAlign w:val="center"/>
          </w:tcPr>
          <w:p>
            <w:pPr>
              <w:spacing w:after="60" w:line="240" w:lineRule="auto"/>
            </w:pPr>
            <w:r>
              <w:rPr>
                <w:b w:val="0"/>
                <w:sz w:val="20"/>
              </w:rPr>
              <w:t>0.137</w:t>
            </w:r>
          </w:p>
        </w:tc>
        <w:tc>
          <w:tcPr>
            <w:tcW w:type="dxa" w:w="2005"/>
            <w:vAlign w:val="center"/>
          </w:tcPr>
          <w:p>
            <w:pPr>
              <w:spacing w:after="60" w:line="240" w:lineRule="auto"/>
            </w:pPr>
            <w:r>
              <w:rPr>
                <w:b w:val="0"/>
                <w:sz w:val="20"/>
              </w:rPr>
              <w:t>0.205</w:t>
            </w:r>
          </w:p>
        </w:tc>
        <w:tc>
          <w:tcPr>
            <w:tcW w:type="dxa" w:w="2005"/>
            <w:vAlign w:val="center"/>
          </w:tcPr>
          <w:p>
            <w:pPr>
              <w:spacing w:after="60" w:line="240" w:lineRule="auto"/>
            </w:pPr>
            <w:r>
              <w:rPr>
                <w:b w:val="0"/>
                <w:sz w:val="20"/>
              </w:rPr>
              <w:t>0/22</w:t>
            </w:r>
          </w:p>
        </w:tc>
      </w:tr>
      <w:tr>
        <w:trPr>
          <w:cantSplit/>
        </w:trPr>
        <w:tc>
          <w:tcPr>
            <w:tcW w:type="dxa" w:w="1944"/>
            <w:vAlign w:val="center"/>
          </w:tcPr>
          <w:p>
            <w:pPr>
              <w:spacing w:after="60" w:line="240" w:lineRule="auto"/>
            </w:pPr>
            <w:r>
              <w:rPr>
                <w:b w:val="0"/>
                <w:sz w:val="20"/>
              </w:rPr>
              <w:t>M1</w:t>
            </w:r>
          </w:p>
        </w:tc>
        <w:tc>
          <w:tcPr>
            <w:tcW w:type="dxa" w:w="2005"/>
            <w:vAlign w:val="center"/>
          </w:tcPr>
          <w:p>
            <w:pPr>
              <w:spacing w:after="60" w:line="240" w:lineRule="auto"/>
            </w:pPr>
            <w:r>
              <w:rPr>
                <w:b w:val="0"/>
                <w:sz w:val="20"/>
              </w:rPr>
              <w:t>0.609 [0.438, 0.776]</w:t>
            </w:r>
          </w:p>
        </w:tc>
        <w:tc>
          <w:tcPr>
            <w:tcW w:type="dxa" w:w="2005"/>
            <w:vAlign w:val="center"/>
          </w:tcPr>
          <w:p>
            <w:pPr>
              <w:spacing w:after="60" w:line="240" w:lineRule="auto"/>
            </w:pPr>
            <w:r>
              <w:rPr>
                <w:b w:val="0"/>
                <w:sz w:val="20"/>
              </w:rPr>
              <w:t>0.132</w:t>
            </w:r>
          </w:p>
        </w:tc>
        <w:tc>
          <w:tcPr>
            <w:tcW w:type="dxa" w:w="2005"/>
            <w:vAlign w:val="center"/>
          </w:tcPr>
          <w:p>
            <w:pPr>
              <w:spacing w:after="60" w:line="240" w:lineRule="auto"/>
            </w:pPr>
            <w:r>
              <w:rPr>
                <w:b w:val="0"/>
                <w:sz w:val="20"/>
              </w:rPr>
              <w:t>0.283</w:t>
            </w:r>
          </w:p>
        </w:tc>
        <w:tc>
          <w:tcPr>
            <w:tcW w:type="dxa" w:w="2005"/>
            <w:vAlign w:val="center"/>
          </w:tcPr>
          <w:p>
            <w:pPr>
              <w:spacing w:after="60" w:line="240" w:lineRule="auto"/>
            </w:pPr>
            <w:r>
              <w:rPr>
                <w:b w:val="0"/>
                <w:sz w:val="20"/>
              </w:rPr>
              <w:t>0/22</w:t>
            </w:r>
          </w:p>
        </w:tc>
      </w:tr>
      <w:tr>
        <w:trPr>
          <w:cantSplit/>
        </w:trPr>
        <w:tc>
          <w:tcPr>
            <w:tcW w:type="dxa" w:w="1944"/>
            <w:vAlign w:val="center"/>
          </w:tcPr>
          <w:p>
            <w:pPr>
              <w:spacing w:after="60" w:line="240" w:lineRule="auto"/>
            </w:pPr>
            <w:r>
              <w:rPr>
                <w:b w:val="0"/>
                <w:sz w:val="20"/>
              </w:rPr>
              <w:t>MRI</w:t>
            </w:r>
          </w:p>
        </w:tc>
        <w:tc>
          <w:tcPr>
            <w:tcW w:type="dxa" w:w="2005"/>
            <w:vAlign w:val="center"/>
          </w:tcPr>
          <w:p>
            <w:pPr>
              <w:spacing w:after="60" w:line="240" w:lineRule="auto"/>
            </w:pPr>
            <w:r>
              <w:rPr>
                <w:b w:val="0"/>
                <w:sz w:val="20"/>
              </w:rPr>
              <w:t>0.729 [0.609, 0.837]</w:t>
            </w:r>
          </w:p>
        </w:tc>
        <w:tc>
          <w:tcPr>
            <w:tcW w:type="dxa" w:w="2005"/>
            <w:vAlign w:val="center"/>
          </w:tcPr>
          <w:p>
            <w:pPr>
              <w:spacing w:after="60" w:line="240" w:lineRule="auto"/>
            </w:pPr>
            <w:r>
              <w:rPr>
                <w:b w:val="0"/>
                <w:sz w:val="20"/>
              </w:rPr>
              <w:t>0.130</w:t>
            </w:r>
          </w:p>
        </w:tc>
        <w:tc>
          <w:tcPr>
            <w:tcW w:type="dxa" w:w="2005"/>
            <w:vAlign w:val="center"/>
          </w:tcPr>
          <w:p>
            <w:pPr>
              <w:spacing w:after="60" w:line="240" w:lineRule="auto"/>
            </w:pPr>
            <w:r>
              <w:rPr>
                <w:b w:val="0"/>
                <w:sz w:val="20"/>
              </w:rPr>
              <w:t>0.316</w:t>
            </w:r>
          </w:p>
        </w:tc>
        <w:tc>
          <w:tcPr>
            <w:tcW w:type="dxa" w:w="2005"/>
            <w:vAlign w:val="center"/>
          </w:tcPr>
          <w:p>
            <w:pPr>
              <w:spacing w:after="60" w:line="240" w:lineRule="auto"/>
            </w:pPr>
            <w:r>
              <w:rPr>
                <w:b w:val="0"/>
                <w:sz w:val="20"/>
              </w:rPr>
              <w:t>2/22</w:t>
            </w:r>
          </w:p>
        </w:tc>
      </w:tr>
      <w:tr>
        <w:trPr>
          <w:cantSplit/>
        </w:trPr>
        <w:tc>
          <w:tcPr>
            <w:tcW w:type="dxa" w:w="1944"/>
            <w:vAlign w:val="center"/>
          </w:tcPr>
          <w:p>
            <w:pPr>
              <w:spacing w:after="60" w:line="240" w:lineRule="auto"/>
            </w:pPr>
            <w:r>
              <w:rPr>
                <w:b w:val="0"/>
                <w:sz w:val="20"/>
              </w:rPr>
              <w:t>Fusion</w:t>
            </w:r>
          </w:p>
        </w:tc>
        <w:tc>
          <w:tcPr>
            <w:tcW w:type="dxa" w:w="2005"/>
            <w:vAlign w:val="center"/>
          </w:tcPr>
          <w:p>
            <w:pPr>
              <w:spacing w:after="60" w:line="240" w:lineRule="auto"/>
            </w:pPr>
            <w:r>
              <w:rPr>
                <w:b w:val="0"/>
                <w:sz w:val="20"/>
              </w:rPr>
              <w:t>0.730 [0.606, 0.833]</w:t>
            </w:r>
          </w:p>
        </w:tc>
        <w:tc>
          <w:tcPr>
            <w:tcW w:type="dxa" w:w="2005"/>
            <w:vAlign w:val="center"/>
          </w:tcPr>
          <w:p>
            <w:pPr>
              <w:spacing w:after="60" w:line="240" w:lineRule="auto"/>
            </w:pPr>
            <w:r>
              <w:rPr>
                <w:b w:val="0"/>
                <w:sz w:val="20"/>
              </w:rPr>
              <w:t>0.133</w:t>
            </w:r>
          </w:p>
        </w:tc>
        <w:tc>
          <w:tcPr>
            <w:tcW w:type="dxa" w:w="2005"/>
            <w:vAlign w:val="center"/>
          </w:tcPr>
          <w:p>
            <w:pPr>
              <w:spacing w:after="60" w:line="240" w:lineRule="auto"/>
            </w:pPr>
            <w:r>
              <w:rPr>
                <w:b w:val="0"/>
                <w:sz w:val="20"/>
              </w:rPr>
              <w:t>0.322</w:t>
            </w:r>
          </w:p>
        </w:tc>
        <w:tc>
          <w:tcPr>
            <w:tcW w:type="dxa" w:w="2005"/>
            <w:vAlign w:val="center"/>
          </w:tcPr>
          <w:p>
            <w:pPr>
              <w:spacing w:after="60" w:line="240" w:lineRule="auto"/>
            </w:pPr>
            <w:r>
              <w:rPr>
                <w:b w:val="0"/>
                <w:sz w:val="20"/>
              </w:rPr>
              <w:t>2/22</w:t>
            </w:r>
          </w:p>
        </w:tc>
      </w:tr>
    </w:tbl>
    <w:p>
      <w:pPr>
        <w:keepNext w:val="0"/>
      </w:pPr>
      <w:r>
        <w:rPr>
          <w:sz w:val="20"/>
        </w:rPr>
        <w:t>The selected cohort contains 135 examinations from 135 patients, including 113 tumor and 22 treatment-related-change examinations. Each patient contributes the smallest available numeric session in the imaging subset; this is not necessarily the first clinical examination.</w:t>
      </w:r>
    </w:p>
    <w:p>
      <w:pPr>
        <w:keepNext w:val="0"/>
      </w:pPr>
      <w:r>
        <w:rPr>
          <w:sz w:val="20"/>
        </w:rPr>
        <w:t>Four models share the rebuilt patient-grouped five-fold partition. Intervals use 2000 patient-bootstrap attempts with fixed OOF probabilities and no model refitting. They do not capture full retraining or partition variability.</w:t>
      </w:r>
    </w:p>
    <w:p>
      <w:pPr>
        <w:keepNext w:val="0"/>
      </w:pPr>
      <w:r>
        <w:rPr>
          <w:sz w:val="20"/>
        </w:rPr>
        <w:t>AP denotes average precision for treatment-related change, scored by one minus the tumor probability. Correct treatment-change counts use tumor probability below 0.5. Values are displayed to three decimals. The cohort has different examination composition, class distribution and training data from the primary analysis.</w:t>
      </w:r>
    </w:p>
    <w:p>
      <w:pPr>
        <w:sectPr>
          <w:pgSz w:w="12240" w:h="15840"/>
          <w:pgMar w:top="1138" w:right="1138" w:bottom="1138" w:left="1138" w:header="504" w:footer="504" w:gutter="0"/>
          <w:cols w:space="720"/>
          <w:docGrid w:linePitch="360"/>
        </w:sectPr>
      </w:pPr>
    </w:p>
    <w:p>
      <w:pPr>
        <w:pStyle w:val="Heading2"/>
      </w:pPr>
      <w:r>
        <w:t>Table S7. Paired Fusion-minus-M1 differences in the single-scan analysis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4010"/>
        <w:gridCol w:w="4010"/>
      </w:tblGrid>
      <w:tr>
        <w:trPr>
          <w:cantSplit/>
          <w:tblHeader/>
        </w:trPr>
        <w:tc>
          <w:tcPr>
            <w:tcW w:type="dxa" w:w="1944"/>
            <w:vAlign w:val="center"/>
            <w:shd w:fill="EEEEEE"/>
          </w:tcPr>
          <w:p>
            <w:pPr>
              <w:spacing w:after="60" w:line="240" w:lineRule="auto"/>
            </w:pPr>
            <w:r>
              <w:rPr>
                <w:b/>
                <w:sz w:val="20"/>
              </w:rPr>
              <w:t>Metric</w:t>
            </w:r>
          </w:p>
        </w:tc>
        <w:tc>
          <w:tcPr>
            <w:tcW w:type="dxa" w:w="4010"/>
            <w:vAlign w:val="center"/>
            <w:shd w:fill="EEEEEE"/>
          </w:tcPr>
          <w:p>
            <w:pPr>
              <w:spacing w:after="60" w:line="240" w:lineRule="auto"/>
            </w:pPr>
            <w:r>
              <w:rPr>
                <w:b/>
                <w:sz w:val="20"/>
              </w:rPr>
              <w:t>Fusion minus M1</w:t>
            </w:r>
          </w:p>
        </w:tc>
        <w:tc>
          <w:tcPr>
            <w:tcW w:type="dxa" w:w="4010"/>
            <w:vAlign w:val="center"/>
            <w:shd w:fill="EEEEEE"/>
          </w:tcPr>
          <w:p>
            <w:pPr>
              <w:spacing w:after="60" w:line="240" w:lineRule="auto"/>
            </w:pPr>
            <w:r>
              <w:rPr>
                <w:b/>
                <w:sz w:val="20"/>
              </w:rPr>
              <w:t>95% paired interval</w:t>
            </w:r>
          </w:p>
        </w:tc>
      </w:tr>
      <w:tr>
        <w:trPr>
          <w:cantSplit/>
        </w:trPr>
        <w:tc>
          <w:tcPr>
            <w:tcW w:type="dxa" w:w="1944"/>
            <w:vAlign w:val="center"/>
          </w:tcPr>
          <w:p>
            <w:pPr>
              <w:spacing w:after="60" w:line="240" w:lineRule="auto"/>
            </w:pPr>
            <w:r>
              <w:rPr>
                <w:b w:val="0"/>
                <w:sz w:val="20"/>
              </w:rPr>
              <w:t>ROC AUC</w:t>
            </w:r>
          </w:p>
        </w:tc>
        <w:tc>
          <w:tcPr>
            <w:tcW w:type="dxa" w:w="4010"/>
            <w:vAlign w:val="center"/>
          </w:tcPr>
          <w:p>
            <w:pPr>
              <w:spacing w:after="60" w:line="240" w:lineRule="auto"/>
            </w:pPr>
            <w:r>
              <w:rPr>
                <w:b w:val="0"/>
                <w:sz w:val="20"/>
              </w:rPr>
              <w:t>+0.1203</w:t>
            </w:r>
          </w:p>
        </w:tc>
        <w:tc>
          <w:tcPr>
            <w:tcW w:type="dxa" w:w="4010"/>
            <w:vAlign w:val="center"/>
          </w:tcPr>
          <w:p>
            <w:pPr>
              <w:spacing w:after="60" w:line="240" w:lineRule="auto"/>
            </w:pPr>
            <w:r>
              <w:rPr>
                <w:b w:val="0"/>
                <w:sz w:val="20"/>
              </w:rPr>
              <w:t>[-0.0151, 0.2522]</w:t>
            </w:r>
          </w:p>
        </w:tc>
      </w:tr>
      <w:tr>
        <w:trPr>
          <w:cantSplit/>
        </w:trPr>
        <w:tc>
          <w:tcPr>
            <w:tcW w:type="dxa" w:w="1944"/>
            <w:vAlign w:val="center"/>
          </w:tcPr>
          <w:p>
            <w:pPr>
              <w:spacing w:after="60" w:line="240" w:lineRule="auto"/>
            </w:pPr>
            <w:r>
              <w:rPr>
                <w:b w:val="0"/>
                <w:sz w:val="20"/>
              </w:rPr>
              <w:t>Treatment-related-change AP</w:t>
            </w:r>
          </w:p>
        </w:tc>
        <w:tc>
          <w:tcPr>
            <w:tcW w:type="dxa" w:w="4010"/>
            <w:vAlign w:val="center"/>
          </w:tcPr>
          <w:p>
            <w:pPr>
              <w:spacing w:after="60" w:line="240" w:lineRule="auto"/>
            </w:pPr>
            <w:r>
              <w:rPr>
                <w:b w:val="0"/>
                <w:sz w:val="20"/>
              </w:rPr>
              <w:t>+0.0385</w:t>
            </w:r>
          </w:p>
        </w:tc>
        <w:tc>
          <w:tcPr>
            <w:tcW w:type="dxa" w:w="4010"/>
            <w:vAlign w:val="center"/>
          </w:tcPr>
          <w:p>
            <w:pPr>
              <w:spacing w:after="60" w:line="240" w:lineRule="auto"/>
            </w:pPr>
            <w:r>
              <w:rPr>
                <w:b w:val="0"/>
                <w:sz w:val="20"/>
              </w:rPr>
              <w:t>[-0.0733, 0.1566]</w:t>
            </w:r>
          </w:p>
        </w:tc>
      </w:tr>
      <w:tr>
        <w:trPr>
          <w:cantSplit/>
        </w:trPr>
        <w:tc>
          <w:tcPr>
            <w:tcW w:type="dxa" w:w="1944"/>
            <w:vAlign w:val="center"/>
          </w:tcPr>
          <w:p>
            <w:pPr>
              <w:spacing w:after="60" w:line="240" w:lineRule="auto"/>
            </w:pPr>
            <w:r>
              <w:rPr>
                <w:b w:val="0"/>
                <w:sz w:val="20"/>
              </w:rPr>
              <w:t>Brier score</w:t>
            </w:r>
          </w:p>
        </w:tc>
        <w:tc>
          <w:tcPr>
            <w:tcW w:type="dxa" w:w="4010"/>
            <w:vAlign w:val="center"/>
          </w:tcPr>
          <w:p>
            <w:pPr>
              <w:spacing w:after="60" w:line="240" w:lineRule="auto"/>
            </w:pPr>
            <w:r>
              <w:rPr>
                <w:b w:val="0"/>
                <w:sz w:val="20"/>
              </w:rPr>
              <w:t>+0.0004</w:t>
            </w:r>
          </w:p>
        </w:tc>
        <w:tc>
          <w:tcPr>
            <w:tcW w:type="dxa" w:w="4010"/>
            <w:vAlign w:val="center"/>
          </w:tcPr>
          <w:p>
            <w:pPr>
              <w:spacing w:after="60" w:line="240" w:lineRule="auto"/>
            </w:pPr>
            <w:r>
              <w:rPr>
                <w:b w:val="0"/>
                <w:sz w:val="20"/>
              </w:rPr>
              <w:t>[-0.0171, 0.0197]</w:t>
            </w:r>
          </w:p>
        </w:tc>
      </w:tr>
      <w:tr>
        <w:trPr>
          <w:cantSplit/>
        </w:trPr>
        <w:tc>
          <w:tcPr>
            <w:tcW w:type="dxa" w:w="1944"/>
            <w:vAlign w:val="center"/>
          </w:tcPr>
          <w:p>
            <w:pPr>
              <w:spacing w:after="60" w:line="240" w:lineRule="auto"/>
            </w:pPr>
            <w:r>
              <w:rPr>
                <w:b w:val="0"/>
                <w:sz w:val="20"/>
              </w:rPr>
              <w:t>Logarithmic loss</w:t>
            </w:r>
          </w:p>
        </w:tc>
        <w:tc>
          <w:tcPr>
            <w:tcW w:type="dxa" w:w="4010"/>
            <w:vAlign w:val="center"/>
          </w:tcPr>
          <w:p>
            <w:pPr>
              <w:spacing w:after="60" w:line="240" w:lineRule="auto"/>
            </w:pPr>
            <w:r>
              <w:rPr>
                <w:b w:val="0"/>
                <w:sz w:val="20"/>
              </w:rPr>
              <w:t>-0.0141</w:t>
            </w:r>
          </w:p>
        </w:tc>
        <w:tc>
          <w:tcPr>
            <w:tcW w:type="dxa" w:w="4010"/>
            <w:vAlign w:val="center"/>
          </w:tcPr>
          <w:p>
            <w:pPr>
              <w:spacing w:after="60" w:line="240" w:lineRule="auto"/>
            </w:pPr>
            <w:r>
              <w:rPr>
                <w:b w:val="0"/>
                <w:sz w:val="20"/>
              </w:rPr>
              <w:t>[-0.0731, 0.0501]</w:t>
            </w:r>
          </w:p>
        </w:tc>
      </w:tr>
    </w:tbl>
    <w:p>
      <w:pPr>
        <w:keepNext w:val="0"/>
      </w:pPr>
      <w:r>
        <w:rPr>
          <w:sz w:val="20"/>
        </w:rPr>
        <w:t>Differences use the same 135 selected examinations and rebuilt grouped folds. Positive AUC or treatment-change AP differences favor Fusion; negative Brier-score or logarithmic-loss differences favor Fusion.</w:t>
      </w:r>
    </w:p>
    <w:p>
      <w:pPr>
        <w:keepNext w:val="0"/>
      </w:pPr>
      <w:r>
        <w:rPr>
          <w:sz w:val="20"/>
        </w:rPr>
        <w:t>Intervals are the 2.5th and 97.5th percentiles of 2000 paired patient-bootstrap attempts with fixed OOF predictions and no refitting. All four intervals include zero. The result does not replace the primary comparison.</w:t>
      </w:r>
    </w:p>
    <w:p>
      <w:pPr>
        <w:keepNext w:val="0"/>
      </w:pPr>
      <w:r>
        <w:rPr>
          <w:sz w:val="20"/>
        </w:rPr>
        <w:t>AP denotes average precision for treatment-related change. Differences are calculated from unrounded metrics and displayed to four decimals to preserve the small positive Brier difference. This is a sensitivity comparison within the selected cohort, not a paired contrast between the 135- and 182-examination analyses.</w:t>
      </w:r>
    </w:p>
    <w:p>
      <w:pPr>
        <w:sectPr>
          <w:pgSz w:w="12240" w:h="15840"/>
          <w:pgMar w:top="1138" w:right="1138" w:bottom="1138" w:left="1138" w:header="504" w:footer="504" w:gutter="0"/>
          <w:cols w:space="720"/>
          <w:docGrid w:linePitch="360"/>
        </w:sectPr>
      </w:pPr>
    </w:p>
    <w:p>
      <w:pPr>
        <w:pStyle w:val="Heading2"/>
      </w:pPr>
      <w:r>
        <w:t>Figure S1</w:t>
      </w:r>
    </w:p>
    <w:p>
      <w:r>
        <w:drawing>
          <wp:inline xmlns:a="http://schemas.openxmlformats.org/drawingml/2006/main" xmlns:pic="http://schemas.openxmlformats.org/drawingml/2006/picture">
            <wp:extent cx="8412480" cy="4588625"/>
            <wp:docPr id="1" name="Picture 1"/>
            <wp:cNvGraphicFramePr>
              <a:graphicFrameLocks noChangeAspect="1"/>
            </wp:cNvGraphicFramePr>
            <a:graphic>
              <a:graphicData uri="http://schemas.openxmlformats.org/drawingml/2006/picture">
                <pic:pic>
                  <pic:nvPicPr>
                    <pic:cNvPr id="0" name="FigureS1_Boundary_Sensitivity.png"/>
                    <pic:cNvPicPr/>
                  </pic:nvPicPr>
                  <pic:blipFill>
                    <a:blip r:embed="rId10"/>
                    <a:stretch>
                      <a:fillRect/>
                    </a:stretch>
                  </pic:blipFill>
                  <pic:spPr>
                    <a:xfrm>
                      <a:off x="0" y="0"/>
                      <a:ext cx="8412480" cy="4588625"/>
                    </a:xfrm>
                    <a:prstGeom prst="rect"/>
                  </pic:spPr>
                </pic:pic>
              </a:graphicData>
            </a:graphic>
          </wp:inline>
        </w:drawing>
      </w:r>
    </w:p>
    <w:p>
      <w:pPr>
        <w:keepNext w:val="0"/>
        <w:keepLines/>
      </w:pPr>
      <w:r>
        <w:rPr>
          <w:sz w:val="21"/>
        </w:rPr>
        <w:t>Figure S1. Boundary sensitivity in the same 182 examinations from 135 patients. Points show pooled OOF AUCs for the original and eroded MRI and Fusion models. Error bars are 95% patient-cluster bootstrap percentile intervals conditional on fixed OOF probabilities, without model refitting. The paired eroded-minus-original Fusion difference is reported in the text and Table S4 notes. Erosion used one iteration of the six-neighbor operation on the supplied voxel grid; this was not interpreted as a fixed millimeter distance. The original ROI analysis remained primary.</w:t>
      </w:r>
    </w:p>
    <w:p>
      <w:pPr>
        <w:sectPr>
          <w:pgSz w:w="15840" w:h="12240" w:orient="landscape"/>
          <w:pgMar w:top="1138" w:right="1138" w:bottom="1138" w:left="1138" w:header="504" w:footer="504" w:gutter="0"/>
          <w:cols w:space="720"/>
          <w:docGrid w:linePitch="360"/>
        </w:sectPr>
      </w:pPr>
    </w:p>
    <w:p>
      <w:pPr>
        <w:pStyle w:val="Heading2"/>
      </w:pPr>
      <w:r>
        <w:t>Figure S2</w:t>
      </w:r>
    </w:p>
    <w:p>
      <w:r>
        <w:drawing>
          <wp:inline xmlns:a="http://schemas.openxmlformats.org/drawingml/2006/main" xmlns:pic="http://schemas.openxmlformats.org/drawingml/2006/picture">
            <wp:extent cx="8412480" cy="3364992"/>
            <wp:docPr id="2" name="Picture 2"/>
            <wp:cNvGraphicFramePr>
              <a:graphicFrameLocks noChangeAspect="1"/>
            </wp:cNvGraphicFramePr>
            <a:graphic>
              <a:graphicData uri="http://schemas.openxmlformats.org/drawingml/2006/picture">
                <pic:pic>
                  <pic:nvPicPr>
                    <pic:cNvPr id="0" name="FigureS2_Single_Scan.png"/>
                    <pic:cNvPicPr/>
                  </pic:nvPicPr>
                  <pic:blipFill>
                    <a:blip r:embed="rId11"/>
                    <a:stretch>
                      <a:fillRect/>
                    </a:stretch>
                  </pic:blipFill>
                  <pic:spPr>
                    <a:xfrm>
                      <a:off x="0" y="0"/>
                      <a:ext cx="8412480" cy="3364992"/>
                    </a:xfrm>
                    <a:prstGeom prst="rect"/>
                  </pic:spPr>
                </pic:pic>
              </a:graphicData>
            </a:graphic>
          </wp:inline>
        </w:drawing>
      </w:r>
    </w:p>
    <w:p>
      <w:pPr>
        <w:keepNext w:val="0"/>
        <w:keepLines/>
      </w:pPr>
      <w:r>
        <w:rPr>
          <w:sz w:val="21"/>
        </w:rPr>
        <w:t>Figure S2. Sensitivity analysis using one available examination per patient. The selected cohort contains 135 examinations, including 113 tumor and 22 treatment-related-change examinations. A, Pooled OOF AUCs with patient-bootstrap 95% percentile intervals conditional on fixed predictions without refitting. B, Treatment-change recognition at the fixed tumor-probability threshold of 0.5, with exact correct/total counts. Selection used the smallest numeric session available in the imaging subset and does not establish the true first clinical visit. The analysis used rebuilt grouped folds and does not replace the primary 182-examination analysis.</w:t>
      </w:r>
    </w:p>
    <w:sectPr w:rsidR="00FC693F" w:rsidRPr="0006063C" w:rsidSect="00034616">
      <w:pgSz w:w="15840" w:h="12240" w:orient="landscape"/>
      <w:pgMar w:top="1138" w:right="1138" w:bottom="1138" w:left="1138"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40" w:lineRule="auto" w:after="140"/>
    </w:pPr>
    <w:rPr>
      <w:rFonts w:ascii="Times New Roman" w:hAnsi="Times New Roman" w:eastAsia="Noto Serif CJK SC"/>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40" w:lineRule="auto"/>
      <w:outlineLvl w:val="0"/>
    </w:pPr>
    <w:rPr>
      <w:rFonts w:ascii="Times New Roman" w:hAnsi="Times New Roman" w:eastAsia="Noto Serif CJK S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40" w:line="240" w:lineRule="auto"/>
      <w:outlineLvl w:val="1"/>
    </w:pPr>
    <w:rPr>
      <w:rFonts w:ascii="Times New Roman" w:hAnsi="Times New Roman" w:eastAsia="Noto Serif CJK SC"/>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imes New Roman" w:hAnsi="Times New Roman" w:eastAsia="Noto Serif CJK SC"/>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dc:title>
  <dc:subject/>
  <dc:creator>Tianyu Feng</dc:creator>
  <cp:keywords/>
  <dc:description>generated by python-docx</dc:description>
  <cp:lastModifiedBy/>
  <cp:revision>1</cp:revision>
  <dcterms:created xsi:type="dcterms:W3CDTF">2013-12-23T23:15:00Z</dcterms:created>
  <dcterms:modified xsi:type="dcterms:W3CDTF">2013-12-23T23:15:00Z</dcterms:modified>
  <cp:category/>
</cp:coreProperties>
</file>