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Results</w:t>
      </w:r>
    </w:p>
    <w:p>
      <w:pPr>
        <w:pStyle w:val="Heading1"/>
      </w:pPr>
      <w:r>
        <w:t>3.3 Four-model discrimination</w:t>
      </w:r>
    </w:p>
    <w:p>
      <w:pPr>
        <w:keepNext/>
        <w:keepLines/>
        <w:pageBreakBefore w:val="0"/>
      </w:pPr>
      <w:r>
        <w:t>Each of the four fixed models provided an OOF probability for all 182 examinations under the same patient-grouped five-fold partition. The pooled ROC AUC was 0.526 for M0 (95% patient-bootstrap percentile interval, 0.404 to 0.644), 0.672 for M1 (0.553 to 0.778), 0.762 for MRI (0.683 to 0.838) and 0.782 for Fusion (0.698 to 0.859; Table 2 and Figure 2A). Treatment-related-change AP was 0.261, 0.354, 0.444 and 0.505 for M0, M1, MRI and Fusion, respectively, against a treatment-related-change prevalence of 0.225 in this cohort (Figure 2B). The corresponding Brier scores were 0.177, 0.163, 0.151 and 0.144. Fusion had the largest AUC and treatment-related-change AP point estimates and the lowest Brier score among the four models in this partition. The intervals summarized patient-sampling uncertainty conditional on the saved OOF probabilities; they did not include the full variability of model retraining or alternative fold assignments. These results represent internal validation in the same imaging cohort. The prespecified paired Fusion-minus-M1 comparison is reported separately, because the ordering of model-specific point estimates alone does not quantify the uncertainty in their difference.</w:t>
      </w:r>
    </w:p>
    <w:p>
      <w:pPr>
        <w:keepLines/>
      </w:pPr>
      <w:r>
        <w:rPr>
          <w:sz w:val="22"/>
        </w:rPr>
        <w:t>四个固定模型均在相同的患者分组五折划分下，为全部182次检查提供OOF概率。汇总ROC AUC分别为M0的0.526（95%患者bootstrap百分位区间0.404至0.644）、M1的0.672（0.553至0.778）、MRI的0.762（0.683至0.838）及Fusion的0.782（0.698至0.859；Table 2和Figure 2A）。M0、M1、MRI与Fusion的治疗相关改变AP分别为0.261、0.354、0.444和0.505，该队列治疗相关改变的比例为0.225（Figure 2B）。相应Brier评分分别为0.177、0.163、0.151和0.144。在本次划分中，Fusion在四模型中具有最大的AUC与治疗相关改变AP点估计，以及最低的Brier评分。这些区间概括条件于已保存OOF概率的患者抽样不确定性，不涵盖模型重新训练或其他分折的全部变异。上述结果属于同一影像队列中的内部验证。预设的Fusion减去M1配对比较另节报告，因为仅凭各模型点估计排序，无法量化模型差值的不确定性。</w:t>
      </w:r>
    </w:p>
    <w:p>
      <w:pPr>
        <w:pStyle w:val="Heading1"/>
        <w:keepNext/>
        <w:pageBreakBefore/>
      </w:pPr>
      <w:r>
        <w:t>Table 2. Performance of the four fixed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922"/>
        <w:gridCol w:w="3053"/>
        <w:gridCol w:w="1238"/>
        <w:gridCol w:w="2074"/>
        <w:gridCol w:w="2678"/>
      </w:tblGrid>
      <w:tr>
        <w:trPr>
          <w:cantSplit/>
          <w:tblHeader/>
        </w:trPr>
        <w:tc>
          <w:tcPr>
            <w:tcW w:type="dxa" w:w="922"/>
            <w:vAlign w:val="center"/>
            <w:shd w:fill="E7EBEF"/>
          </w:tcPr>
          <w:p>
            <w:pPr>
              <w:spacing w:after="0" w:line="240" w:lineRule="auto"/>
              <w:jc w:val="left"/>
            </w:pPr>
            <w:r>
              <w:rPr>
                <w:b/>
                <w:sz w:val="21"/>
              </w:rPr>
              <w:t>Model</w:t>
            </w:r>
          </w:p>
        </w:tc>
        <w:tc>
          <w:tcPr>
            <w:tcW w:type="dxa" w:w="3053"/>
            <w:vAlign w:val="center"/>
            <w:shd w:fill="E7EBEF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ROC AUC (95% interval)</w:t>
            </w:r>
          </w:p>
        </w:tc>
        <w:tc>
          <w:tcPr>
            <w:tcW w:type="dxa" w:w="1238"/>
            <w:vAlign w:val="center"/>
            <w:shd w:fill="E7EBEF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Brier score</w:t>
            </w:r>
          </w:p>
        </w:tc>
        <w:tc>
          <w:tcPr>
            <w:tcW w:type="dxa" w:w="2074"/>
            <w:vAlign w:val="center"/>
            <w:shd w:fill="E7EBEF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AP for treatment change</w:t>
            </w:r>
          </w:p>
        </w:tc>
        <w:tc>
          <w:tcPr>
            <w:tcW w:type="dxa" w:w="2678"/>
            <w:vAlign w:val="center"/>
            <w:shd w:fill="E7EBEF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Treatment change correct, n/N</w:t>
            </w:r>
          </w:p>
        </w:tc>
      </w:tr>
      <w:tr>
        <w:trPr>
          <w:cantSplit/>
        </w:trPr>
        <w:tc>
          <w:tcPr>
            <w:tcW w:type="dxa" w:w="9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M0</w:t>
            </w:r>
          </w:p>
        </w:tc>
        <w:tc>
          <w:tcPr>
            <w:tcW w:type="dxa" w:w="305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0.526 [0.404, 0.644]</w:t>
            </w:r>
          </w:p>
        </w:tc>
        <w:tc>
          <w:tcPr>
            <w:tcW w:type="dxa" w:w="123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0.177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0.261</w:t>
            </w:r>
          </w:p>
        </w:tc>
        <w:tc>
          <w:tcPr>
            <w:tcW w:type="dxa" w:w="267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0/41</w:t>
            </w:r>
          </w:p>
        </w:tc>
      </w:tr>
      <w:tr>
        <w:trPr>
          <w:cantSplit/>
        </w:trPr>
        <w:tc>
          <w:tcPr>
            <w:tcW w:type="dxa" w:w="9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M1</w:t>
            </w:r>
          </w:p>
        </w:tc>
        <w:tc>
          <w:tcPr>
            <w:tcW w:type="dxa" w:w="305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0.672 [0.553, 0.778]</w:t>
            </w:r>
          </w:p>
        </w:tc>
        <w:tc>
          <w:tcPr>
            <w:tcW w:type="dxa" w:w="123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0.163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0.354</w:t>
            </w:r>
          </w:p>
        </w:tc>
        <w:tc>
          <w:tcPr>
            <w:tcW w:type="dxa" w:w="267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2/41</w:t>
            </w:r>
          </w:p>
        </w:tc>
      </w:tr>
      <w:tr>
        <w:trPr>
          <w:cantSplit/>
        </w:trPr>
        <w:tc>
          <w:tcPr>
            <w:tcW w:type="dxa" w:w="9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MRI</w:t>
            </w:r>
          </w:p>
        </w:tc>
        <w:tc>
          <w:tcPr>
            <w:tcW w:type="dxa" w:w="305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0.762 [0.683, 0.838]</w:t>
            </w:r>
          </w:p>
        </w:tc>
        <w:tc>
          <w:tcPr>
            <w:tcW w:type="dxa" w:w="123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0.151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0.444</w:t>
            </w:r>
          </w:p>
        </w:tc>
        <w:tc>
          <w:tcPr>
            <w:tcW w:type="dxa" w:w="267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12/41</w:t>
            </w:r>
          </w:p>
        </w:tc>
      </w:tr>
      <w:tr>
        <w:trPr>
          <w:cantSplit/>
        </w:trPr>
        <w:tc>
          <w:tcPr>
            <w:tcW w:type="dxa" w:w="9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Fusion</w:t>
            </w:r>
          </w:p>
        </w:tc>
        <w:tc>
          <w:tcPr>
            <w:tcW w:type="dxa" w:w="305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0.782 [0.698, 0.859]</w:t>
            </w:r>
          </w:p>
        </w:tc>
        <w:tc>
          <w:tcPr>
            <w:tcW w:type="dxa" w:w="123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0.144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0.505</w:t>
            </w:r>
          </w:p>
        </w:tc>
        <w:tc>
          <w:tcPr>
            <w:tcW w:type="dxa" w:w="267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12/41</w:t>
            </w:r>
          </w:p>
        </w:tc>
      </w:tr>
    </w:tbl>
    <w:p>
      <w:pPr>
        <w:keepLines/>
        <w:spacing w:before="120" w:after="80"/>
      </w:pPr>
      <w:r>
        <w:rPr>
          <w:sz w:val="20"/>
        </w:rPr>
        <w:t>M0: age and sex; M1: expanded clinical inputs; MRI: eight MRI features; Fusion: clinical and MRI inputs. All models used the same 182 examinations and patient-grouped five-fold partition.</w:t>
      </w:r>
    </w:p>
    <w:p>
      <w:pPr>
        <w:keepLines/>
        <w:spacing w:before="120" w:after="80"/>
      </w:pPr>
      <w:r>
        <w:rPr>
          <w:sz w:val="20"/>
        </w:rPr>
        <w:t>AUC intervals are the 2.5th and 97.5th percentiles of 2000 paired patient-cluster bootstrap attempts using fixed OOF probabilities without refitting. They do not capture full retraining or partition variability.</w:t>
      </w:r>
    </w:p>
    <w:p>
      <w:pPr>
        <w:keepLines/>
        <w:spacing w:before="120" w:after="80"/>
      </w:pPr>
      <w:r>
        <w:rPr>
          <w:sz w:val="20"/>
        </w:rPr>
        <w:t>AP is average precision for treatment-related change, scored by one minus the tumor probability; its prevalence is 41/182 (0.225). Lower Brier scores indicate smaller probability error. Correct treatment-change counts use tumor probability below 0.5. Displayed metrics are rounded to three decimals; the accompanying CSV retains the original precision.</w:t>
      </w:r>
    </w:p>
    <w:p>
      <w:pPr>
        <w:sectPr>
          <w:footerReference w:type="default" r:id="rId10"/>
          <w:pgSz w:w="12240" w:h="15840"/>
          <w:pgMar w:top="1138" w:right="1138" w:bottom="1138" w:left="1138" w:header="720" w:footer="720" w:gutter="0"/>
          <w:cols w:space="720"/>
          <w:docGrid w:linePitch="360"/>
        </w:sectPr>
      </w:pPr>
    </w:p>
    <w:p>
      <w:pPr>
        <w:pStyle w:val="Heading1"/>
      </w:pPr>
      <w:r>
        <w:t>Figure 2</w:t>
      </w:r>
    </w:p>
    <w:p>
      <w:r>
        <w:drawing>
          <wp:inline xmlns:a="http://schemas.openxmlformats.org/drawingml/2006/main" xmlns:pic="http://schemas.openxmlformats.org/drawingml/2006/picture">
            <wp:extent cx="8503920" cy="2721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Main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sz w:val="20"/>
        </w:rPr>
        <w:t>Figure 2. Internal validation of the four fixed models in 182 examinations from 135 patients. A, ROC curves based on pooled patient-grouped OOF probabilities. B, Precision-recall curves for treatment-related change; the dashed horizontal line marks its examination-level prevalence. AP denotes average precision. C, Descriptive calibration using predicted-probability quantile groups, with mean predicted tumor probability plotted against observed tumor proportion. The diagonal line in A is a reference for nondiscrimination and in C for agreement. Calibration summaries were not used to recalibrate the evaluated probabilities.</w:t>
      </w:r>
    </w:p>
    <w:sectPr w:rsidR="00FC693F" w:rsidRPr="0006063C" w:rsidSect="00034616">
      <w:pgSz w:w="15840" w:h="12240" w:orient="landscape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80"/>
    </w:pPr>
    <w:rPr>
      <w:rFonts w:ascii="Times New Roman" w:hAnsi="Times New Roman" w:eastAsia="Noto Serif CJK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80"/>
      <w:outlineLvl w:val="0"/>
    </w:pPr>
    <w:rPr>
      <w:rFonts w:ascii="Times New Roman" w:hAnsi="Times New Roman" w:eastAsia="Noto Serif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Times New Roman" w:hAnsi="Times New Roman" w:eastAsia="Noto Serif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 3.3 Four-model discrimination</dc:title>
  <dc:subject/>
  <dc:creator>Tianyu Feng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