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and methods</w:t>
      </w:r>
    </w:p>
    <w:p>
      <w:pPr>
        <w:pStyle w:val="Heading1"/>
      </w:pPr>
      <w:r>
        <w:t>2.10 Reproducibility and software</w:t>
      </w:r>
    </w:p>
    <w:p>
      <w:pPr>
        <w:keepNext/>
        <w:keepLines/>
        <w:pageBreakBefore w:val="0"/>
      </w:pPr>
      <w:r>
        <w:t>Analyses were implemented in Python 3 using scikit-learn 1.8.0 (5), NumPy 2.3.5, pandas 2.2.3, SciPy 1.17.0 and Matplotlib 3.10.8. Jupyter notebooks for feature extraction, model evaluation and sensitivity analyses were executed through an in-process ipykernel 7.4.0 kernel, with code hashes and execution receipts retained. The public project repository (https://github.com/BTomoto/rn-mri-clinical-fusion) contains code, derived data, OOF probabilities, fold assignments and analysis locks linking inputs, protocols and code by SHA256 checksums. Model analyses can be rerun from the saved feature tables without downloading images again. Re-extracting features requires the image files: 18 inputs are included as repository samples, whereas 528 additional inputs were archived separately. Source manifests provide acquisition URLs and checksums, and an archive restoration script verifies the archive and its extracted members. The saved restoration receipt records successful verification of all 528 additional files; access to the stored archive requires its holder’s account, with public acquisition URLs providing an alternative route. Sample size was determined by eligible linked examinations with available inputs, without a prospective sample-size calculation.</w:t>
      </w:r>
    </w:p>
    <w:p>
      <w:pPr>
        <w:keepLines/>
      </w:pPr>
      <w:r>
        <w:rPr>
          <w:sz w:val="22"/>
        </w:rPr>
        <w:t>分析采用Python 3，使用scikit-learn 1.8.0（5）、NumPy 2.3.5、pandas 2.2.3、SciPy 1.17.0和Matplotlib 3.10.8。特征提取、模型评价和敏感性分析的Jupyter Notebook通过进程内ipykernel 7.4.0内核执行，保留代码哈希及执行回执。公开项目仓库（https://github.com/BTomoto/rn-mri-clinical-fusion）包含代码、派生数据、OOF概率、分折划分，以及通过SHA256校验值关联输入、方案与代码的分析锁。模型分析可直接使用已保存的特征表重新运行，无需再次下载图像。重新提取特征则需要影像文件：其中18份输入作为仓库样本保存，另外528份输入单独归档。源清单提供获取URL与校验值，归档恢复脚本会核验压缩包及解出的成员。既有恢复回执记录528份追加文件均核验成功；获取所存归档需要持有者的账户权限，也可通过公开获取URL重新取得。样本规模由具备可用输入且符合条件的关联检查决定，未进行前瞻性样本量计算。</w:t>
      </w:r>
    </w:p>
    <w:p>
      <w:pPr>
        <w:pStyle w:val="Heading1"/>
      </w:pPr>
      <w:r>
        <w:t>References</w:t>
      </w:r>
    </w:p>
    <w:p>
      <w:pPr>
        <w:keepLines/>
      </w:pPr>
      <w:r>
        <w:t>5. Pedregosa F, Varoquaux G, Gramfort A, Michel V, Thirion B, Grisel O, et al. Scikit-learn: Machine Learning in Python. J Mach Learn Res. 2011;12:2825-2830. Available from: https://www.jmlr.org/papers/v12/pedregosa11a.html</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2.10 Reproducibility and software</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