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w:t>
      </w:r>
    </w:p>
    <w:p>
      <w:pPr>
        <w:pStyle w:val="Heading1"/>
      </w:pPr>
      <w:r>
        <w:t>3.5 Calibration and errors</w:t>
      </w:r>
    </w:p>
    <w:p>
      <w:pPr>
        <w:keepNext/>
        <w:keepLines/>
        <w:pageBreakBefore w:val="0"/>
      </w:pPr>
      <w:r>
        <w:t>Fusion had an offset calibration intercept of -0.121 and a calibration slope of 0.667 in the pooled OOF predictions (Figure 2C; Supplementary Table S3). These were descriptive calibration diagnostics and were not applied to modify the evaluated probabilities. At the fixed tumor-probability threshold of 0.5, Fusion correctly classified 130 of 141 tumor examinations (92.2%) and 12 of 41 treatment-related-change examinations (29.3%). Eleven tumor examinations were classified as treatment-related change, whereas 29 treatment-related-change examinations were classified as tumor. Overall accuracy was 142/182 (78.0%), compared with 141/182 (77.5%) for a reference rule assigning every examination to tumor. Balanced accuracy was 0.607. M1 correctly recognized two treatment-related-change examinations, while MRI and Fusion each recognized 12. The same MRI and Fusion models correctly classified 128 and 130 tumor examinations, respectively. Thus, the higher discrimination estimates coexisted with limited treatment-related-change recognition at the unchanged threshold, and overall accuracy remained close to the always-tumor reference.</w:t>
      </w:r>
    </w:p>
    <w:p>
      <w:pPr>
        <w:keepLines/>
      </w:pPr>
      <w:r>
        <w:rPr>
          <w:sz w:val="22"/>
        </w:rPr>
        <w:t>在汇总的OOF预测中，Fusion固定offset的校准截距为−0.121，校准斜率为0.667（Figure 2C；Supplementary Table S3）。这些为描述性校准诊断，未用于修改被评价的概率。在固定的0.5肿瘤概率阈值下，Fusion正确分类141次肿瘤检查中的130次（92.2%），以及41次治疗相关改变检查中的12次（29.3%）。11次肿瘤检查被分为治疗相关改变，29次治疗相关改变检查被分为肿瘤。总体准确率为142/182（78.0%），将每次检查都分为肿瘤的参考规则准确率为141/182（77.5%）。平衡准确率为0.607。M1正确识别2次治疗相关改变检查，MRI和Fusion各正确识别12次；这两个MRI与Fusion模型分别正确分类128次和130次肿瘤检查。因此，较高的鉴别指标与固定阈值下有限的治疗相关改变识别能力同时存在，总体准确率仍接近全判肿瘤的参考规则。</w:t>
      </w:r>
    </w:p>
    <w:p>
      <w:pPr>
        <w:pStyle w:val="Heading1"/>
        <w:keepNext/>
        <w:pageBreakBefore/>
      </w:pPr>
      <w:r>
        <w:t>Table S3. Fixed-threshold classification and calibration diagnostics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1973"/>
        <w:gridCol w:w="1973"/>
        <w:gridCol w:w="1627"/>
        <w:gridCol w:w="1901"/>
        <w:gridCol w:w="1598"/>
      </w:tblGrid>
      <w:tr>
        <w:trPr>
          <w:cantSplit/>
          <w:tblHeader/>
        </w:trPr>
        <w:tc>
          <w:tcPr>
            <w:tcW w:type="dxa" w:w="893"/>
            <w:vAlign w:val="center"/>
            <w:shd w:fill="E7EBEF"/>
          </w:tcPr>
          <w:p>
            <w:pPr>
              <w:spacing w:after="0" w:line="240" w:lineRule="auto"/>
              <w:jc w:val="left"/>
            </w:pPr>
            <w:r>
              <w:rPr>
                <w:b/>
                <w:sz w:val="21"/>
              </w:rPr>
              <w:t>Model</w:t>
            </w:r>
          </w:p>
        </w:tc>
        <w:tc>
          <w:tcPr>
            <w:tcW w:type="dxa" w:w="1973"/>
            <w:vAlign w:val="center"/>
            <w:shd w:fill="E7EBEF"/>
          </w:tcPr>
          <w:p>
            <w:pPr>
              <w:spacing w:after="0" w:line="240" w:lineRule="auto"/>
              <w:jc w:val="center"/>
            </w:pPr>
            <w:r>
              <w:rPr>
                <w:b/>
                <w:sz w:val="21"/>
              </w:rPr>
              <w:t>Treatment change correct, n/N</w:t>
            </w:r>
          </w:p>
        </w:tc>
        <w:tc>
          <w:tcPr>
            <w:tcW w:type="dxa" w:w="1973"/>
            <w:vAlign w:val="center"/>
            <w:shd w:fill="E7EBEF"/>
          </w:tcPr>
          <w:p>
            <w:pPr>
              <w:spacing w:after="0" w:line="240" w:lineRule="auto"/>
              <w:jc w:val="center"/>
            </w:pPr>
            <w:r>
              <w:rPr>
                <w:b/>
                <w:sz w:val="21"/>
              </w:rPr>
              <w:t>Tumor correct, n/N</w:t>
            </w:r>
          </w:p>
        </w:tc>
        <w:tc>
          <w:tcPr>
            <w:tcW w:type="dxa" w:w="1627"/>
            <w:vAlign w:val="center"/>
            <w:shd w:fill="E7EBEF"/>
          </w:tcPr>
          <w:p>
            <w:pPr>
              <w:spacing w:after="0" w:line="240" w:lineRule="auto"/>
              <w:jc w:val="center"/>
            </w:pPr>
            <w:r>
              <w:rPr>
                <w:b/>
                <w:sz w:val="21"/>
              </w:rPr>
              <w:t>Balanced accuracy</w:t>
            </w:r>
          </w:p>
        </w:tc>
        <w:tc>
          <w:tcPr>
            <w:tcW w:type="dxa" w:w="1901"/>
            <w:vAlign w:val="center"/>
            <w:shd w:fill="E7EBEF"/>
          </w:tcPr>
          <w:p>
            <w:pPr>
              <w:spacing w:after="0" w:line="240" w:lineRule="auto"/>
              <w:jc w:val="center"/>
            </w:pPr>
            <w:r>
              <w:rPr>
                <w:b/>
                <w:sz w:val="21"/>
              </w:rPr>
              <w:t>Calibration offset intercept</w:t>
            </w:r>
          </w:p>
        </w:tc>
        <w:tc>
          <w:tcPr>
            <w:tcW w:type="dxa" w:w="1598"/>
            <w:vAlign w:val="center"/>
            <w:shd w:fill="E7EBEF"/>
          </w:tcPr>
          <w:p>
            <w:pPr>
              <w:spacing w:after="0" w:line="240" w:lineRule="auto"/>
              <w:jc w:val="center"/>
            </w:pPr>
            <w:r>
              <w:rPr>
                <w:b/>
                <w:sz w:val="21"/>
              </w:rPr>
              <w:t>Calibration slope</w:t>
            </w:r>
          </w:p>
        </w:tc>
      </w:tr>
      <w:tr>
        <w:trPr>
          <w:cantSplit/>
        </w:trPr>
        <w:tc>
          <w:tcPr>
            <w:tcW w:type="dxa" w:w="893"/>
            <w:vAlign w:val="center"/>
          </w:tcPr>
          <w:p>
            <w:pPr>
              <w:spacing w:after="0" w:line="240" w:lineRule="auto"/>
              <w:jc w:val="left"/>
            </w:pPr>
            <w:r>
              <w:rPr>
                <w:b w:val="0"/>
                <w:sz w:val="21"/>
              </w:rPr>
              <w:t>M0</w:t>
            </w:r>
          </w:p>
        </w:tc>
        <w:tc>
          <w:tcPr>
            <w:tcW w:type="dxa" w:w="1973"/>
            <w:vAlign w:val="center"/>
          </w:tcPr>
          <w:p>
            <w:pPr>
              <w:spacing w:after="0" w:line="240" w:lineRule="auto"/>
              <w:jc w:val="center"/>
            </w:pPr>
            <w:r>
              <w:rPr>
                <w:b w:val="0"/>
                <w:sz w:val="21"/>
              </w:rPr>
              <w:t>0/41</w:t>
            </w:r>
          </w:p>
        </w:tc>
        <w:tc>
          <w:tcPr>
            <w:tcW w:type="dxa" w:w="1973"/>
            <w:vAlign w:val="center"/>
          </w:tcPr>
          <w:p>
            <w:pPr>
              <w:spacing w:after="0" w:line="240" w:lineRule="auto"/>
              <w:jc w:val="center"/>
            </w:pPr>
            <w:r>
              <w:rPr>
                <w:b w:val="0"/>
                <w:sz w:val="21"/>
              </w:rPr>
              <w:t>140/141</w:t>
            </w:r>
          </w:p>
        </w:tc>
        <w:tc>
          <w:tcPr>
            <w:tcW w:type="dxa" w:w="1627"/>
            <w:vAlign w:val="center"/>
          </w:tcPr>
          <w:p>
            <w:pPr>
              <w:spacing w:after="0" w:line="240" w:lineRule="auto"/>
              <w:jc w:val="center"/>
            </w:pPr>
            <w:r>
              <w:rPr>
                <w:b w:val="0"/>
                <w:sz w:val="21"/>
              </w:rPr>
              <w:t>0.496</w:t>
            </w:r>
          </w:p>
        </w:tc>
        <w:tc>
          <w:tcPr>
            <w:tcW w:type="dxa" w:w="1901"/>
            <w:vAlign w:val="center"/>
          </w:tcPr>
          <w:p>
            <w:pPr>
              <w:spacing w:after="0" w:line="240" w:lineRule="auto"/>
              <w:jc w:val="center"/>
            </w:pPr>
            <w:r>
              <w:rPr>
                <w:b w:val="0"/>
                <w:sz w:val="21"/>
              </w:rPr>
              <w:t>-0.023</w:t>
            </w:r>
          </w:p>
        </w:tc>
        <w:tc>
          <w:tcPr>
            <w:tcW w:type="dxa" w:w="1598"/>
            <w:vAlign w:val="center"/>
          </w:tcPr>
          <w:p>
            <w:pPr>
              <w:spacing w:after="0" w:line="240" w:lineRule="auto"/>
              <w:jc w:val="center"/>
            </w:pPr>
            <w:r>
              <w:rPr>
                <w:b w:val="0"/>
                <w:sz w:val="21"/>
              </w:rPr>
              <w:t>0.311</w:t>
            </w:r>
          </w:p>
        </w:tc>
      </w:tr>
      <w:tr>
        <w:trPr>
          <w:cantSplit/>
        </w:trPr>
        <w:tc>
          <w:tcPr>
            <w:tcW w:type="dxa" w:w="893"/>
            <w:vAlign w:val="center"/>
          </w:tcPr>
          <w:p>
            <w:pPr>
              <w:spacing w:after="0" w:line="240" w:lineRule="auto"/>
              <w:jc w:val="left"/>
            </w:pPr>
            <w:r>
              <w:rPr>
                <w:b w:val="0"/>
                <w:sz w:val="21"/>
              </w:rPr>
              <w:t>M1</w:t>
            </w:r>
          </w:p>
        </w:tc>
        <w:tc>
          <w:tcPr>
            <w:tcW w:type="dxa" w:w="1973"/>
            <w:vAlign w:val="center"/>
          </w:tcPr>
          <w:p>
            <w:pPr>
              <w:spacing w:after="0" w:line="240" w:lineRule="auto"/>
              <w:jc w:val="center"/>
            </w:pPr>
            <w:r>
              <w:rPr>
                <w:b w:val="0"/>
                <w:sz w:val="21"/>
              </w:rPr>
              <w:t>2/41</w:t>
            </w:r>
          </w:p>
        </w:tc>
        <w:tc>
          <w:tcPr>
            <w:tcW w:type="dxa" w:w="1973"/>
            <w:vAlign w:val="center"/>
          </w:tcPr>
          <w:p>
            <w:pPr>
              <w:spacing w:after="0" w:line="240" w:lineRule="auto"/>
              <w:jc w:val="center"/>
            </w:pPr>
            <w:r>
              <w:rPr>
                <w:b w:val="0"/>
                <w:sz w:val="21"/>
              </w:rPr>
              <w:t>134/141</w:t>
            </w:r>
          </w:p>
        </w:tc>
        <w:tc>
          <w:tcPr>
            <w:tcW w:type="dxa" w:w="1627"/>
            <w:vAlign w:val="center"/>
          </w:tcPr>
          <w:p>
            <w:pPr>
              <w:spacing w:after="0" w:line="240" w:lineRule="auto"/>
              <w:jc w:val="center"/>
            </w:pPr>
            <w:r>
              <w:rPr>
                <w:b w:val="0"/>
                <w:sz w:val="21"/>
              </w:rPr>
              <w:t>0.500</w:t>
            </w:r>
          </w:p>
        </w:tc>
        <w:tc>
          <w:tcPr>
            <w:tcW w:type="dxa" w:w="1901"/>
            <w:vAlign w:val="center"/>
          </w:tcPr>
          <w:p>
            <w:pPr>
              <w:spacing w:after="0" w:line="240" w:lineRule="auto"/>
              <w:jc w:val="center"/>
            </w:pPr>
            <w:r>
              <w:rPr>
                <w:b w:val="0"/>
                <w:sz w:val="21"/>
              </w:rPr>
              <w:t>-0.023</w:t>
            </w:r>
          </w:p>
        </w:tc>
        <w:tc>
          <w:tcPr>
            <w:tcW w:type="dxa" w:w="1598"/>
            <w:vAlign w:val="center"/>
          </w:tcPr>
          <w:p>
            <w:pPr>
              <w:spacing w:after="0" w:line="240" w:lineRule="auto"/>
              <w:jc w:val="center"/>
            </w:pPr>
            <w:r>
              <w:rPr>
                <w:b w:val="0"/>
                <w:sz w:val="21"/>
              </w:rPr>
              <w:t>0.761</w:t>
            </w:r>
          </w:p>
        </w:tc>
      </w:tr>
      <w:tr>
        <w:trPr>
          <w:cantSplit/>
        </w:trPr>
        <w:tc>
          <w:tcPr>
            <w:tcW w:type="dxa" w:w="893"/>
            <w:vAlign w:val="center"/>
          </w:tcPr>
          <w:p>
            <w:pPr>
              <w:spacing w:after="0" w:line="240" w:lineRule="auto"/>
              <w:jc w:val="left"/>
            </w:pPr>
            <w:r>
              <w:rPr>
                <w:b w:val="0"/>
                <w:sz w:val="21"/>
              </w:rPr>
              <w:t>MRI</w:t>
            </w:r>
          </w:p>
        </w:tc>
        <w:tc>
          <w:tcPr>
            <w:tcW w:type="dxa" w:w="1973"/>
            <w:vAlign w:val="center"/>
          </w:tcPr>
          <w:p>
            <w:pPr>
              <w:spacing w:after="0" w:line="240" w:lineRule="auto"/>
              <w:jc w:val="center"/>
            </w:pPr>
            <w:r>
              <w:rPr>
                <w:b w:val="0"/>
                <w:sz w:val="21"/>
              </w:rPr>
              <w:t>12/41</w:t>
            </w:r>
          </w:p>
        </w:tc>
        <w:tc>
          <w:tcPr>
            <w:tcW w:type="dxa" w:w="1973"/>
            <w:vAlign w:val="center"/>
          </w:tcPr>
          <w:p>
            <w:pPr>
              <w:spacing w:after="0" w:line="240" w:lineRule="auto"/>
              <w:jc w:val="center"/>
            </w:pPr>
            <w:r>
              <w:rPr>
                <w:b w:val="0"/>
                <w:sz w:val="21"/>
              </w:rPr>
              <w:t>128/141</w:t>
            </w:r>
          </w:p>
        </w:tc>
        <w:tc>
          <w:tcPr>
            <w:tcW w:type="dxa" w:w="1627"/>
            <w:vAlign w:val="center"/>
          </w:tcPr>
          <w:p>
            <w:pPr>
              <w:spacing w:after="0" w:line="240" w:lineRule="auto"/>
              <w:jc w:val="center"/>
            </w:pPr>
            <w:r>
              <w:rPr>
                <w:b w:val="0"/>
                <w:sz w:val="21"/>
              </w:rPr>
              <w:t>0.600</w:t>
            </w:r>
          </w:p>
        </w:tc>
        <w:tc>
          <w:tcPr>
            <w:tcW w:type="dxa" w:w="1901"/>
            <w:vAlign w:val="center"/>
          </w:tcPr>
          <w:p>
            <w:pPr>
              <w:spacing w:after="0" w:line="240" w:lineRule="auto"/>
              <w:jc w:val="center"/>
            </w:pPr>
            <w:r>
              <w:rPr>
                <w:b w:val="0"/>
                <w:sz w:val="21"/>
              </w:rPr>
              <w:t>-0.058</w:t>
            </w:r>
          </w:p>
        </w:tc>
        <w:tc>
          <w:tcPr>
            <w:tcW w:type="dxa" w:w="1598"/>
            <w:vAlign w:val="center"/>
          </w:tcPr>
          <w:p>
            <w:pPr>
              <w:spacing w:after="0" w:line="240" w:lineRule="auto"/>
              <w:jc w:val="center"/>
            </w:pPr>
            <w:r>
              <w:rPr>
                <w:b w:val="0"/>
                <w:sz w:val="21"/>
              </w:rPr>
              <w:t>0.678</w:t>
            </w:r>
          </w:p>
        </w:tc>
      </w:tr>
      <w:tr>
        <w:trPr>
          <w:cantSplit/>
        </w:trPr>
        <w:tc>
          <w:tcPr>
            <w:tcW w:type="dxa" w:w="893"/>
            <w:vAlign w:val="center"/>
          </w:tcPr>
          <w:p>
            <w:pPr>
              <w:spacing w:after="0" w:line="240" w:lineRule="auto"/>
              <w:jc w:val="left"/>
            </w:pPr>
            <w:r>
              <w:rPr>
                <w:b w:val="0"/>
                <w:sz w:val="21"/>
              </w:rPr>
              <w:t>Fusion</w:t>
            </w:r>
          </w:p>
        </w:tc>
        <w:tc>
          <w:tcPr>
            <w:tcW w:type="dxa" w:w="1973"/>
            <w:vAlign w:val="center"/>
          </w:tcPr>
          <w:p>
            <w:pPr>
              <w:spacing w:after="0" w:line="240" w:lineRule="auto"/>
              <w:jc w:val="center"/>
            </w:pPr>
            <w:r>
              <w:rPr>
                <w:b w:val="0"/>
                <w:sz w:val="21"/>
              </w:rPr>
              <w:t>12/41</w:t>
            </w:r>
          </w:p>
        </w:tc>
        <w:tc>
          <w:tcPr>
            <w:tcW w:type="dxa" w:w="1973"/>
            <w:vAlign w:val="center"/>
          </w:tcPr>
          <w:p>
            <w:pPr>
              <w:spacing w:after="0" w:line="240" w:lineRule="auto"/>
              <w:jc w:val="center"/>
            </w:pPr>
            <w:r>
              <w:rPr>
                <w:b w:val="0"/>
                <w:sz w:val="21"/>
              </w:rPr>
              <w:t>130/141</w:t>
            </w:r>
          </w:p>
        </w:tc>
        <w:tc>
          <w:tcPr>
            <w:tcW w:type="dxa" w:w="1627"/>
            <w:vAlign w:val="center"/>
          </w:tcPr>
          <w:p>
            <w:pPr>
              <w:spacing w:after="0" w:line="240" w:lineRule="auto"/>
              <w:jc w:val="center"/>
            </w:pPr>
            <w:r>
              <w:rPr>
                <w:b w:val="0"/>
                <w:sz w:val="21"/>
              </w:rPr>
              <w:t>0.607</w:t>
            </w:r>
          </w:p>
        </w:tc>
        <w:tc>
          <w:tcPr>
            <w:tcW w:type="dxa" w:w="1901"/>
            <w:vAlign w:val="center"/>
          </w:tcPr>
          <w:p>
            <w:pPr>
              <w:spacing w:after="0" w:line="240" w:lineRule="auto"/>
              <w:jc w:val="center"/>
            </w:pPr>
            <w:r>
              <w:rPr>
                <w:b w:val="0"/>
                <w:sz w:val="21"/>
              </w:rPr>
              <w:t>-0.121</w:t>
            </w:r>
          </w:p>
        </w:tc>
        <w:tc>
          <w:tcPr>
            <w:tcW w:type="dxa" w:w="1598"/>
            <w:vAlign w:val="center"/>
          </w:tcPr>
          <w:p>
            <w:pPr>
              <w:spacing w:after="0" w:line="240" w:lineRule="auto"/>
              <w:jc w:val="center"/>
            </w:pPr>
            <w:r>
              <w:rPr>
                <w:b w:val="0"/>
                <w:sz w:val="21"/>
              </w:rPr>
              <w:t>0.667</w:t>
            </w:r>
          </w:p>
        </w:tc>
      </w:tr>
    </w:tbl>
    <w:p>
      <w:pPr>
        <w:keepLines/>
        <w:spacing w:before="120" w:after="80"/>
      </w:pPr>
      <w:r>
        <w:rPr>
          <w:sz w:val="20"/>
        </w:rPr>
        <w:t>All counts refer to the same 182 examinations from 135 patients. Tumor probability at least 0.5 is classified as tumor; a lower probability is classified as treatment-related change. Balanced accuracy is the mean of tumor sensitivity and treatment-change recognition.</w:t>
      </w:r>
    </w:p>
    <w:p>
      <w:pPr>
        <w:keepLines/>
        <w:spacing w:before="120" w:after="80"/>
      </w:pPr>
      <w:r>
        <w:rPr>
          <w:sz w:val="20"/>
        </w:rPr>
        <w:t>The calibration offset intercept is estimated with the predicted log odds as a fixed offset and slope set to one. The calibration slope is estimated jointly with a free intercept in a separate unpenalized logistic diagnostic regression. These two intercept definitions are distinct; the joint intercept is not shown here.</w:t>
      </w:r>
    </w:p>
    <w:p>
      <w:pPr>
        <w:keepLines/>
        <w:spacing w:before="120" w:after="80"/>
      </w:pPr>
      <w:r>
        <w:rPr>
          <w:sz w:val="20"/>
        </w:rPr>
        <w:t>Calibration uses the pooled OOF predictions without subsequent recalibration or threshold changes. Values are descriptive estimates without calibration confidence intervals. Metrics are displayed to three decimals; class counts retain their exact denominators.</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3.5 Calibration and errors</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