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Clinical-MRI Feature Fusion for Distinguishing Residual or Recurrent Tumor from Treatment-Related Changes after Glioma Treatment: A Public-Data Internal Validation Study</w:t>
      </w:r>
    </w:p>
    <w:p>
      <w:pPr>
        <w:pStyle w:val="Heading1"/>
      </w:pPr>
      <w:r>
        <w:t>Abstract</w:t>
      </w:r>
    </w:p>
    <w:p>
      <w:pPr>
        <w:keepNext/>
      </w:pPr>
      <w:r>
        <w:rPr>
          <w:b/>
        </w:rPr>
        <w:t xml:space="preserve">Background: </w:t>
      </w:r>
      <w:r>
        <w:t>Distinguishing residual or recurrent tumor from treatment-related change after high-grade glioma treatment remains difficult. We evaluated whether fixed magnetic resonance imaging (MRI) descriptors provide incremental discrimination beyond available clinical inputs in public data.</w:t>
      </w:r>
    </w:p>
    <w:p>
      <w:pPr>
        <w:keepNext w:val="0"/>
      </w:pPr>
      <w:r>
        <w:rPr>
          <w:sz w:val="22"/>
        </w:rPr>
        <w:t>高级别胶质瘤治疗后，残余或复发肿瘤与治疗相关改变的鉴别仍然困难。我们利用公开数据，评价固定磁共振成像（MRI）描述量能否在现有临床输入之外提供增量鉴别信息。</w:t>
      </w:r>
    </w:p>
    <w:p>
      <w:pPr>
        <w:keepNext/>
      </w:pPr>
      <w:r>
        <w:rPr>
          <w:b/>
        </w:rPr>
        <w:t xml:space="preserve">Methods: </w:t>
      </w:r>
      <w:r>
        <w:t>This secondary analysis of the public UCSD-PTGBM collection included 182 examinations from 135 patients. Four fixed L2-penalized logistic models used age and sex, five clinical inputs, eight MRI descriptors, or their fusion. MRI features summarized fluid-attenuated inversion recovery (FLAIR) and postcontrast T1 intensity and texture within supplied annotation regions. Five-fold patient-grouped validation generated out-of-fold predictions. The primary comparison was the Fusion-minus-expanded-clinical area under the receiver operating characteristic curve (AUC) difference. Intervals used 2000 patient-cluster bootstrap attempts conditional on fixed predictions. Sensitivity analyses examined annotation boundaries and examination selection.</w:t>
      </w:r>
    </w:p>
    <w:p>
      <w:pPr>
        <w:keepNext w:val="0"/>
      </w:pPr>
      <w:r>
        <w:rPr>
          <w:sz w:val="22"/>
        </w:rPr>
        <w:t>本项基于公开UCSD-PTGBM数据集的二次分析纳入135名患者的182次检查。四个固定的L2惩罚Logistic模型分别采用年龄与性别、五项临床输入、八项MRI描述量及其融合。MRI特征汇总所提供标注区域内液体衰减反转恢复（FLAIR）与增强T1的强度及纹理。五折患者分组验证生成折外预测，主要比较为Fusion减去扩展临床模型的受试者工作特征曲线下面积（AUC）差值。采用2000次患者聚类bootstrap构建条件于固定预测的区间，敏感性分析考察标注边界与检查选择。</w:t>
      </w:r>
    </w:p>
    <w:p>
      <w:pPr>
        <w:keepNext/>
      </w:pPr>
      <w:r>
        <w:rPr>
          <w:b/>
        </w:rPr>
        <w:t xml:space="preserve">Results: </w:t>
      </w:r>
      <w:r>
        <w:t>Fusion achieved an AUC of 0.782 versus 0.672 for the expanded clinical model and 0.762 for MRI alone. The paired AUC increment was 0.110 (95% percentile interval, 0.021 to 0.214). Treatment-related-change average precision was 0.505 for Fusion and 0.354 for the clinical model. At the fixed 0.5 threshold, Fusion recognized 130/141 tumor examinations and 12/41 treatment-related-change examinations. Its descriptive calibration slope was 0.667. Brier-score and logarithmic-loss difference intervals included zero.</w:t>
      </w:r>
    </w:p>
    <w:p>
      <w:pPr>
        <w:keepNext w:val="0"/>
      </w:pPr>
      <w:r>
        <w:rPr>
          <w:sz w:val="22"/>
        </w:rPr>
        <w:t>Fusion的AUC为0.782，扩展临床模型为0.672，仅MRI模型为0.762。配对AUC增量为0.110（95%百分位区间0.021至0.214）。Fusion与临床模型的治疗相关改变平均精确率分别为0.505和0.354。在固定0.5阈值下，Fusion识别出130/141次肿瘤检查及12/41次治疗相关改变检查，描述性校准斜率为0.667。Brier评分及对数损失差值的区间包含零。</w:t>
      </w:r>
    </w:p>
    <w:p>
      <w:pPr>
        <w:keepNext/>
      </w:pPr>
      <w:r>
        <w:rPr>
          <w:b/>
        </w:rPr>
        <w:t xml:space="preserve">Conclusions: </w:t>
      </w:r>
      <w:r>
        <w:t>Clinical-MRI feature fusion improved discrimination over the clinical model in this public cohort. The reproducible approach merits evaluation in independent cohorts, with attention to treatment-change recognition and calibration.</w:t>
      </w:r>
    </w:p>
    <w:p>
      <w:pPr>
        <w:keepNext w:val="0"/>
      </w:pPr>
      <w:r>
        <w:rPr>
          <w:sz w:val="22"/>
        </w:rPr>
        <w:t>在本公开队列中，临床–MRI特征融合提高了相较临床模型的鉴别能力。这一可复现方法值得在独立队列中进一步评价，并关注治疗相关改变识别及校准。</w:t>
      </w:r>
    </w:p>
    <w:p>
      <w:r>
        <w:rPr>
          <w:b/>
        </w:rPr>
        <w:t xml:space="preserve">Keywords: </w:t>
      </w:r>
      <w:r>
        <w:t>high-grade glioma; treatment-related change; magnetic resonance imaging; feature fusion; logistic regression; internal validation</w:t>
      </w:r>
    </w:p>
    <w:sectPr w:rsidR="00FC693F" w:rsidRPr="0006063C" w:rsidSect="00034616">
      <w:footerReference w:type="default" r:id="rId9"/>
      <w:pgSz w:w="12240" w:h="15840"/>
      <w:pgMar w:top="1138" w:right="1138" w:bottom="1138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40"/>
    </w:pPr>
    <w:rPr>
      <w:rFonts w:ascii="Times New Roman" w:hAnsi="Times New Roman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40" w:lineRule="auto"/>
      <w:outlineLvl w:val="0"/>
    </w:pPr>
    <w:rPr>
      <w:rFonts w:ascii="Times New Roman" w:hAnsi="Times New Roman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40" w:lineRule="auto"/>
      <w:outlineLvl w:val="1"/>
    </w:pPr>
    <w:rPr>
      <w:rFonts w:ascii="Times New Roman" w:hAnsi="Times New Roman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Noto Serif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Tianyu Feng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