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Clinical-MRI Feature Fusion for Distinguishing Residual or Recurrent Tumor from Treatment-Related Changes after Glioma Treatment: A Public-Data Internal Validation Study</w:t>
      </w:r>
    </w:p>
    <w:p>
      <w:pPr>
        <w:pStyle w:val="Heading1"/>
      </w:pPr>
      <w:r>
        <w:t>Abstract</w:t>
      </w:r>
    </w:p>
    <w:p>
      <w:pPr>
        <w:keepNext w:val="0"/>
      </w:pPr>
      <w:r>
        <w:rPr>
          <w:b/>
        </w:rPr>
        <w:t xml:space="preserve">Background: </w:t>
      </w:r>
      <w:r>
        <w:t>Distinguishing residual or recurrent tumor from treatment-related change after high-grade glioma treatment remains difficult. We evaluated whether fixed magnetic resonance imaging (MRI) descriptors provide incremental discrimination beyond available clinical inputs in public data.</w:t>
      </w:r>
    </w:p>
    <w:p>
      <w:pPr>
        <w:keepNext w:val="0"/>
      </w:pPr>
      <w:r>
        <w:rPr>
          <w:b/>
        </w:rPr>
        <w:t xml:space="preserve">Methods: </w:t>
      </w:r>
      <w:r>
        <w:t>This secondary analysis of the public UCSD-PTGBM collection included 182 examinations from 135 patients. Four fixed L2-penalized logistic models used age and sex, five clinical inputs, eight MRI descriptors, or their fusion. MRI features summarized fluid-attenuated inversion recovery (FLAIR) and postcontrast T1 intensity and texture within supplied annotation regions. Five-fold patient-grouped validation generated out-of-fold predictions. The primary comparison was the Fusion-minus-expanded-clinical area under the receiver operating characteristic curve (AUC) difference. Intervals used 2000 patient-cluster bootstrap attempts conditional on fixed predictions. Sensitivity analyses examined annotation boundaries and examination selection.</w:t>
      </w:r>
    </w:p>
    <w:p>
      <w:pPr>
        <w:keepNext w:val="0"/>
      </w:pPr>
      <w:r>
        <w:rPr>
          <w:b/>
        </w:rPr>
        <w:t xml:space="preserve">Results: </w:t>
      </w:r>
      <w:r>
        <w:t>Fusion achieved an AUC of 0.782 versus 0.672 for the expanded clinical model and 0.762 for MRI alone. The paired AUC increment was 0.110 (95% percentile interval, 0.021 to 0.214). Treatment-related-change average precision was 0.505 for Fusion and 0.354 for the clinical model. At the fixed 0.5 threshold, Fusion recognized 130/141 tumor examinations and 12/41 treatment-related-change examinations. Its descriptive calibration slope was 0.667. Brier-score and logarithmic-loss difference intervals included zero.</w:t>
      </w:r>
    </w:p>
    <w:p>
      <w:pPr>
        <w:keepNext w:val="0"/>
      </w:pPr>
      <w:r>
        <w:rPr>
          <w:b/>
        </w:rPr>
        <w:t xml:space="preserve">Conclusions: </w:t>
      </w:r>
      <w:r>
        <w:t>Clinical-MRI feature fusion improved discrimination over the clinical model in this public cohort. The reproducible approach merits evaluation in independent cohorts, with attention to treatment-change recognition and calibration.</w:t>
      </w:r>
    </w:p>
    <w:p>
      <w:r>
        <w:rPr>
          <w:b/>
        </w:rPr>
        <w:t xml:space="preserve">Keywords: </w:t>
      </w:r>
      <w:r>
        <w:t>high-grade glioma; treatment-related change; magnetic resonance imaging; feature fusion; logistic regression; internal validation</w:t>
      </w:r>
    </w:p>
    <w:p>
      <w:pPr>
        <w:pStyle w:val="Heading1"/>
        <w:pageBreakBefore/>
      </w:pPr>
      <w:r>
        <w:t>1 Introduction</w:t>
      </w:r>
    </w:p>
    <w:p>
      <w:pPr>
        <w:keepNext w:val="0"/>
      </w:pPr>
      <w:r>
        <w:t>Magnetic resonance imaging (MRI) is central to follow-up after treatment for high-grade glioma. Contemporary glioblastoma management combines surgery, radiotherapy and systemic treatment, with subsequent imaging guiding assessment of disease status and further management (1). New or increasing enhancement can reflect either tumor activity or treatment effects, making their differentiation a recurring diagnostic problem. Response Assessment in Neuro-Oncology (RANO) 2.0 incorporates standardized response assessment and, in relevant early post-radiotherapy settings, confirmation of progression by repeat imaging or unequivocal histopathological evidence (2). Clinical history and the timing of imaging therefore remain important when assessing a suspicious examination. Quantitative MRI offers an additional way to summarize lesion appearance and examine its contribution to clinical assessment.</w:t>
      </w:r>
    </w:p>
    <w:p>
      <w:pPr>
        <w:keepNext w:val="0"/>
      </w:pPr>
      <w:r>
        <w:t>Treatment-related abnormalities include pseudoprogression, radiation necrosis and nonspecific post-treatment changes (1,3). Pseudoprogression commonly presents as radiological worsening followed by stabilization or regression, whereas radiation necrosis is often considered a later form of treatment injury. RANO implementation guidance also distinguishes enhancing, nonenhancing and mixed presentations and specifies circumstances requiring confirmation scans (4). These diagnostic categories and their reference evidence shape the clinical question addressed by an imaging model. The public University of California San Diego Post-Treatment Glioblastoma (UCSD-PTGBM) collection contains residual or recurrent tumor and several categories of treatment-related change, supported by pathological, clinical and imaging assessments (5). It provides a resource for investigating their differentiation at the examination level.</w:t>
      </w:r>
    </w:p>
    <w:p>
      <w:pPr>
        <w:keepNext w:val="0"/>
      </w:pPr>
      <w:r>
        <w:t>Quantitative image features describe both signal distribution and spatial organization. Intensity statistics summarize regional signal levels and dispersion, while texture measures characterize gray-level relationships between neighboring voxels. Radiomics studies have investigated these features for differentiating progression from treatment effects in glioma (3). The Image Biomarker Standardization Initiative (IBSI) provides common definitions for feature calculation (6). Preprocessing also influences the resulting measurements: Foltyn-Dumitru et al. showed that intensity normalization affected external generalization in a study of molecular glioma subtype classification (7). Together, this work supports examining a clearly specified imaging pipeline. A compact panel of fluid-attenuated inversion recovery (FLAIR) and postcontrast T1 features offers a practical representation for evaluating additional information beyond clinical variables.</w:t>
      </w:r>
    </w:p>
    <w:p>
      <w:pPr>
        <w:keepNext w:val="0"/>
      </w:pPr>
      <w:r>
        <w:t>Clinical and imaging variables provide complementary descriptions of a post-treatment examination. Age, treatment history and the interval from an initial clinical event characterize its clinical context, while MRI features quantify regional appearance. Zhou et al. reported favorable results from a model combining radiomics with clinical, molecular and advanced MRI information (8). McKenney et al. reported improved classification accuracy when imaging features were combined with O6-methylguanine-DNA methyltransferase (MGMT) promoter methylation status in a histopathologically confirmed cohort (9). Leone et al., however, found no reliable improvement from adding diffusion, perfusion and radiomic features to their clinical reference model (10). The new-cohort evaluation by de Godoy et al. also illustrates the relevance of outcome grouping to model performance (11). This varied evidence makes a direct comparison between a fusion model and its clinical baseline particularly useful.</w:t>
      </w:r>
    </w:p>
    <w:p>
      <w:pPr>
        <w:keepNext w:val="0"/>
      </w:pPr>
      <w:r>
        <w:t>A reproducible comparison requires explicit feature definitions, consistent preprocessing and appropriate separation of training and validation data. CLEAR and PROBAST+AI emphasize the reporting and appraisal of these components (12,13), while prediction-model guidance distinguishes internal evaluation from evaluation in independent data (14). For patients with repeated examinations, grouping by patient preserves separation between training and validation folds. The importance of this separation is illustrated by experiments with duplicated scans in connectome-based prediction (15). Applying a common cohort, fold structure and evaluation framework to each candidate model makes the incremental comparison easier to interpret and reproduce. TRIPOD+AI provides a reporting framework for presenting the study design and performance estimates (16).</w:t>
      </w:r>
    </w:p>
    <w:p>
      <w:pPr>
        <w:keepNext w:val="0"/>
      </w:pPr>
      <w:r>
        <w:t>We evaluated whether eight fixed MRI features improved discrimination between residual or recurrent tumor and treatment-related change beyond available clinical inputs in public UCSD-PTGBM data (5). Four models were compared: age and sex, expanded clinical inputs, MRI features, and clinical-MRI feature fusion. All models used the same imaging cohort and patient-grouped validation. The primary comparison was the paired difference in area under the receiver operating characteristic curve (AUC) between Fusion and the expanded clinical model. Calibration, probability error and classification performance complemented this comparison. Boundary erosion, repeated grouped partitions and one-examination-per-patient analyses were used to assess the consistency of the findings.</w:t>
      </w:r>
    </w:p>
    <w:p>
      <w:pPr>
        <w:pStyle w:val="Heading1"/>
      </w:pPr>
      <w:r>
        <w:t>2 Materials and methods</w:t>
      </w:r>
    </w:p>
    <w:p>
      <w:pPr>
        <w:pStyle w:val="Heading2"/>
      </w:pPr>
      <w:r>
        <w:t>2.1 Study design and data sources</w:t>
      </w:r>
    </w:p>
    <w:p>
      <w:pPr>
        <w:keepNext w:val="0"/>
      </w:pPr>
      <w:r>
        <w:t>We conducted a retrospective secondary analysis of public, de-identified clinical records and MRI examinations to assess the incremental discrimination provided by MRI features. The outcome was residual or recurrent tumor versus treatment-related change at each examination. Clinical, MRI and fusion models were evaluated in a common cohort using patient-grouped cross-validation. The dataset authors reported institutional review board approval and a waiver of informed consent for the original collection (5). Reporting followed the organizational guidance of TRIPOD+AI and the Checklist for Artificial Intelligence in Medical Imaging (CLAIM) (16,17).</w:t>
      </w:r>
    </w:p>
    <w:p>
      <w:pPr>
        <w:keepNext w:val="0"/>
      </w:pPr>
      <w:r>
        <w:t>The UCSD-PTGBM dataset is distributed through The Cancer Imaging Archive under a Creative Commons Attribution 4.0 license (5). We used version 3 of its public clinical workbook and the accompanying list of examinations with treatment-related changes. FLAIR images, postcontrast T1-weighted images and standard BraTS masks were obtained as NIfTI files from the public data-nih/tcia release mirror on GitHub. Clinical and BraTS identifiers were linked to the corresponding image files. Download addresses, file sizes and SHA256 checksums were recorded for input verification and reproducibility.</w:t>
      </w:r>
    </w:p>
    <w:p>
      <w:pPr>
        <w:keepNext w:val="0"/>
      </w:pPr>
      <w:r>
        <w:t>The source collection contained 243 examinations from 178 patients (5). Five examinations from two patients with discordant clinical and BraTS identifier mappings were excluded during linkage verification, leaving 238 examinations from 176 patients. Complete FLAIR, postcontrast T1-weighted and mask inputs were available for 182 examinations from 135 patients. This imaging cohort comprised 141 tumor and 41 treatment-related-change examinations and was used for all four primary models. Cohort assembly is shown in Figure 1; clinical characteristics according to imaging availability are summarized in Supplementary Table S1.</w:t>
      </w:r>
    </w:p>
    <w:p>
      <w:pPr>
        <w:pStyle w:val="Heading2"/>
      </w:pPr>
      <w:r>
        <w:t>2.2 Reference standard</w:t>
      </w:r>
    </w:p>
    <w:p>
      <w:pPr>
        <w:keepNext w:val="0"/>
      </w:pPr>
      <w:r>
        <w:t>Diagnostic labels followed the published UCSD-PTGBM classification (5). The 51 examinations listed in the public treatment-related-change workbook formed the treatment-related-change class; the other 192 examinations formed the residual or recurrent tumor class in the full collection. Labels were retained after linkage verification and restriction to the imaging cohort. The source diagnoses incorporated pathological evidence and clinical-imaging assessment, with pathological confirmation reported for 45 of the 192 tumor examinations in the full collection. Treatment-related change included pseudoprogression, radiation necrosis and nonspecific post-treatment changes. The analysis used the binary diagnosis assigned to each examination.</w:t>
      </w:r>
    </w:p>
    <w:p>
      <w:pPr>
        <w:pStyle w:val="Heading2"/>
      </w:pPr>
      <w:r>
        <w:t>2.3 Clinical predictors and missing data</w:t>
      </w:r>
    </w:p>
    <w:p>
      <w:pPr>
        <w:keepNext w:val="0"/>
      </w:pPr>
      <w:r>
        <w:t>Clinical predictors were age at imaging, sex at birth, the interval since the recorded initial clinical event, and other treatment before imaging, as provided in the public workbook (5). A missing-interval indicator was included, giving five clinical inputs for M1 and Fusion. M0 used age and sex. Predictor definitions and processing are summarized in Supplementary Table S2.</w:t>
      </w:r>
    </w:p>
    <w:p>
      <w:pPr>
        <w:keepNext w:val="0"/>
      </w:pPr>
      <w:r>
        <w:t>The interval since the recorded initial clinical event was expressed in days and transformed as ln(1 + days). Missing intervals were imputed using the median transformed value in each training fold. Age and the transformed interval were then standardized using training-fold parameters, which were applied to the corresponding validation fold. The imaging cohort contained 36 examinations with a missing interval; age, sex and the other-treatment field were complete.</w:t>
      </w:r>
    </w:p>
    <w:p>
      <w:pPr>
        <w:pStyle w:val="Heading2"/>
      </w:pPr>
      <w:r>
        <w:t>2.4 MRI inputs and annotation region</w:t>
      </w:r>
    </w:p>
    <w:p>
      <w:pPr>
        <w:keepNext w:val="0"/>
      </w:pPr>
      <w:r>
        <w:t>Each included examination comprised a FLAIR volume, a postcontrast T1-weighted volume and a standard BraTS mask, totaling 546 compressed NIfTI files. Input verification covered file integrity, finite voxel values, image dimensions and affine coordinates. Image and mask arrays shared a 256 × 256 × 256 voxel grid and were stored as unsigned 8-bit integers. Features were calculated on the supplied grids. The region of interest (ROI) was the union of positive labels in the supplied standard BraTS mask for each examination.</w:t>
      </w:r>
    </w:p>
    <w:p>
      <w:pPr>
        <w:pStyle w:val="Heading2"/>
      </w:pPr>
      <w:r>
        <w:t>2.5 Intensity normalization and feature definitions</w:t>
      </w:r>
    </w:p>
    <w:p>
      <w:pPr>
        <w:keepNext w:val="0"/>
      </w:pPr>
      <w:r>
        <w:t>FLAIR and postcontrast T1 images were normalized separately. For each image, the first and 99th percentiles were calculated from finite positive voxels using linear percentile interpolation. These image-specific reference values defined the affine scaling in Equation 1, where x is the supplied intensity and u is the scaled intensity. The transformation was applied to all ROI voxels, retaining the full range of scaled values.</w:t>
      </w:r>
    </w:p>
    <w:p>
      <w:pPr>
        <w:keepLines/>
        <w:spacing w:before="100" w:after="140"/>
        <w:jc w:val="center"/>
      </w:pPr>
      <m:oMath>
        <m:r>
          <w:rPr>
            <w:rFonts w:ascii="Cambria Math" w:hAnsi="Cambria Math"/>
            <w:sz w:val="24"/>
          </w:rPr>
          <m:t xml:space="preserve">u = </m:t>
        </m:r>
        <m:f>
          <m:num>
            <m:r>
              <w:rPr>
                <w:rFonts w:ascii="Cambria Math" w:hAnsi="Cambria Math"/>
                <w:sz w:val="24"/>
              </w:rPr>
              <m:t xml:space="preserve">x − </m:t>
            </m:r>
            <m:sSub>
              <m:e>
                <m:r>
                  <w:rPr>
                    <w:rFonts w:ascii="Cambria Math" w:hAnsi="Cambria Math"/>
                    <w:sz w:val="24"/>
                  </w:rPr>
                  <m:t xml:space="preserve">p</m:t>
                </m:r>
              </m:e>
              <m:sub>
                <m:r>
                  <w:rPr>
                    <w:rFonts w:ascii="Cambria Math" w:hAnsi="Cambria Math"/>
                    <w:sz w:val="24"/>
                  </w:rPr>
                  <m:t xml:space="preserve">1</m:t>
                </m:r>
              </m:sub>
            </m:sSub>
          </m:num>
          <m:den>
            <m:sSub>
              <m:e>
                <m:r>
                  <w:rPr>
                    <w:rFonts w:ascii="Cambria Math" w:hAnsi="Cambria Math"/>
                    <w:sz w:val="24"/>
                  </w:rPr>
                  <m:t xml:space="preserve">p</m:t>
                </m:r>
              </m:e>
              <m:sub>
                <m:r>
                  <w:rPr>
                    <w:rFonts w:ascii="Cambria Math" w:hAnsi="Cambria Math"/>
                    <w:sz w:val="24"/>
                  </w:rPr>
                  <m:t xml:space="preserve">99</m:t>
                </m:r>
              </m:sub>
            </m:sSub>
            <m:r>
              <w:rPr>
                <w:rFonts w:ascii="Cambria Math" w:hAnsi="Cambria Math"/>
                <w:sz w:val="24"/>
              </w:rPr>
              <m:t xml:space="preserve"> − </m:t>
            </m:r>
            <m:sSub>
              <m:e>
                <m:r>
                  <w:rPr>
                    <w:rFonts w:ascii="Cambria Math" w:hAnsi="Cambria Math"/>
                    <w:sz w:val="24"/>
                  </w:rPr>
                  <m:t xml:space="preserve">p</m:t>
                </m:r>
              </m:e>
              <m:sub>
                <m:r>
                  <w:rPr>
                    <w:rFonts w:ascii="Cambria Math" w:hAnsi="Cambria Math"/>
                    <w:sz w:val="24"/>
                  </w:rPr>
                  <m:t xml:space="preserve">1</m:t>
                </m:r>
              </m:sub>
            </m:sSub>
          </m:den>
        </m:f>
      </m:oMath>
      <w:r>
        <w:t xml:space="preserve">    (1)</w:t>
      </w:r>
    </w:p>
    <w:p>
      <w:pPr>
        <w:keepNext w:val="0"/>
      </w:pPr>
      <w:r>
        <w:t>Four features were extracted from each sequence: mean, population standard deviation, Shannon entropy and three-dimensional gray-level co-occurrence matrix (GLCM) contrast. Mean and standard deviation were calculated from scaled ROI intensities using Equation 2, with N denoting the voxel count. Entropy and GLCM calculations used fixed-bin-number discretization based on IBSI definitions (6). For each sequence and examination, the minimum and maximum scaled ROI intensities, a and b, defined 32 bins according to Equation 3. Bin probabilities were the proportions of ROI voxels in each bin. Shannon entropy was calculated in bits using base-2 logarithms over occupied bins (Equation 4).</w:t>
      </w:r>
    </w:p>
    <w:p>
      <w:pPr>
        <w:keepLines/>
        <w:spacing w:before="100" w:after="140"/>
        <w:jc w:val="center"/>
      </w:pPr>
      <m:oMath>
        <m:r>
          <w:rPr>
            <w:rFonts w:ascii="Cambria Math" w:hAnsi="Cambria Math"/>
            <w:sz w:val="24"/>
          </w:rPr>
          <m:t xml:space="preserve">μ = </m:t>
        </m:r>
        <m:f>
          <m:num>
            <m:r>
              <w:rPr>
                <w:rFonts w:ascii="Cambria Math" w:hAnsi="Cambria Math"/>
                <w:sz w:val="24"/>
              </w:rPr>
              <m:t xml:space="preserve">1</m:t>
            </m:r>
          </m:num>
          <m:den>
            <m:r>
              <w:rPr>
                <w:rFonts w:ascii="Cambria Math" w:hAnsi="Cambria Math"/>
                <w:sz w:val="24"/>
              </w:rPr>
              <m:t xml:space="preserve">N</m:t>
            </m:r>
          </m:den>
        </m:f>
        <m:nary>
          <m:naryPr>
            <m:chr m:val="∑"/>
            <m:limLoc m:val="undOvr"/>
            <m:grow m:val="1"/>
          </m:naryPr>
          <m:sub>
            <m:r>
              <w:rPr>
                <w:rFonts w:ascii="Cambria Math" w:hAnsi="Cambria Math"/>
                <w:sz w:val="24"/>
              </w:rPr>
              <m:t xml:space="preserve">v=1</m:t>
            </m:r>
          </m:sub>
          <m:sup>
            <m:r>
              <w:rPr>
                <w:rFonts w:ascii="Cambria Math" w:hAnsi="Cambria Math"/>
                <w:sz w:val="24"/>
              </w:rPr>
              <m:t xml:space="preserve">N</m:t>
            </m:r>
          </m:sup>
          <m:e>
            <m:sSub>
              <m:e>
                <m:r>
                  <w:rPr>
                    <w:rFonts w:ascii="Cambria Math" w:hAnsi="Cambria Math"/>
                    <w:sz w:val="24"/>
                  </w:rPr>
                  <m:t xml:space="preserve">u</m:t>
                </m:r>
              </m:e>
              <m:sub>
                <m:r>
                  <w:rPr>
                    <w:rFonts w:ascii="Cambria Math" w:hAnsi="Cambria Math"/>
                    <w:sz w:val="24"/>
                  </w:rPr>
                  <m:t xml:space="preserve">v</m:t>
                </m:r>
              </m:sub>
            </m:sSub>
          </m:e>
        </m:nary>
        <m:r>
          <w:rPr>
            <w:rFonts w:ascii="Cambria Math" w:hAnsi="Cambria Math"/>
            <w:sz w:val="24"/>
          </w:rPr>
          <m:t xml:space="preserve"> ,     σ = </m:t>
        </m:r>
        <m:rad>
          <m:radPr>
            <m:degHide m:val="1"/>
          </m:radPr>
          <m:deg/>
          <m:e>
            <m:f>
              <m:num>
                <m:r>
                  <w:rPr>
                    <w:rFonts w:ascii="Cambria Math" w:hAnsi="Cambria Math"/>
                    <w:sz w:val="24"/>
                  </w:rPr>
                  <m:t xml:space="preserve">1</m:t>
                </m:r>
              </m:num>
              <m:den>
                <m:r>
                  <w:rPr>
                    <w:rFonts w:ascii="Cambria Math" w:hAnsi="Cambria Math"/>
                    <w:sz w:val="24"/>
                  </w:rPr>
                  <m:t xml:space="preserve">N</m:t>
                </m:r>
              </m:den>
            </m:f>
            <m:nary>
              <m:naryPr>
                <m:chr m:val="∑"/>
                <m:limLoc m:val="undOvr"/>
                <m:grow m:val="1"/>
              </m:naryPr>
              <m:sub>
                <m:r>
                  <w:rPr>
                    <w:rFonts w:ascii="Cambria Math" w:hAnsi="Cambria Math"/>
                    <w:sz w:val="24"/>
                  </w:rPr>
                  <m:t xml:space="preserve">v=1</m:t>
                </m:r>
              </m:sub>
              <m:sup>
                <m:r>
                  <w:rPr>
                    <w:rFonts w:ascii="Cambria Math" w:hAnsi="Cambria Math"/>
                    <w:sz w:val="24"/>
                  </w:rPr>
                  <m:t xml:space="preserve">N</m:t>
                </m:r>
              </m:sup>
              <m:e>
                <m:sSup>
                  <m:e>
                    <m:d>
                      <m:dPr>
                        <m:begChr m:val="("/>
                        <m:endChr m:val=")"/>
                        <m:grow m:val="1"/>
                      </m:dPr>
                      <m:e>
                        <m:sSub>
                          <m:e>
                            <m:r>
                              <w:rPr>
                                <w:rFonts w:ascii="Cambria Math" w:hAnsi="Cambria Math"/>
                                <w:sz w:val="24"/>
                              </w:rPr>
                              <m:t xml:space="preserve">u</m:t>
                            </m:r>
                          </m:e>
                          <m:sub>
                            <m:r>
                              <w:rPr>
                                <w:rFonts w:ascii="Cambria Math" w:hAnsi="Cambria Math"/>
                                <w:sz w:val="24"/>
                              </w:rPr>
                              <m:t xml:space="preserve">v</m:t>
                            </m:r>
                          </m:sub>
                        </m:sSub>
                        <m:r>
                          <w:rPr>
                            <w:rFonts w:ascii="Cambria Math" w:hAnsi="Cambria Math"/>
                            <w:sz w:val="24"/>
                          </w:rPr>
                          <m:t xml:space="preserve"> − μ</m:t>
                        </m:r>
                      </m:e>
                    </m:d>
                  </m:e>
                  <m:sup>
                    <m:r>
                      <w:rPr>
                        <w:rFonts w:ascii="Cambria Math" w:hAnsi="Cambria Math"/>
                        <w:sz w:val="24"/>
                      </w:rPr>
                      <m:t xml:space="preserve">2</m:t>
                    </m:r>
                  </m:sup>
                </m:sSup>
              </m:e>
            </m:nary>
          </m:e>
        </m:rad>
      </m:oMath>
      <w:r>
        <w:t xml:space="preserve">    (2)</w:t>
      </w:r>
    </w:p>
    <w:p>
      <w:pPr>
        <w:keepLines/>
        <w:spacing w:before="100" w:after="140"/>
        <w:jc w:val="center"/>
      </w:pPr>
      <m:oMath>
        <m:r>
          <w:rPr>
            <w:rFonts w:ascii="Cambria Math" w:hAnsi="Cambria Math"/>
            <w:sz w:val="24"/>
          </w:rPr>
          <m:t xml:space="preserve">q</m:t>
        </m:r>
        <m:d>
          <m:dPr>
            <m:begChr m:val="("/>
            <m:endChr m:val=")"/>
            <m:grow m:val="1"/>
          </m:dPr>
          <m:e>
            <m:r>
              <w:rPr>
                <w:rFonts w:ascii="Cambria Math" w:hAnsi="Cambria Math"/>
                <w:sz w:val="24"/>
              </w:rPr>
              <m:t xml:space="preserve">u</m:t>
            </m:r>
          </m:e>
        </m:d>
        <m:r>
          <w:rPr>
            <w:rFonts w:ascii="Cambria Math" w:hAnsi="Cambria Math"/>
            <w:sz w:val="24"/>
          </w:rPr>
          <m:t xml:space="preserve"> = </m:t>
        </m:r>
        <m:func>
          <m:fName>
            <m:r>
              <m:rPr>
                <m:nor m:val="1"/>
              </m:rPr>
              <w:rPr>
                <w:rFonts w:ascii="Cambria Math" w:hAnsi="Cambria Math"/>
                <w:sz w:val="24"/>
              </w:rPr>
              <m:t xml:space="preserve">min</m:t>
            </m:r>
          </m:fName>
          <m:e>
            <m:d>
              <m:dPr>
                <m:begChr m:val="("/>
                <m:endChr m:val=")"/>
                <m:grow m:val="1"/>
              </m:dPr>
              <m:e>
                <m:r>
                  <w:rPr>
                    <w:rFonts w:ascii="Cambria Math" w:hAnsi="Cambria Math"/>
                    <w:sz w:val="24"/>
                  </w:rPr>
                  <m:t xml:space="preserve">32, 1 + </m:t>
                </m:r>
                <m:d>
                  <m:dPr>
                    <m:begChr m:val="⌊"/>
                    <m:endChr m:val="⌋"/>
                    <m:grow m:val="1"/>
                  </m:dPr>
                  <m:e>
                    <m:r>
                      <w:rPr>
                        <w:rFonts w:ascii="Cambria Math" w:hAnsi="Cambria Math"/>
                        <w:sz w:val="24"/>
                      </w:rPr>
                      <m:t xml:space="preserve">32</m:t>
                    </m:r>
                    <m:f>
                      <m:num>
                        <m:r>
                          <w:rPr>
                            <w:rFonts w:ascii="Cambria Math" w:hAnsi="Cambria Math"/>
                            <w:sz w:val="24"/>
                          </w:rPr>
                          <m:t xml:space="preserve">u − a</m:t>
                        </m:r>
                      </m:num>
                      <m:den>
                        <m:r>
                          <w:rPr>
                            <w:rFonts w:ascii="Cambria Math" w:hAnsi="Cambria Math"/>
                            <w:sz w:val="24"/>
                          </w:rPr>
                          <m:t xml:space="preserve">b − a</m:t>
                        </m:r>
                      </m:den>
                    </m:f>
                  </m:e>
                </m:d>
              </m:e>
            </m:d>
          </m:e>
        </m:func>
      </m:oMath>
      <w:r>
        <w:t xml:space="preserve">    (3)</w:t>
      </w:r>
    </w:p>
    <w:p>
      <w:pPr>
        <w:keepLines/>
        <w:spacing w:before="100" w:after="140"/>
        <w:jc w:val="center"/>
      </w:pPr>
      <m:oMath>
        <m:r>
          <w:rPr>
            <w:rFonts w:ascii="Cambria Math" w:hAnsi="Cambria Math"/>
            <w:sz w:val="24"/>
          </w:rPr>
          <m:t xml:space="preserve">H = −</m:t>
        </m:r>
        <m:nary>
          <m:naryPr>
            <m:chr m:val="∑"/>
            <m:limLoc m:val="undOvr"/>
            <m:grow m:val="1"/>
          </m:naryPr>
          <m:sub>
            <m:r>
              <w:rPr>
                <w:rFonts w:ascii="Cambria Math" w:hAnsi="Cambria Math"/>
                <w:sz w:val="24"/>
              </w:rPr>
              <m:t xml:space="preserve">k=1</m:t>
            </m:r>
          </m:sub>
          <m:sup>
            <m:r>
              <w:rPr>
                <w:rFonts w:ascii="Cambria Math" w:hAnsi="Cambria Math"/>
                <w:sz w:val="24"/>
              </w:rPr>
              <m:t xml:space="preserve">32</m:t>
            </m:r>
          </m:sup>
          <m:e>
            <m:sSub>
              <m:e>
                <m:r>
                  <w:rPr>
                    <w:rFonts w:ascii="Cambria Math" w:hAnsi="Cambria Math"/>
                    <w:sz w:val="24"/>
                  </w:rPr>
                  <m:t xml:space="preserve">p</m:t>
                </m:r>
              </m:e>
              <m:sub>
                <m:r>
                  <w:rPr>
                    <w:rFonts w:ascii="Cambria Math" w:hAnsi="Cambria Math"/>
                    <w:sz w:val="24"/>
                  </w:rPr>
                  <m:t xml:space="preserve">k</m:t>
                </m:r>
              </m:sub>
            </m:sSub>
            <m:r>
              <w:rPr>
                <w:rFonts w:ascii="Cambria Math" w:hAnsi="Cambria Math"/>
                <w:sz w:val="24"/>
              </w:rPr>
              <m:t xml:space="preserve"> </m:t>
            </m:r>
            <m:func>
              <m:fName>
                <m:sSub>
                  <m:e>
                    <m:r>
                      <m:rPr>
                        <m:nor m:val="1"/>
                      </m:rPr>
                      <w:rPr>
                        <w:rFonts w:ascii="Cambria Math" w:hAnsi="Cambria Math"/>
                        <w:sz w:val="24"/>
                      </w:rPr>
                      <m:t xml:space="preserve">log</m:t>
                    </m:r>
                  </m:e>
                  <m:sub>
                    <m:r>
                      <w:rPr>
                        <w:rFonts w:ascii="Cambria Math" w:hAnsi="Cambria Math"/>
                        <w:sz w:val="24"/>
                      </w:rPr>
                      <m:t xml:space="preserve">2</m:t>
                    </m:r>
                  </m:sub>
                </m:sSub>
              </m:fName>
              <m:e>
                <m:d>
                  <m:dPr>
                    <m:begChr m:val="("/>
                    <m:endChr m:val=")"/>
                    <m:grow m:val="1"/>
                  </m:dPr>
                  <m:e>
                    <m:sSub>
                      <m:e>
                        <m:r>
                          <w:rPr>
                            <w:rFonts w:ascii="Cambria Math" w:hAnsi="Cambria Math"/>
                            <w:sz w:val="24"/>
                          </w:rPr>
                          <m:t xml:space="preserve">p</m:t>
                        </m:r>
                      </m:e>
                      <m:sub>
                        <m:r>
                          <w:rPr>
                            <w:rFonts w:ascii="Cambria Math" w:hAnsi="Cambria Math"/>
                            <w:sz w:val="24"/>
                          </w:rPr>
                          <m:t xml:space="preserve">k</m:t>
                        </m:r>
                      </m:sub>
                    </m:sSub>
                  </m:e>
                </m:d>
              </m:e>
            </m:func>
          </m:e>
        </m:nary>
      </m:oMath>
      <w:r>
        <w:t xml:space="preserve">    (4)</w:t>
      </w:r>
    </w:p>
    <w:p>
      <w:pPr>
        <w:keepNext w:val="0"/>
      </w:pPr>
      <w:r>
        <w:t>GLCMs were constructed from neighboring voxel pairs within the ROI using 13 undirected offsets spanning the 26 immediate grid neighbors. The directional count matrix C recorded bin-index pairs i and j for each offset in D. Directional counts were merged and symmetrized to obtain S, then normalized to obtain P (Equation 5). Contrast was calculated from this pooled matrix using Equation 6 (6), producing one GLCM contrast value for each sequence.</w:t>
      </w:r>
    </w:p>
    <w:p>
      <w:pPr>
        <w:keepLines/>
        <w:spacing w:before="100" w:after="140"/>
        <w:jc w:val="center"/>
      </w:pPr>
      <m:oMath>
        <m:sSub>
          <m:e>
            <m:r>
              <w:rPr>
                <w:rFonts w:ascii="Cambria Math" w:hAnsi="Cambria Math"/>
                <w:sz w:val="24"/>
              </w:rPr>
              <m:t xml:space="preserve">S</m:t>
            </m:r>
          </m:e>
          <m:sub>
            <m:r>
              <w:rPr>
                <w:rFonts w:ascii="Cambria Math" w:hAnsi="Cambria Math"/>
                <w:sz w:val="24"/>
              </w:rPr>
              <m:t xml:space="preserve">ij</m:t>
            </m:r>
          </m:sub>
        </m:sSub>
        <m:r>
          <w:rPr>
            <w:rFonts w:ascii="Cambria Math" w:hAnsi="Cambria Math"/>
            <w:sz w:val="24"/>
          </w:rPr>
          <m:t xml:space="preserve"> = </m:t>
        </m:r>
        <m:nary>
          <m:naryPr>
            <m:chr m:val="∑"/>
            <m:limLoc m:val="undOvr"/>
            <m:grow m:val="1"/>
            <m:supHide m:val="1"/>
          </m:naryPr>
          <m:sub>
            <m:r>
              <w:rPr>
                <w:rFonts w:ascii="Cambria Math" w:hAnsi="Cambria Math"/>
                <w:sz w:val="24"/>
              </w:rPr>
              <m:t xml:space="preserve">d∈D</m:t>
            </m:r>
          </m:sub>
          <m:sup>
            <m:r>
              <w:rPr>
                <w:rFonts w:ascii="Cambria Math" w:hAnsi="Cambria Math"/>
                <w:sz w:val="24"/>
              </w:rPr>
              <m:t xml:space="preserve"/>
            </m:r>
          </m:sup>
          <m:e>
            <m:d>
              <m:dPr>
                <m:begChr m:val="["/>
                <m:endChr m:val="]"/>
                <m:grow m:val="1"/>
              </m:dPr>
              <m:e>
                <m:sSub>
                  <m:e>
                    <m:r>
                      <w:rPr>
                        <w:rFonts w:ascii="Cambria Math" w:hAnsi="Cambria Math"/>
                        <w:sz w:val="24"/>
                      </w:rPr>
                      <m:t xml:space="preserve">C</m:t>
                    </m:r>
                  </m:e>
                  <m:sub>
                    <m:r>
                      <w:rPr>
                        <w:rFonts w:ascii="Cambria Math" w:hAnsi="Cambria Math"/>
                        <w:sz w:val="24"/>
                      </w:rPr>
                      <m:t xml:space="preserve">ij</m:t>
                    </m:r>
                  </m:sub>
                </m:sSub>
                <m:d>
                  <m:dPr>
                    <m:begChr m:val="("/>
                    <m:endChr m:val=")"/>
                    <m:grow m:val="1"/>
                  </m:dPr>
                  <m:e>
                    <m:r>
                      <w:rPr>
                        <w:rFonts w:ascii="Cambria Math" w:hAnsi="Cambria Math"/>
                        <w:sz w:val="24"/>
                      </w:rPr>
                      <m:t xml:space="preserve">d</m:t>
                    </m:r>
                  </m:e>
                </m:d>
                <m:r>
                  <w:rPr>
                    <w:rFonts w:ascii="Cambria Math" w:hAnsi="Cambria Math"/>
                    <w:sz w:val="24"/>
                  </w:rPr>
                  <m:t xml:space="preserve"> + </m:t>
                </m:r>
                <m:sSub>
                  <m:e>
                    <m:r>
                      <w:rPr>
                        <w:rFonts w:ascii="Cambria Math" w:hAnsi="Cambria Math"/>
                        <w:sz w:val="24"/>
                      </w:rPr>
                      <m:t xml:space="preserve">C</m:t>
                    </m:r>
                  </m:e>
                  <m:sub>
                    <m:r>
                      <w:rPr>
                        <w:rFonts w:ascii="Cambria Math" w:hAnsi="Cambria Math"/>
                        <w:sz w:val="24"/>
                      </w:rPr>
                      <m:t xml:space="preserve">ji</m:t>
                    </m:r>
                  </m:sub>
                </m:sSub>
                <m:d>
                  <m:dPr>
                    <m:begChr m:val="("/>
                    <m:endChr m:val=")"/>
                    <m:grow m:val="1"/>
                  </m:dPr>
                  <m:e>
                    <m:r>
                      <w:rPr>
                        <w:rFonts w:ascii="Cambria Math" w:hAnsi="Cambria Math"/>
                        <w:sz w:val="24"/>
                      </w:rPr>
                      <m:t xml:space="preserve">d</m:t>
                    </m:r>
                  </m:e>
                </m:d>
              </m:e>
            </m:d>
          </m:e>
        </m:nary>
        <m:r>
          <w:rPr>
            <w:rFonts w:ascii="Cambria Math" w:hAnsi="Cambria Math"/>
            <w:sz w:val="24"/>
          </w:rPr>
          <m:t xml:space="preserve"> ,    </m:t>
        </m:r>
        <m:sSub>
          <m:e>
            <m:r>
              <w:rPr>
                <w:rFonts w:ascii="Cambria Math" w:hAnsi="Cambria Math"/>
                <w:sz w:val="24"/>
              </w:rPr>
              <m:t xml:space="preserve">P</m:t>
            </m:r>
          </m:e>
          <m:sub>
            <m:r>
              <w:rPr>
                <w:rFonts w:ascii="Cambria Math" w:hAnsi="Cambria Math"/>
                <w:sz w:val="24"/>
              </w:rPr>
              <m:t xml:space="preserve">ij</m:t>
            </m:r>
          </m:sub>
        </m:sSub>
        <m:r>
          <w:rPr>
            <w:rFonts w:ascii="Cambria Math" w:hAnsi="Cambria Math"/>
            <w:sz w:val="24"/>
          </w:rPr>
          <m:t xml:space="preserve"> = </m:t>
        </m:r>
        <m:f>
          <m:num>
            <m:sSub>
              <m:e>
                <m:r>
                  <w:rPr>
                    <w:rFonts w:ascii="Cambria Math" w:hAnsi="Cambria Math"/>
                    <w:sz w:val="24"/>
                  </w:rPr>
                  <m:t xml:space="preserve">S</m:t>
                </m:r>
              </m:e>
              <m:sub>
                <m:r>
                  <w:rPr>
                    <w:rFonts w:ascii="Cambria Math" w:hAnsi="Cambria Math"/>
                    <w:sz w:val="24"/>
                  </w:rPr>
                  <m:t xml:space="preserve">ij</m:t>
                </m:r>
              </m:sub>
            </m:sSub>
          </m:num>
          <m:den>
            <m:nary>
              <m:naryPr>
                <m:chr m:val="∑"/>
                <m:limLoc m:val="undOvr"/>
                <m:grow m:val="1"/>
              </m:naryPr>
              <m:sub>
                <m:r>
                  <w:rPr>
                    <w:rFonts w:ascii="Cambria Math" w:hAnsi="Cambria Math"/>
                    <w:sz w:val="24"/>
                  </w:rPr>
                  <m:t xml:space="preserve">r=1</m:t>
                </m:r>
              </m:sub>
              <m:sup>
                <m:r>
                  <w:rPr>
                    <w:rFonts w:ascii="Cambria Math" w:hAnsi="Cambria Math"/>
                    <w:sz w:val="24"/>
                  </w:rPr>
                  <m:t xml:space="preserve">32</m:t>
                </m:r>
              </m:sup>
              <m:e>
                <m:nary>
                  <m:naryPr>
                    <m:chr m:val="∑"/>
                    <m:limLoc m:val="undOvr"/>
                    <m:grow m:val="1"/>
                  </m:naryPr>
                  <m:sub>
                    <m:r>
                      <w:rPr>
                        <w:rFonts w:ascii="Cambria Math" w:hAnsi="Cambria Math"/>
                        <w:sz w:val="24"/>
                      </w:rPr>
                      <m:t xml:space="preserve">s=1</m:t>
                    </m:r>
                  </m:sub>
                  <m:sup>
                    <m:r>
                      <w:rPr>
                        <w:rFonts w:ascii="Cambria Math" w:hAnsi="Cambria Math"/>
                        <w:sz w:val="24"/>
                      </w:rPr>
                      <m:t xml:space="preserve">32</m:t>
                    </m:r>
                  </m:sup>
                  <m:e>
                    <m:sSub>
                      <m:e>
                        <m:r>
                          <w:rPr>
                            <w:rFonts w:ascii="Cambria Math" w:hAnsi="Cambria Math"/>
                            <w:sz w:val="24"/>
                          </w:rPr>
                          <m:t xml:space="preserve">S</m:t>
                        </m:r>
                      </m:e>
                      <m:sub>
                        <m:r>
                          <w:rPr>
                            <w:rFonts w:ascii="Cambria Math" w:hAnsi="Cambria Math"/>
                            <w:sz w:val="24"/>
                          </w:rPr>
                          <m:t xml:space="preserve">rs</m:t>
                        </m:r>
                      </m:sub>
                    </m:sSub>
                  </m:e>
                </m:nary>
              </m:e>
            </m:nary>
          </m:den>
        </m:f>
      </m:oMath>
      <w:r>
        <w:t xml:space="preserve">    (5)</w:t>
      </w:r>
    </w:p>
    <w:p>
      <w:pPr>
        <w:keepLines/>
        <w:spacing w:before="100" w:after="140"/>
        <w:jc w:val="center"/>
      </w:pPr>
      <m:oMath>
        <m:r>
          <m:rPr>
            <m:nor m:val="1"/>
          </m:rPr>
          <w:rPr>
            <w:rFonts w:ascii="Cambria Math" w:hAnsi="Cambria Math"/>
            <w:sz w:val="24"/>
          </w:rPr>
          <m:t xml:space="preserve">Contrast</m:t>
        </m:r>
        <m:r>
          <w:rPr>
            <w:rFonts w:ascii="Cambria Math" w:hAnsi="Cambria Math"/>
            <w:sz w:val="24"/>
          </w:rPr>
          <m:t xml:space="preserve"> = </m:t>
        </m:r>
        <m:nary>
          <m:naryPr>
            <m:chr m:val="∑"/>
            <m:limLoc m:val="undOvr"/>
            <m:grow m:val="1"/>
          </m:naryPr>
          <m:sub>
            <m:r>
              <w:rPr>
                <w:rFonts w:ascii="Cambria Math" w:hAnsi="Cambria Math"/>
                <w:sz w:val="24"/>
              </w:rPr>
              <m:t xml:space="preserve">i=1</m:t>
            </m:r>
          </m:sub>
          <m:sup>
            <m:r>
              <w:rPr>
                <w:rFonts w:ascii="Cambria Math" w:hAnsi="Cambria Math"/>
                <w:sz w:val="24"/>
              </w:rPr>
              <m:t xml:space="preserve">32</m:t>
            </m:r>
          </m:sup>
          <m:e>
            <m:nary>
              <m:naryPr>
                <m:chr m:val="∑"/>
                <m:limLoc m:val="undOvr"/>
                <m:grow m:val="1"/>
              </m:naryPr>
              <m:sub>
                <m:r>
                  <w:rPr>
                    <w:rFonts w:ascii="Cambria Math" w:hAnsi="Cambria Math"/>
                    <w:sz w:val="24"/>
                  </w:rPr>
                  <m:t xml:space="preserve">j=1</m:t>
                </m:r>
              </m:sub>
              <m:sup>
                <m:r>
                  <w:rPr>
                    <w:rFonts w:ascii="Cambria Math" w:hAnsi="Cambria Math"/>
                    <w:sz w:val="24"/>
                  </w:rPr>
                  <m:t xml:space="preserve">32</m:t>
                </m:r>
              </m:sup>
              <m:e>
                <m:sSup>
                  <m:e>
                    <m:d>
                      <m:dPr>
                        <m:begChr m:val="("/>
                        <m:endChr m:val=")"/>
                        <m:grow m:val="1"/>
                      </m:dPr>
                      <m:e>
                        <m:r>
                          <w:rPr>
                            <w:rFonts w:ascii="Cambria Math" w:hAnsi="Cambria Math"/>
                            <w:sz w:val="24"/>
                          </w:rPr>
                          <m:t xml:space="preserve">i − j</m:t>
                        </m:r>
                      </m:e>
                    </m:d>
                  </m:e>
                  <m:sup>
                    <m:r>
                      <w:rPr>
                        <w:rFonts w:ascii="Cambria Math" w:hAnsi="Cambria Math"/>
                        <w:sz w:val="24"/>
                      </w:rPr>
                      <m:t xml:space="preserve">2</m:t>
                    </m:r>
                  </m:sup>
                </m:sSup>
                <m:sSub>
                  <m:e>
                    <m:r>
                      <w:rPr>
                        <w:rFonts w:ascii="Cambria Math" w:hAnsi="Cambria Math"/>
                        <w:sz w:val="24"/>
                      </w:rPr>
                      <m:t xml:space="preserve">P</m:t>
                    </m:r>
                  </m:e>
                  <m:sub>
                    <m:r>
                      <w:rPr>
                        <w:rFonts w:ascii="Cambria Math" w:hAnsi="Cambria Math"/>
                        <w:sz w:val="24"/>
                      </w:rPr>
                      <m:t xml:space="preserve">ij</m:t>
                    </m:r>
                  </m:sub>
                </m:sSub>
              </m:e>
            </m:nary>
          </m:e>
        </m:nary>
      </m:oMath>
      <w:r>
        <w:t xml:space="preserve">    (6)</w:t>
      </w:r>
    </w:p>
    <w:p>
      <w:pPr>
        <w:pStyle w:val="Heading2"/>
      </w:pPr>
      <w:r>
        <w:t>2.6 Model specification and grouped training</w:t>
      </w:r>
    </w:p>
    <w:p>
      <w:pPr>
        <w:keepNext w:val="0"/>
      </w:pPr>
      <w:r>
        <w:t>Four logistic regression models with an intercept were fitted. M0 used age and sex; M1 used the five clinical inputs; MRI used the eight imaging features; and Fusion concatenated clinical and imaging inputs into a 13-variable feature vector. The corresponding input counts were 2, 5, 8 and 13. Equation 7 gives the tumor probability for processed feature vector z, with m denoting the input count and the beta terms denoting the intercept and coefficients. All models used L2 regularization with C = 1, the lbfgs optimizer, a maximum of 2000 iterations and a convergence tolerance of 0.0001. The common regression framework allowed direct comparison of the four input sets.</w:t>
      </w:r>
    </w:p>
    <w:p>
      <w:pPr>
        <w:keepLines/>
        <w:spacing w:before="120"/>
        <w:jc w:val="center"/>
      </w:pPr>
      <m:oMath>
        <m:r>
          <w:rPr>
            <w:rFonts w:ascii="Cambria Math" w:hAnsi="Cambria Math"/>
            <w:sz w:val="24"/>
          </w:rPr>
          <m:t xml:space="preserve">p</m:t>
        </m:r>
        <m:d>
          <m:dPr>
            <m:begChr m:val="("/>
            <m:endChr m:val=")"/>
            <m:grow m:val="1"/>
          </m:dPr>
          <m:e>
            <m:r>
              <w:rPr>
                <w:rFonts w:ascii="Cambria Math" w:hAnsi="Cambria Math"/>
                <w:sz w:val="24"/>
              </w:rPr>
              <m:t xml:space="preserve">z</m:t>
            </m:r>
          </m:e>
        </m:d>
        <m:r>
          <w:rPr>
            <w:rFonts w:ascii="Cambria Math" w:hAnsi="Cambria Math"/>
            <w:sz w:val="24"/>
          </w:rPr>
          <m:t xml:space="preserve"> = </m:t>
        </m:r>
        <m:f>
          <m:num>
            <m:r>
              <w:rPr>
                <w:rFonts w:ascii="Cambria Math" w:hAnsi="Cambria Math"/>
                <w:sz w:val="24"/>
              </w:rPr>
              <m:t xml:space="preserve">1</m:t>
            </m:r>
          </m:num>
          <m:den>
            <m:r>
              <w:rPr>
                <w:rFonts w:ascii="Cambria Math" w:hAnsi="Cambria Math"/>
                <w:sz w:val="24"/>
              </w:rPr>
              <m:t xml:space="preserve">1 + </m:t>
            </m:r>
            <m:func>
              <m:fName>
                <m:r>
                  <m:rPr>
                    <m:nor m:val="1"/>
                  </m:rPr>
                  <w:rPr>
                    <w:rFonts w:ascii="Cambria Math" w:hAnsi="Cambria Math"/>
                    <w:sz w:val="24"/>
                  </w:rPr>
                  <m:t xml:space="preserve">exp</m:t>
                </m:r>
              </m:fName>
              <m:e>
                <m:d>
                  <m:dPr>
                    <m:begChr m:val="("/>
                    <m:endChr m:val=")"/>
                    <m:grow m:val="1"/>
                  </m:dPr>
                  <m:e>
                    <m:r>
                      <w:rPr>
                        <w:rFonts w:ascii="Cambria Math" w:hAnsi="Cambria Math"/>
                        <w:sz w:val="24"/>
                      </w:rPr>
                      <m:t xml:space="preserve">−</m:t>
                    </m:r>
                    <m:d>
                      <m:dPr>
                        <m:begChr m:val="("/>
                        <m:endChr m:val=")"/>
                        <m:grow m:val="1"/>
                      </m:dPr>
                      <m:e>
                        <m:sSub>
                          <m:e>
                            <m:r>
                              <w:rPr>
                                <w:rFonts w:ascii="Cambria Math" w:hAnsi="Cambria Math"/>
                                <w:sz w:val="24"/>
                              </w:rPr>
                              <m:t xml:space="preserve">β</m:t>
                            </m:r>
                          </m:e>
                          <m:sub>
                            <m:r>
                              <w:rPr>
                                <w:rFonts w:ascii="Cambria Math" w:hAnsi="Cambria Math"/>
                                <w:sz w:val="24"/>
                              </w:rPr>
                              <m:t xml:space="preserve">0</m:t>
                            </m:r>
                          </m:sub>
                        </m:sSub>
                        <m:r>
                          <w:rPr>
                            <w:rFonts w:ascii="Cambria Math" w:hAnsi="Cambria Math"/>
                            <w:sz w:val="24"/>
                          </w:rPr>
                          <m:t xml:space="preserve"> + </m:t>
                        </m:r>
                        <m:nary>
                          <m:naryPr>
                            <m:chr m:val="∑"/>
                            <m:limLoc m:val="undOvr"/>
                            <m:grow m:val="1"/>
                          </m:naryPr>
                          <m:sub>
                            <m:r>
                              <w:rPr>
                                <w:rFonts w:ascii="Cambria Math" w:hAnsi="Cambria Math"/>
                                <w:sz w:val="24"/>
                              </w:rPr>
                              <m:t xml:space="preserve">j=1</m:t>
                            </m:r>
                          </m:sub>
                          <m:sup>
                            <m:r>
                              <w:rPr>
                                <w:rFonts w:ascii="Cambria Math" w:hAnsi="Cambria Math"/>
                                <w:sz w:val="24"/>
                              </w:rPr>
                              <m:t xml:space="preserve">m</m:t>
                            </m:r>
                          </m:sup>
                          <m:e>
                            <m:sSub>
                              <m:e>
                                <m:r>
                                  <w:rPr>
                                    <w:rFonts w:ascii="Cambria Math" w:hAnsi="Cambria Math"/>
                                    <w:sz w:val="24"/>
                                  </w:rPr>
                                  <m:t xml:space="preserve">β</m:t>
                                </m:r>
                              </m:e>
                              <m:sub>
                                <m:r>
                                  <w:rPr>
                                    <w:rFonts w:ascii="Cambria Math" w:hAnsi="Cambria Math"/>
                                    <w:sz w:val="24"/>
                                  </w:rPr>
                                  <m:t xml:space="preserve">j</m:t>
                                </m:r>
                              </m:sub>
                            </m:sSub>
                            <m:sSub>
                              <m:e>
                                <m:r>
                                  <w:rPr>
                                    <w:rFonts w:ascii="Cambria Math" w:hAnsi="Cambria Math"/>
                                    <w:sz w:val="24"/>
                                  </w:rPr>
                                  <m:t xml:space="preserve">z</m:t>
                                </m:r>
                              </m:e>
                              <m:sub>
                                <m:r>
                                  <w:rPr>
                                    <w:rFonts w:ascii="Cambria Math" w:hAnsi="Cambria Math"/>
                                    <w:sz w:val="24"/>
                                  </w:rPr>
                                  <m:t xml:space="preserve">j</m:t>
                                </m:r>
                              </m:sub>
                            </m:sSub>
                          </m:e>
                        </m:nary>
                      </m:e>
                    </m:d>
                  </m:e>
                </m:d>
              </m:e>
            </m:func>
          </m:den>
        </m:f>
      </m:oMath>
      <w:r>
        <w:t xml:space="preserve">    (7)</w:t>
      </w:r>
    </w:p>
    <w:p>
      <w:pPr>
        <w:keepNext w:val="0"/>
      </w:pPr>
      <w:r>
        <w:t>All models shared five patient-grouped folds in the 182-examination cohort. StratifiedGroupKFold was used with shuffling and random seed 20261029. All examinations from the same patient were assigned to one fold, with separation checked against both clinical and BraTS patient identifiers. Continuous predictors were standardized within each training fold; interval imputation followed Section 2.3. The fitted preprocessing and regression were applied to the held-out fold, giving one out-of-fold (OOF) tumor probability per examination and model. The four input panels and model settings were fixed throughout validation.</w:t>
      </w:r>
    </w:p>
    <w:p>
      <w:pPr>
        <w:pStyle w:val="Heading2"/>
      </w:pPr>
      <w:r>
        <w:t>2.7 Performance metrics and conditional uncertainty</w:t>
      </w:r>
    </w:p>
    <w:p>
      <w:pPr>
        <w:keepNext w:val="0"/>
      </w:pPr>
      <w:r>
        <w:t>Performance was evaluated at the examination level using pooled OOF probabilities. The primary comparison was the Fusion-minus-M1 difference in ROC AUC on the same examinations (Equation 8). Additional measures included average precision (AP), Brier score, logarithmic loss and classification performance. Treatment-related-change AP used one minus the tumor probability as its score. Lower Brier scores and logarithmic losses indicated better probability accuracy. At a fixed threshold of 0.5, probabilities of at least 0.5 were classified as tumor. We calculated confusion counts, tumor sensitivity, treatment-change recognition, precision, balanced accuracy and overall accuracy.</w:t>
      </w:r>
    </w:p>
    <w:p>
      <w:pPr>
        <w:keepLines/>
        <w:spacing w:before="120"/>
        <w:jc w:val="center"/>
      </w:pPr>
      <m:oMath>
        <m:r>
          <w:rPr>
            <w:rFonts w:ascii="Cambria Math" w:hAnsi="Cambria Math"/>
            <w:sz w:val="24"/>
          </w:rPr>
          <m:t xml:space="preserve">Δ</m:t>
        </m:r>
        <m:r>
          <m:rPr>
            <m:nor m:val="1"/>
          </m:rPr>
          <w:rPr>
            <w:rFonts w:ascii="Cambria Math" w:hAnsi="Cambria Math"/>
            <w:sz w:val="24"/>
          </w:rPr>
          <m:t xml:space="preserve">AUC</m:t>
        </m:r>
        <m:r>
          <w:rPr>
            <w:rFonts w:ascii="Cambria Math" w:hAnsi="Cambria Math"/>
            <w:sz w:val="24"/>
          </w:rPr>
          <m:t xml:space="preserve"> = </m:t>
        </m:r>
        <m:sSub>
          <m:e>
            <m:r>
              <m:rPr>
                <m:nor m:val="1"/>
              </m:rPr>
              <w:rPr>
                <w:rFonts w:ascii="Cambria Math" w:hAnsi="Cambria Math"/>
                <w:sz w:val="24"/>
              </w:rPr>
              <m:t xml:space="preserve">AUC</m:t>
            </m:r>
          </m:e>
          <m:sub>
            <m:r>
              <m:rPr>
                <m:nor m:val="1"/>
              </m:rPr>
              <w:rPr>
                <w:rFonts w:ascii="Cambria Math" w:hAnsi="Cambria Math"/>
                <w:sz w:val="24"/>
              </w:rPr>
              <m:t xml:space="preserve">Fusion</m:t>
            </m:r>
          </m:sub>
        </m:sSub>
        <m:r>
          <w:rPr>
            <w:rFonts w:ascii="Cambria Math" w:hAnsi="Cambria Math"/>
            <w:sz w:val="24"/>
          </w:rPr>
          <m:t xml:space="preserve"> − </m:t>
        </m:r>
        <m:sSub>
          <m:e>
            <m:r>
              <m:rPr>
                <m:nor m:val="1"/>
              </m:rPr>
              <w:rPr>
                <w:rFonts w:ascii="Cambria Math" w:hAnsi="Cambria Math"/>
                <w:sz w:val="24"/>
              </w:rPr>
              <m:t xml:space="preserve">AUC</m:t>
            </m:r>
          </m:e>
          <m:sub>
            <m:r>
              <m:rPr>
                <m:nor m:val="1"/>
              </m:rPr>
              <w:rPr>
                <w:rFonts w:ascii="Cambria Math" w:hAnsi="Cambria Math"/>
                <w:sz w:val="24"/>
              </w:rPr>
              <m:t xml:space="preserve">M1</m:t>
            </m:r>
          </m:sub>
        </m:sSub>
      </m:oMath>
      <w:r>
        <w:t xml:space="preserve">    (8)</w:t>
      </w:r>
    </w:p>
    <w:p>
      <w:pPr>
        <w:keepNext w:val="0"/>
      </w:pPr>
      <w:r>
        <w:t>Uncertainty was estimated with 2000 patient-cluster bootstrap attempts using random seed 20261030. Each attempt sampled 135 patient groups with replacement and included all examinations belonging to each sampled group. The same sampled indices were applied to every model to obtain paired metric differences. Bootstrap calculations used the fixed OOF probabilities. The 2.5th and 97.5th percentiles defined the 95% intervals for AUC, treatment-related-change AP, Brier score, logarithmic loss and their differences. These intervals quantified patient-sampling uncertainty conditional on the saved predictions. A positive AUC or AP difference favored Fusion; a negative Brier-score or logarithmic-loss difference favored Fusion.</w:t>
      </w:r>
    </w:p>
    <w:p>
      <w:pPr>
        <w:pStyle w:val="Heading2"/>
      </w:pPr>
      <w:r>
        <w:t>2.8 Calibration assessment</w:t>
      </w:r>
    </w:p>
    <w:p>
      <w:pPr>
        <w:keepNext w:val="0"/>
      </w:pPr>
      <w:r>
        <w:t>Calibration was assessed from pooled OOF tumor probabilities using five quantile groups, retaining the nonempty groups after duplicate boundaries were removed. Groups were summarized by sample size, mean predicted probability and observed tumor proportion. Calibration-in-the-large was estimated as an intercept with the predicted-log-odds coefficient fixed at one (Equation 9). A separate unpenalized logistic diagnostic regression jointly estimated a free intercept and calibration slope (Equation 10). Here, p denotes the OOF probability and q the fitted diagnostic probability. The logit calculation bounded p by machine epsilon and one minus machine epsilon. Calibration estimates were reported as descriptive diagnostics of the evaluated predictions.</w:t>
      </w:r>
    </w:p>
    <w:p>
      <w:pPr>
        <w:keepLines/>
        <w:spacing w:before="120"/>
        <w:jc w:val="center"/>
      </w:pPr>
      <m:oMath>
        <m:func>
          <m:fName>
            <m:r>
              <m:rPr>
                <m:nor m:val="1"/>
              </m:rPr>
              <w:rPr>
                <w:rFonts w:ascii="Cambria Math" w:hAnsi="Cambria Math"/>
                <w:sz w:val="24"/>
              </w:rPr>
              <m:t xml:space="preserve">logit</m:t>
            </m:r>
          </m:fName>
          <m:e>
            <m:d>
              <m:dPr>
                <m:begChr m:val="("/>
                <m:endChr m:val=")"/>
                <m:grow m:val="1"/>
              </m:dPr>
              <m:e>
                <m:sSub>
                  <m:e>
                    <m:r>
                      <w:rPr>
                        <w:rFonts w:ascii="Cambria Math" w:hAnsi="Cambria Math"/>
                        <w:sz w:val="24"/>
                      </w:rPr>
                      <m:t xml:space="preserve">q</m:t>
                    </m:r>
                  </m:e>
                  <m:sub>
                    <m:r>
                      <w:rPr>
                        <w:rFonts w:ascii="Cambria Math" w:hAnsi="Cambria Math"/>
                        <w:sz w:val="24"/>
                      </w:rPr>
                      <m:t xml:space="preserve">i</m:t>
                    </m:r>
                  </m:sub>
                </m:sSub>
              </m:e>
            </m:d>
          </m:e>
        </m:func>
        <m:r>
          <w:rPr>
            <w:rFonts w:ascii="Cambria Math" w:hAnsi="Cambria Math"/>
            <w:sz w:val="24"/>
          </w:rPr>
          <m:t xml:space="preserve"> = </m:t>
        </m:r>
        <m:sSub>
          <m:e>
            <m:r>
              <w:rPr>
                <w:rFonts w:ascii="Cambria Math" w:hAnsi="Cambria Math"/>
                <w:sz w:val="24"/>
              </w:rPr>
              <m:t xml:space="preserve">a</m:t>
            </m:r>
          </m:e>
          <m:sub>
            <m:r>
              <m:rPr>
                <m:nor m:val="1"/>
              </m:rPr>
              <w:rPr>
                <w:rFonts w:ascii="Cambria Math" w:hAnsi="Cambria Math"/>
                <w:sz w:val="24"/>
              </w:rPr>
              <m:t xml:space="preserve">offset</m:t>
            </m:r>
          </m:sub>
        </m:sSub>
        <m:r>
          <w:rPr>
            <w:rFonts w:ascii="Cambria Math" w:hAnsi="Cambria Math"/>
            <w:sz w:val="24"/>
          </w:rPr>
          <m:t xml:space="preserve"> + </m:t>
        </m:r>
        <m:func>
          <m:fName>
            <m:r>
              <m:rPr>
                <m:nor m:val="1"/>
              </m:rPr>
              <w:rPr>
                <w:rFonts w:ascii="Cambria Math" w:hAnsi="Cambria Math"/>
                <w:sz w:val="24"/>
              </w:rPr>
              <m:t xml:space="preserve">logit</m:t>
            </m:r>
          </m:fName>
          <m:e>
            <m:d>
              <m:dPr>
                <m:begChr m:val="("/>
                <m:endChr m:val=")"/>
                <m:grow m:val="1"/>
              </m:dPr>
              <m:e>
                <m:sSub>
                  <m:e>
                    <m:r>
                      <w:rPr>
                        <w:rFonts w:ascii="Cambria Math" w:hAnsi="Cambria Math"/>
                        <w:sz w:val="24"/>
                      </w:rPr>
                      <m:t xml:space="preserve">p</m:t>
                    </m:r>
                  </m:e>
                  <m:sub>
                    <m:r>
                      <w:rPr>
                        <w:rFonts w:ascii="Cambria Math" w:hAnsi="Cambria Math"/>
                        <w:sz w:val="24"/>
                      </w:rPr>
                      <m:t xml:space="preserve">i</m:t>
                    </m:r>
                  </m:sub>
                </m:sSub>
              </m:e>
            </m:d>
          </m:e>
        </m:func>
      </m:oMath>
      <w:r>
        <w:t xml:space="preserve">    (9)</w:t>
      </w:r>
    </w:p>
    <w:p>
      <w:pPr>
        <w:keepLines/>
        <w:spacing w:before="120"/>
        <w:jc w:val="center"/>
      </w:pPr>
      <m:oMath>
        <m:func>
          <m:fName>
            <m:r>
              <m:rPr>
                <m:nor m:val="1"/>
              </m:rPr>
              <w:rPr>
                <w:rFonts w:ascii="Cambria Math" w:hAnsi="Cambria Math"/>
                <w:sz w:val="24"/>
              </w:rPr>
              <m:t xml:space="preserve">logit</m:t>
            </m:r>
          </m:fName>
          <m:e>
            <m:d>
              <m:dPr>
                <m:begChr m:val="("/>
                <m:endChr m:val=")"/>
                <m:grow m:val="1"/>
              </m:dPr>
              <m:e>
                <m:sSub>
                  <m:e>
                    <m:r>
                      <w:rPr>
                        <w:rFonts w:ascii="Cambria Math" w:hAnsi="Cambria Math"/>
                        <w:sz w:val="24"/>
                      </w:rPr>
                      <m:t xml:space="preserve">q</m:t>
                    </m:r>
                  </m:e>
                  <m:sub>
                    <m:r>
                      <w:rPr>
                        <w:rFonts w:ascii="Cambria Math" w:hAnsi="Cambria Math"/>
                        <w:sz w:val="24"/>
                      </w:rPr>
                      <m:t xml:space="preserve">i</m:t>
                    </m:r>
                  </m:sub>
                </m:sSub>
              </m:e>
            </m:d>
          </m:e>
        </m:func>
        <m:r>
          <w:rPr>
            <w:rFonts w:ascii="Cambria Math" w:hAnsi="Cambria Math"/>
            <w:sz w:val="24"/>
          </w:rPr>
          <m:t xml:space="preserve"> = </m:t>
        </m:r>
        <m:sSub>
          <m:e>
            <m:r>
              <w:rPr>
                <w:rFonts w:ascii="Cambria Math" w:hAnsi="Cambria Math"/>
                <w:sz w:val="24"/>
              </w:rPr>
              <m:t xml:space="preserve">a</m:t>
            </m:r>
          </m:e>
          <m:sub>
            <m:r>
              <m:rPr>
                <m:nor m:val="1"/>
              </m:rPr>
              <w:rPr>
                <w:rFonts w:ascii="Cambria Math" w:hAnsi="Cambria Math"/>
                <w:sz w:val="24"/>
              </w:rPr>
              <m:t xml:space="preserve">joint</m:t>
            </m:r>
          </m:sub>
        </m:sSub>
        <m:r>
          <w:rPr>
            <w:rFonts w:ascii="Cambria Math" w:hAnsi="Cambria Math"/>
            <w:sz w:val="24"/>
          </w:rPr>
          <m:t xml:space="preserve"> + b </m:t>
        </m:r>
        <m:func>
          <m:fName>
            <m:r>
              <m:rPr>
                <m:nor m:val="1"/>
              </m:rPr>
              <w:rPr>
                <w:rFonts w:ascii="Cambria Math" w:hAnsi="Cambria Math"/>
                <w:sz w:val="24"/>
              </w:rPr>
              <m:t xml:space="preserve">logit</m:t>
            </m:r>
          </m:fName>
          <m:e>
            <m:d>
              <m:dPr>
                <m:begChr m:val="("/>
                <m:endChr m:val=")"/>
                <m:grow m:val="1"/>
              </m:dPr>
              <m:e>
                <m:sSub>
                  <m:e>
                    <m:r>
                      <w:rPr>
                        <w:rFonts w:ascii="Cambria Math" w:hAnsi="Cambria Math"/>
                        <w:sz w:val="24"/>
                      </w:rPr>
                      <m:t xml:space="preserve">p</m:t>
                    </m:r>
                  </m:e>
                  <m:sub>
                    <m:r>
                      <w:rPr>
                        <w:rFonts w:ascii="Cambria Math" w:hAnsi="Cambria Math"/>
                        <w:sz w:val="24"/>
                      </w:rPr>
                      <m:t xml:space="preserve">i</m:t>
                    </m:r>
                  </m:sub>
                </m:sSub>
              </m:e>
            </m:d>
          </m:e>
        </m:func>
      </m:oMath>
      <w:r>
        <w:t xml:space="preserve">    (10)</w:t>
      </w:r>
    </w:p>
    <w:p>
      <w:pPr>
        <w:pStyle w:val="Heading2"/>
      </w:pPr>
      <w:r>
        <w:t>2.9 Sensitivity analyses</w:t>
      </w:r>
    </w:p>
    <w:p>
      <w:pPr>
        <w:keepNext w:val="0"/>
      </w:pPr>
      <w:r>
        <w:t>Boundary sensitivity was assessed by one iteration of ROI erosion using a three-dimensional six-neighbor structuring element on the supplied voxel grid. The same eight features were recalculated within the eroded region, retaining the original image-percentile references and full-ROI discretization boundaries. MRI and Fusion models were fitted with the original cases, patient groups, fold assignments and model settings. Paired patient-cluster bootstrap comparisons assessed eroded Fusion versus M1 and eroded versus original Fusion. The full ROI defined the primary analysis.</w:t>
      </w:r>
    </w:p>
    <w:p>
      <w:pPr>
        <w:keepNext w:val="0"/>
      </w:pPr>
      <w:r>
        <w:t>Split sensitivity was evaluated using 20 patient-grouped five-fold partitions, with consecutive seeds 20261029–20261048. The first partition reproduced the primary analysis. Within each repetition, the four models shared the same cases and folds, and preprocessing and regression were fitted within training folds. Performance and Fusion-minus-M1 differences were summarized by the median, quartiles, observed range and direction of the differences. These summaries described variation across partitions of the same cohort. Model settings and the classification threshold were held constant.</w:t>
      </w:r>
    </w:p>
    <w:p>
      <w:pPr>
        <w:keepNext w:val="0"/>
      </w:pPr>
      <w:r>
        <w:t>The single-scan sensitivity analysis selected one available examination per patient using the smallest numeric session suffix in the imaging subset, with the complete examination identifier resolving ties. Patient-grouped five-fold partitions were rebuilt using seed 20261029, and the four models were fitted within the new training folds. AUC, treatment-related-change AP, Brier score, logarithmic loss and their Fusion-minus-M1 differences were assessed using 2000 patient-bootstrap attempts with seed 20261101 and fixed OOF predictions.</w:t>
      </w:r>
    </w:p>
    <w:p>
      <w:pPr>
        <w:pStyle w:val="Heading2"/>
      </w:pPr>
      <w:r>
        <w:t>2.10 Reproducibility and software</w:t>
      </w:r>
    </w:p>
    <w:p>
      <w:pPr>
        <w:keepNext w:val="0"/>
      </w:pPr>
      <w:r>
        <w:t>Analyses used Python 3 with scikit-learn 1.8.0 (18), NumPy 2.3.5, pandas 2.2.3, SciPy 1.17.0 and Matplotlib 3.10.8. Jupyter notebooks documented feature extraction, model evaluation and sensitivity analyses. The public repository (https://github.com/BTomoto/rn-mri-clinical-fusion) contains analysis code, derived feature tables, OOF predictions, fold assignments and analysis locks. Source manifests record image acquisition URLs and checksums, and restoration scripts verify archived inputs. The sample comprised eligible linked examinations with complete imaging inputs.</w:t>
      </w:r>
    </w:p>
    <w:p>
      <w:pPr>
        <w:pStyle w:val="Heading1"/>
      </w:pPr>
      <w:r>
        <w:t>3 Results</w:t>
      </w:r>
    </w:p>
    <w:p>
      <w:pPr>
        <w:pStyle w:val="Heading2"/>
      </w:pPr>
      <w:r>
        <w:t>3.1 Cohort flow</w:t>
      </w:r>
    </w:p>
    <w:p>
      <w:pPr>
        <w:keepNext w:val="0"/>
      </w:pPr>
      <w:r>
        <w:t>The source cohort contained 243 examinations from 178 patients, including 192 tumor and 51 treatment-related-change examinations (Figure 1). Linkage verification excluded five examinations from two patients, leaving 238 examinations from 176 patients. Complete imaging inputs were available for 182 examinations from 135 patients, representing 76.5% of the retained clinical examinations. All 182 yielded the eight MRI features and entered the four-model comparison. The other 56 examinations came from 41 patients and comprised 46 tumor and 10 treatment-related-change examinations. The imaging cohort contained 141 tumor examinations (77.5%) and 41 treatment-related-change examinations (22.5%). At the patient level, 114 patients contributed tumor examinations and 29 contributed treatment-related-change examinations, including eight patients who contributed both. Table 1 summarizes the imaging cohort, and Supplementary Table S1 presents clinical characteristics by imaging coverage.</w:t>
      </w:r>
    </w:p>
    <w:p>
      <w:pPr>
        <w:pStyle w:val="Heading2"/>
      </w:pPr>
      <w:r>
        <w:t>3.2 Clinical characteristics</w:t>
      </w:r>
    </w:p>
    <w:p>
      <w:pPr>
        <w:keepNext w:val="0"/>
      </w:pPr>
      <w:r>
        <w:t>Median age in the imaging cohort was 56.5 years [49.0, 66.0], and 132 examinations were from male patients (72.5%; Table 1). Age, sex and other treatment before imaging were complete. Among 146 examinations with an observed initial-event interval, the median was 154.0 days [40.5, 359.5], with medians of 96.0 days for tumor and 346.0 days for treatment-related change. Intervals were missing for 36 examinations (19.8%), including 33 tumor and three treatment-related-change examinations. Other treatment before imaging was recorded for 25 examinations (13.7%). In the group without imaging coverage, median age was 53.5 years [45.0, 62.0], 60.7% of examinations were from male patients and 82.1% carried tumor labels (Supplementary Table S1). Brackets indicate the first and third quartiles; interval summaries use observed values before imputation.</w:t>
      </w:r>
    </w:p>
    <w:p>
      <w:pPr>
        <w:pStyle w:val="Heading2"/>
      </w:pPr>
      <w:r>
        <w:t>3.3 Four-model discrimination</w:t>
      </w:r>
    </w:p>
    <w:p>
      <w:pPr>
        <w:keepNext w:val="0"/>
      </w:pPr>
      <w:r>
        <w:t>All four models generated OOF probabilities for the 182 examinations using the shared patient-grouped five-fold partition. ROC AUCs were 0.526 for M0 (95% patient-bootstrap percentile interval, 0.404–0.644), 0.672 for M1 (0.553–0.778), 0.762 for MRI (0.683–0.838) and 0.782 for Fusion (0.698–0.859; Table 2 and Figure 2A). Treatment-related-change AP was 0.261, 0.354, 0.444 and 0.505, respectively, against a cohort prevalence of 0.225 (Figure 2B). Corresponding Brier scores were 0.177, 0.163, 0.151 and 0.144. Fusion had the highest AUC and treatment-related-change AP and the lowest Brier-score point estimate among the four models.</w:t>
      </w:r>
    </w:p>
    <w:p>
      <w:pPr>
        <w:pStyle w:val="Heading2"/>
      </w:pPr>
      <w:r>
        <w:t>3.4 Paired incremental comparison</w:t>
      </w:r>
    </w:p>
    <w:p>
      <w:pPr>
        <w:keepNext w:val="0"/>
      </w:pPr>
      <w:r>
        <w:t>The primary Fusion-minus-M1 AUC difference was 0.110 (95% paired patient-bootstrap percentile interval, 0.021–0.214; Table 3). The treatment-related-change AP difference was 0.152 (0.026–0.268). Both intervals were above zero. Brier-score and logarithmic-loss differences favored Fusion in their point estimates: -0.019 (-0.040 to 0.002) and -0.037 (-0.107 to 0.039), respectively; their intervals included zero. The paired AUC comparison therefore supported improved discrimination from adding MRI features to the clinical inputs, whereas the probability-error differences were less conclusive.</w:t>
      </w:r>
    </w:p>
    <w:p>
      <w:pPr>
        <w:pStyle w:val="Heading2"/>
      </w:pPr>
      <w:r>
        <w:t>3.5 Calibration and errors</w:t>
      </w:r>
    </w:p>
    <w:p>
      <w:pPr>
        <w:keepNext w:val="0"/>
      </w:pPr>
      <w:r>
        <w:t>Fusion's descriptive calibration offset intercept was -0.121 and its calibration slope was 0.667 (Figure 2C; Supplementary Table S3). At the fixed 0.5 threshold, Fusion correctly classified 130/141 tumor examinations (92.2%) and 12/41 treatment-related-change examinations (29.3%). Eleven tumor examinations were classified as treatment-related change and 29 treatment-related-change examinations as tumor. Overall accuracy was 142/182 (78.0%), compared with 141/182 (77.5%) for the always-tumor reference, and balanced accuracy was 0.607. M1 correctly recognized two treatment-related-change examinations; MRI and Fusion each recognized 12. MRI correctly classified 128 tumor examinations, compared with 130 for Fusion.</w:t>
      </w:r>
    </w:p>
    <w:p>
      <w:pPr>
        <w:pStyle w:val="Heading2"/>
      </w:pPr>
      <w:r>
        <w:t>3.6 Boundary sensitivity</w:t>
      </w:r>
    </w:p>
    <w:p>
      <w:pPr>
        <w:keepNext w:val="0"/>
      </w:pPr>
      <w:r>
        <w:t>All 182 examinations yielded complete features after erosion. The eroded MRI model had an AUC of 0.765 versus 0.762 for the original MRI model (Supplementary Table S4; Figure S1). Eroded Fusion had an AUC of 0.788 (95% percentile interval, 0.706–0.867), compared with 0.782 for original Fusion. The paired eroded-minus-original Fusion AUC difference was 0.0062 (-0.0051 to 0.0183). Eroded Fusion had a Brier score of 0.141, treatment-related-change AP of 0.529 and treatment-change recognition of 14/41 at the fixed threshold. Corresponding original Fusion values were 0.144, 0.505 and 12/41. The small AUC difference indicated similar performance under this boundary perturbation.</w:t>
      </w:r>
    </w:p>
    <w:p>
      <w:pPr>
        <w:pStyle w:val="Heading1"/>
      </w:pPr>
      <w:r>
        <w:t>4 Discussion</w:t>
      </w:r>
    </w:p>
    <w:p>
      <w:pPr>
        <w:pStyle w:val="Heading2"/>
      </w:pPr>
      <w:r>
        <w:t>4.1 Principal findings</w:t>
      </w:r>
    </w:p>
    <w:p>
      <w:pPr>
        <w:keepNext w:val="0"/>
      </w:pPr>
      <w:r>
        <w:t>Combining eight MRI features with five clinical inputs improved discrimination between residual or recurrent tumor and treatment-related change in this public cohort. Fusion achieved an OOF AUC of 0.782, compared with 0.672 for the expanded clinical model, with a paired increment of 0.110 (95% percentile interval, 0.021–0.214). Evaluating the models on identical examinations and patient-grouped folds provided a direct assessment of the information added by MRI. The positive increment across all 20 repeated partitions further supported the consistency of this finding (Supplementary Table S5B). Fusion also had the highest treatment-related-change AP and the lowest Brier-score point estimate among the four primary models. Together, these results support combining clinical context with quantitative image descriptors when assessing post-treatment glioma examinations.</w:t>
      </w:r>
    </w:p>
    <w:p>
      <w:pPr>
        <w:pStyle w:val="Heading2"/>
      </w:pPr>
      <w:r>
        <w:t>4.2 Comparison with related studies</w:t>
      </w:r>
    </w:p>
    <w:p>
      <w:pPr>
        <w:keepNext w:val="0"/>
      </w:pPr>
      <w:r>
        <w:t>Our findings add to evidence on integrating imaging and clinical information in post-treatment glioma assessment. Zhou et al. combined a radiomic score with relative cerebral blood volume, apparent diffusion coefficient, neutrophil-to-lymphocyte ratio, MGMT status and temozolomide treatment, reporting validation AUCs of 0.811 for the integrated model and 0.744 for the model excluding radiomics in a stratified internal split (8). McKenney et al. studied 74 patients undergoing repeat surgery and found higher classification accuracy when contrast-enhanced T1 and perfusion radiomics were combined with MGMT status (9). Conversely, Leone et al. reported AUCs of 0.69 for a clinical-MGMT reference model and 0.71 after adding median diffusion and perfusion measures, with no statistically significant improvement (10). De Godoy et al. reported an AUC of 0.757 in a new cohort using a diffusion-perfusion model, with mixed-tumor cases grouped differently between development and validation (11). Related work by Reecher et al. also used the UCSD-PTGBM collection (19). Across these studies, the incremental value of imaging depends on the clinical comparator, selected sequences and diagnostic categories. Our paired analysis extends this evidence using a compact, fixed set of FLAIR and postcontrast T1 features.</w:t>
      </w:r>
    </w:p>
    <w:p>
      <w:pPr>
        <w:pStyle w:val="Heading2"/>
      </w:pPr>
      <w:r>
        <w:t>4.3 Computational contribution</w:t>
      </w:r>
    </w:p>
    <w:p>
      <w:pPr>
        <w:keepNext w:val="0"/>
      </w:pPr>
      <w:r>
        <w:t>The computational contribution is a reproducible evaluation of feature-level clinical-MRI fusion. The 13-input model combines an explicit clinical baseline with eight features whose calculations can be traced to intensity distributions and spatial gray-level relationships. A shared L2-regularized regression framework links the comparison directly to the information supplied by each input panel. Training-fold preprocessing, patient-grouped validation and retained OOF predictions make the relationship between inputs and evaluation outputs inspectable. The repository provides notebooks, derived feature tables, fold assignments and analysis locks, allowing model evaluation to be repeated from the saved features. This organization follows methodological priorities emphasized in METRICS, including documented image processing and model evaluation (20). It offers a practical computational workflow for studying MRI's additional contribution in public clinical-imaging data.</w:t>
      </w:r>
    </w:p>
    <w:p>
      <w:pPr>
        <w:pStyle w:val="Heading2"/>
      </w:pPr>
      <w:r>
        <w:t>4.4 Interpretation of MRI features</w:t>
      </w:r>
    </w:p>
    <w:p>
      <w:pPr>
        <w:keepNext w:val="0"/>
      </w:pPr>
      <w:r>
        <w:t>The selected features summarize complementary properties of regional MRI appearance. Mean intensity describes the average signal level after percentile scaling, standard deviation reflects dispersion, and Shannon entropy summarizes the distribution of discretized intensities. GLCM contrast incorporates spatial information by weighting squared gray-level differences between neighboring voxels (6). Together, these measurements capture regional signal and heterogeneity from FLAIR and postcontrast T1 images. Processing definitions are relevant to their interpretation: Foltyn-Dumitru et al. found that normalization influenced external generalization in molecular glioma classification (7), and Duenweg et al. showed that normalization affected radiomic comparability across acquisition settings (21). The present pipeline used image-specific percentile references and explicitly defined ROI discretization. This provides a consistent numerical basis for comparing clinical and imaging input sets.</w:t>
      </w:r>
    </w:p>
    <w:p>
      <w:pPr>
        <w:pStyle w:val="Heading2"/>
      </w:pPr>
      <w:r>
        <w:t>4.5 Boundary sensitivity</w:t>
      </w:r>
    </w:p>
    <w:p>
      <w:pPr>
        <w:keepNext w:val="0"/>
      </w:pPr>
      <w:r>
        <w:t>The boundary analysis examined how a modest change to the supplied annotation region affected the extracted features and model performance. Fusion's AUC changed from 0.782 to 0.788 after erosion, with a paired difference of 0.0062 (-0.0051 to 0.0183). Retaining the original normalization and discretization references allowed the comparison to focus on the change in the sampled region. The resulting AUC estimates were similar, suggesting relative stability under this specific perturbation. Measurement reproducibility is also being investigated in glioma radiomics: Martin et al. evaluated scan-rescan repeatability of diffusion and perfusion features (22). The present boundary analysis provides complementary information about feature extraction within the supplied lesion region and supports further investigation of how annotation choices affect clinical-MRI fusion.</w:t>
      </w:r>
    </w:p>
    <w:p>
      <w:pPr>
        <w:pStyle w:val="Heading2"/>
      </w:pPr>
      <w:r>
        <w:t>4.6 Clinical and imaging information</w:t>
      </w:r>
    </w:p>
    <w:p>
      <w:pPr>
        <w:keepNext w:val="0"/>
      </w:pPr>
      <w:r>
        <w:t>The four-model comparison helps clarify how clinical and imaging inputs contribute to discrimination. Expanding the age-and-sex model increased the AUC point estimate from 0.526 to 0.672, while the MRI model achieved 0.762 and Fusion achieved 0.782. Age, other treatment before imaging and the initial-event interval describe the examination context, whereas intensity and texture features summarize the regional MRI appearance. Their combination places these two information sources in a common regression model. The primary paired comparison showed that MRI added discriminatory information to the expanded clinical baseline. This design provides a clear starting point for evaluating additional clinical variables or imaging sequences by comparing their contribution against the same reference pipeline.</w:t>
      </w:r>
    </w:p>
    <w:p>
      <w:pPr>
        <w:pStyle w:val="Heading2"/>
      </w:pPr>
      <w:r>
        <w:t>4.7 Clinical implications</w:t>
      </w:r>
    </w:p>
    <w:p>
      <w:pPr>
        <w:keepNext w:val="0"/>
      </w:pPr>
      <w:r>
        <w:t>Discrimination, calibration and classification describe different aspects of an imaging model, as emphasized in Metrics Reloaded (23). Fusion's AUC increment indicates improved ranking of tumor and treatment-related-change examinations relative to the clinical comparator. At the fixed 0.5 threshold, it correctly identified 130/141 tumor examinations and 12/41 treatment-related-change examinations, while its calibration slope was 0.667. The paired Brier-score and logarithmic-loss intervals included zero, so the clearest improvement concerned discrimination. This distinction helps identify the next stage of evaluation. A defined clinical use would require selecting a threshold according to the consequences of each classification and evaluating performance for both diagnostic categories. Independent assessment of calibration and decision thresholds would clarify how the additional MRI information could contribute to post-treatment assessment.</w:t>
      </w:r>
    </w:p>
    <w:p>
      <w:pPr>
        <w:pStyle w:val="Heading2"/>
      </w:pPr>
      <w:r>
        <w:t>4.8 Limitations</w:t>
      </w:r>
    </w:p>
    <w:p>
      <w:pPr>
        <w:keepNext w:val="0"/>
      </w:pPr>
      <w:r>
        <w:t>Two limitations merit consideration. The analysis used the available imaging subset of a single public collection and its existing diagnostic labels and annotations; source diagnoses combined pathological and clinical-imaging evidence, and the information available during correction of the supplied masks was incompletely documented (5,17). Independently adjudicated diagnoses and documented annotation procedures would strengthen replication. In addition, performance was evaluated internally in 135 patients, including 41 treatment-related-change examinations in the primary analysis. Bootstrap intervals condition on fixed OOF predictions, and the supplementary single-scan AUC-increment interval included zero (Supplementary Table S7). A larger independent cohort would help establish the precision and generalizability of the observed improvement.</w:t>
      </w:r>
    </w:p>
    <w:p>
      <w:pPr>
        <w:pStyle w:val="Heading2"/>
      </w:pPr>
      <w:r>
        <w:t>4.9 Further evaluation</w:t>
      </w:r>
    </w:p>
    <w:p>
      <w:pPr>
        <w:keepNext w:val="0"/>
      </w:pPr>
      <w:r>
        <w:t>Further evaluation should retain the paired comparison between the clinical and fusion pipelines while broadening the patient population and acquisition settings. External-validation guidance recommends representative cohorts and sample-size planning for precise performance estimation (24,25). A multicenter study with documented acquisition metadata, consistent annotation procedures and adjudicated outcomes would provide a suitable setting. Treatment-related-change recognition and calibration should be evaluated alongside AUC, with thresholds linked to a defined clinical action. Additional sequences or molecular predictors could then be assessed for their incremental contribution using the same comparison framework. The present public-data workflow provides reusable feature definitions, code and validation outputs to support this progression.</w:t>
      </w:r>
    </w:p>
    <w:p>
      <w:pPr>
        <w:pStyle w:val="Heading1"/>
      </w:pPr>
      <w:r>
        <w:t>5 Conclusion</w:t>
      </w:r>
    </w:p>
    <w:p>
      <w:pPr>
        <w:keepNext w:val="0"/>
      </w:pPr>
      <w:r>
        <w:t>Clinical-MRI feature fusion improved discrimination between residual or recurrent tumor and treatment-related change in public UCSD-PTGBM data. In 182 examinations from 135 patients, Fusion achieved an OOF AUC of 0.782 and a paired increment of 0.110 over the expanded clinical model (95% percentile interval, 0.021–0.214). The increment was positive across 20 patient-grouped partitions. The reproducible workflow supports evaluating a compact MRI feature panel alongside clinical information, with independent cohort assessment as the next step toward clinical application.</w:t>
      </w:r>
    </w:p>
    <w:p>
      <w:pPr>
        <w:pStyle w:val="Heading1"/>
        <w:pageBreakBefore/>
      </w:pPr>
      <w:r>
        <w:t>References</w:t>
      </w:r>
    </w:p>
    <w:p>
      <w:pPr>
        <w:keepNext w:val="0"/>
        <w:keepLines/>
      </w:pPr>
      <w:r>
        <w:t>1. Wen PY, Weller M, Lee EQ, Touat M, Khasraw M, Rahman R, et al. Glioblastoma in adults: A Society for Neuro-Oncology (SNO) and European Society of Neuro-Oncology (EANO) consensus review on current management and future directions. Neuro Oncol. 2025;27(11):2751-2788. doi: 10.1093/neuonc/noaf177.</w:t>
      </w:r>
    </w:p>
    <w:p>
      <w:pPr>
        <w:keepNext w:val="0"/>
        <w:keepLines/>
      </w:pPr>
      <w:r>
        <w:t>2. Wen PY, van den Bent M, Youssef G, Cloughesy TF, Ellingson BM, Weller M, et al. RANO 2.0: Update to the Response Assessment in Neuro-Oncology Criteria for High- and Low-Grade Gliomas in Adults. J Clin Oncol. 2023;41(33):5187-5199. doi: 10.1200/JCO.23.01059.</w:t>
      </w:r>
    </w:p>
    <w:p>
      <w:pPr>
        <w:keepNext w:val="0"/>
        <w:keepLines/>
      </w:pPr>
      <w:r>
        <w:t>3. Reddy S, Lung T, Muniyappa S, Hadley C, Templeton B, Fritz J, et al. Radiomics and Radiogenomics in Differentiating Progression, Pseudoprogression, and Radiation Necrosis in Gliomas. Biomedicines. 2025;13(7):1778. doi: 10.3390/biomedicines13071778.</w:t>
      </w:r>
    </w:p>
    <w:p>
      <w:pPr>
        <w:keepNext w:val="0"/>
        <w:keepLines/>
      </w:pPr>
      <w:r>
        <w:t>4. Ellingson BM, Sanvito F, Cloughesy TF, Huang RY, Villanueva-Meyer JE, Pope WB, et al. A Neuroradiologist's Guide to Operationalizing the Response Assessment in Neuro-Oncology (RANO) Criteria Version 2.0 for Gliomas in Adults. AJNR Am J Neuroradiol. 2024;45(12):1846-1856. doi: 10.3174/ajnr.A8396.</w:t>
      </w:r>
    </w:p>
    <w:p>
      <w:pPr>
        <w:keepNext w:val="0"/>
        <w:keepLines/>
      </w:pPr>
      <w:r>
        <w:t>5. Gagnon L, Gupta D, Nguyen U, Correia de Verdier M, Saluja R, Mastorakos G, et al. The University of California San Diego Post-Treatment Glioblastoma (UCSD-PTGBM) annotated multimodal MRI Dataset. Sci Data. 2026;13(1):183. doi: 10.1038/s41597-025-06499-z.</w:t>
      </w:r>
    </w:p>
    <w:p>
      <w:pPr>
        <w:keepNext w:val="0"/>
        <w:keepLines/>
      </w:pPr>
      <w:r>
        <w:t>6. Zwanenburg A, Vallières M, Abdalah MA, Aerts HJWL, Andrearczyk V, Apte A, et al. The Image Biomarker Standardization Initiative: Standardized Quantitative Radiomics for High-Throughput Image-based Phenotyping. Radiology. 2020;295(2):328-338. doi: 10.1148/radiol.2020191145.</w:t>
      </w:r>
    </w:p>
    <w:p>
      <w:pPr>
        <w:keepNext w:val="0"/>
        <w:keepLines/>
      </w:pPr>
      <w:r>
        <w:t>7. Foltyn-Dumitru M, Schell M, Rastogi A, Sahm F, Kessler T, Wick W, et al. Impact of signal intensity normalization of MRI on the generalizability of radiomic-based prediction of molecular glioma subtypes. Eur Radiol. 2024;34(4):2782-2790. doi: 10.1007/s00330-023-10034-2.</w:t>
      </w:r>
    </w:p>
    <w:p>
      <w:pPr>
        <w:keepNext w:val="0"/>
        <w:keepLines/>
      </w:pPr>
      <w:r>
        <w:t>8. Zhou J, Danmeng Z, Hui Y, Zhuohua X, Mingjing W, Ying L. Radiomics and clinical data predict pseudoprogression after radiotherapy in high-grade glioma. Front Oncol. 2026;16:1892760. doi: 10.3389/fonc.2026.1892760.</w:t>
      </w:r>
    </w:p>
    <w:p>
      <w:pPr>
        <w:keepNext w:val="0"/>
        <w:keepLines/>
      </w:pPr>
      <w:r>
        <w:t>9. McKenney AS, Weg E, Bale TA, Wild AT, Um H, Fox MJ, et al. Radiomic Analysis to Predict Histopathologically Confirmed Pseudoprogression in Glioblastoma Patients. Adv Radiat Oncol. 2023;8(1):100916. doi: 10.1016/j.adro.2022.100916.</w:t>
      </w:r>
    </w:p>
    <w:p>
      <w:pPr>
        <w:keepNext w:val="0"/>
        <w:keepLines/>
      </w:pPr>
      <w:r>
        <w:t>10. Leone R, Meredig H, Foltyn-Dumitru M, Sahm F, Hamelmann S, Kurz F, et al. Assessing the added value of apparent diffusion coefficient, cerebral blood volume, and radiomic magnetic resonance features for differentiation of pseudoprogression versus true tumor progression in patients with glioblastoma. Neurooncol Adv. 2023;5(1):vdad016. doi: 10.1093/noajnl/vdad016.</w:t>
      </w:r>
    </w:p>
    <w:p>
      <w:pPr>
        <w:keepNext w:val="0"/>
        <w:keepLines/>
      </w:pPr>
      <w:r>
        <w:t>11. de Godoy LL, Mohan S, Wang S, Nasrallah MP, Sakai Y, O'Rourke DM, et al. Validation of multiparametric MRI based prediction model in identification of pseudoprogression in glioblastomas. J Transl Med. 2023;21(1):287. doi: 10.1186/s12967-023-03941-x.</w:t>
      </w:r>
    </w:p>
    <w:p>
      <w:pPr>
        <w:keepNext w:val="0"/>
        <w:keepLines/>
      </w:pPr>
      <w:r>
        <w:t>12. Kocak B, Baessler B, Bakas S, Cuocolo R, Fedorov A, Maier-Hein L, et al. CheckList for EvaluAtion of Radiomics research (CLEAR): a step-by-step reporting guideline for authors and reviewers endorsed by ESR and EuSoMII. Insights Imaging. 2023;14(1):75. doi: 10.1186/s13244-023-01415-8.</w:t>
      </w:r>
    </w:p>
    <w:p>
      <w:pPr>
        <w:keepNext w:val="0"/>
        <w:keepLines/>
      </w:pPr>
      <w:r>
        <w:t>13. Moons KGM, Damen JAA, Kaul T, Hooft L, Andaur Navarro C, Dhiman P, et al. PROBAST+AI: an updated quality, risk of bias, and applicability assessment tool for prediction models using regression or artificial intelligence methods. BMJ. 2025;388:e082505. doi: 10.1136/bmj-2024-082505.</w:t>
      </w:r>
    </w:p>
    <w:p>
      <w:pPr>
        <w:keepNext w:val="0"/>
        <w:keepLines/>
      </w:pPr>
      <w:r>
        <w:t>14. Collins GS, Dhiman P, Ma J, Schlussel MM, Archer L, Van Calster B, et al. Evaluation of clinical prediction models (part 1): from development to external validation. BMJ. 2024;384:e074819. doi: 10.1136/bmj-2023-074819.</w:t>
      </w:r>
    </w:p>
    <w:p>
      <w:pPr>
        <w:keepNext w:val="0"/>
        <w:keepLines/>
      </w:pPr>
      <w:r>
        <w:t>15. Rosenblatt M, Tejavibulya L, Jiang R, Noble S, Scheinost D. Data leakage inflates prediction performance in connectome-based machine learning models. Nat Commun. 2024;15(1):1829. doi: 10.1038/s41467-024-46150-w.</w:t>
      </w:r>
    </w:p>
    <w:p>
      <w:pPr>
        <w:keepNext w:val="0"/>
        <w:keepLines/>
      </w:pPr>
      <w:r>
        <w:t>16. Collins GS, Moons KGM, Dhiman P, Riley RD, Beam AL, Van Calster B, et al. TRIPOD+AI statement: updated guidance for reporting clinical prediction models that use regression or machine learning methods. BMJ. 2024;385:e078378. doi: 10.1136/bmj-2023-078378.</w:t>
      </w:r>
    </w:p>
    <w:p>
      <w:pPr>
        <w:keepNext w:val="0"/>
        <w:keepLines/>
      </w:pPr>
      <w:r>
        <w:t>17. Tejani AS, Klontzas ME, Gatti AA, Mongan JT, Moy L, Park SH, et al. Checklist for Artificial Intelligence in Medical Imaging (CLAIM): 2024 Update. Radiol Artif Intell. 2024;6(4):e240300. doi: 10.1148/ryai.240300.</w:t>
      </w:r>
    </w:p>
    <w:p>
      <w:pPr>
        <w:keepNext w:val="0"/>
        <w:keepLines/>
      </w:pPr>
      <w:r>
        <w:t>18. Pedregosa F, Varoquaux G, Gramfort A, Michel V, Thirion B, Grisel O, et al. Scikit-learn: Machine Learning in Python. J Mach Learn Res. 2011;12:2825-2830. Available from: https://www.jmlr.org/papers/v12/pedregosa11a.html</w:t>
      </w:r>
    </w:p>
    <w:p>
      <w:pPr>
        <w:keepNext w:val="0"/>
        <w:keepLines/>
      </w:pPr>
      <w:r>
        <w:t>19. Reecher HM, Duenweg SR, Lowman AK, Winiarz A, Nath B, Chao B, et al. A Comparison of Radio-Pathomic, Diffusion, and Perfusion Imaging Features for Identifying Pseudoprogression in Glioblastoma. AJNR Am J Neuroradiol. 2026. doi: 10.3174/ajnr.A9574.</w:t>
      </w:r>
    </w:p>
    <w:p>
      <w:pPr>
        <w:keepNext w:val="0"/>
        <w:keepLines/>
      </w:pPr>
      <w:r>
        <w:t>20. Kocak B, Akinci D'Antonoli T, Mercaldo N, Alberich-Bayarri A, Baessler B, Ambrosini I, et al. METhodological RadiomICs Score (METRICS): a quality scoring tool for radiomics research endorsed by EuSoMII. Insights Imaging. 2024;15(1):8. doi: 10.1186/s13244-023-01572-w.</w:t>
      </w:r>
    </w:p>
    <w:p>
      <w:pPr>
        <w:keepNext w:val="0"/>
        <w:keepLines/>
      </w:pPr>
      <w:r>
        <w:t>21. Duenweg SR, Bobholz SA, Lowman AK, Winiarz A, Nath B, Barrett MJ, et al. Comparison of intensity normalization methods in prostate, brain, and breast cancer multi-parametric magnetic resonance imaging. Front Oncol. 2025;15:1433444. doi: 10.3389/fonc.2025.1433444.</w:t>
      </w:r>
    </w:p>
    <w:p>
      <w:pPr>
        <w:keepNext w:val="0"/>
        <w:keepLines/>
      </w:pPr>
      <w:r>
        <w:t>22. Martin P, Holloway L, Metcalfe P, Koh ES, Aly F, Chan E, et al. Repeatability of diffusion and perfusion MRI derived radiomic features in glioblastoma: a test-retest study. Phys Eng Sci Med. 2025;48(4):1691-1702. doi: 10.1007/s13246-025-01613-2.</w:t>
      </w:r>
    </w:p>
    <w:p>
      <w:pPr>
        <w:keepNext w:val="0"/>
        <w:keepLines/>
      </w:pPr>
      <w:r>
        <w:t>23. Maier-Hein L, Reinke A, Godau P, Tizabi MD, Buettner F, Christodoulou E, et al. Metrics reloaded: recommendations for image analysis validation. Nat Methods. 2024;21(2):195-212. doi: 10.1038/s41592-023-02151-z.</w:t>
      </w:r>
    </w:p>
    <w:p>
      <w:pPr>
        <w:keepNext w:val="0"/>
        <w:keepLines/>
      </w:pPr>
      <w:r>
        <w:t>24. Riley RD, Archer L, Snell KIE, Ensor J, Dhiman P, Martin GP, et al. Evaluation of clinical prediction models (part 2): how to undertake an external validation study. BMJ. 2024;384:e074820. doi: 10.1136/bmj-2023-074820.</w:t>
      </w:r>
    </w:p>
    <w:p>
      <w:pPr>
        <w:keepNext w:val="0"/>
        <w:keepLines/>
      </w:pPr>
      <w:r>
        <w:t>25. Riley RD, Snell KIE, Archer L, Ensor J, Debray TPA, van Calster B, et al. Evaluation of clinical prediction models (part 3): calculating the sample size required for an external validation study. BMJ. 2024;384:e074821. doi: 10.1136/bmj-2023-074821.</w:t>
      </w:r>
    </w:p>
    <w:p>
      <w:pPr>
        <w:sectPr>
          <w:footerReference w:type="default" r:id="rId9"/>
          <w:pgSz w:w="12240" w:h="15840"/>
          <w:pgMar w:top="1138" w:right="1138" w:bottom="1138" w:left="1138" w:header="504" w:footer="504" w:gutter="0"/>
          <w:cols w:space="720"/>
          <w:docGrid w:linePitch="360"/>
          <w:lnNumType w:countBy="1" w:restart="continuous" w:distance="180"/>
        </w:sectPr>
      </w:pPr>
    </w:p>
    <w:p>
      <w:pPr>
        <w:pStyle w:val="Heading2"/>
        <w:suppressLineNumbers/>
      </w:pPr>
      <w:r>
        <w:t>Table 1. Clinical characteristics of the imaging cohort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2170"/>
        <w:gridCol w:w="2170"/>
        <w:gridCol w:w="2170"/>
      </w:tblGrid>
      <w:tr>
        <w:trPr>
          <w:cantSplit/>
          <w:tblHeader/>
        </w:trPr>
        <w:tc>
          <w:tcPr>
            <w:tcW w:type="dxa" w:w="3456"/>
            <w:vAlign w:val="center"/>
            <w:shd w:fill="EEEEEE"/>
          </w:tcPr>
          <w:p>
            <w:pPr>
              <w:spacing w:after="60" w:line="240" w:lineRule="auto"/>
            </w:pPr>
            <w:r>
              <w:rPr>
                <w:b/>
                <w:sz w:val="20"/>
              </w:rPr>
              <w:t>Characteristic</w:t>
            </w:r>
          </w:p>
        </w:tc>
        <w:tc>
          <w:tcPr>
            <w:tcW w:type="dxa" w:w="2170"/>
            <w:vAlign w:val="center"/>
            <w:shd w:fill="EEEEEE"/>
          </w:tcPr>
          <w:p>
            <w:pPr>
              <w:spacing w:after="60" w:line="240" w:lineRule="auto"/>
            </w:pPr>
            <w:r>
              <w:rPr>
                <w:b/>
                <w:sz w:val="20"/>
              </w:rPr>
              <w:t>All imaging examinations</w:t>
            </w:r>
          </w:p>
        </w:tc>
        <w:tc>
          <w:tcPr>
            <w:tcW w:type="dxa" w:w="2170"/>
            <w:vAlign w:val="center"/>
            <w:shd w:fill="EEEEEE"/>
          </w:tcPr>
          <w:p>
            <w:pPr>
              <w:spacing w:after="60" w:line="240" w:lineRule="auto"/>
            </w:pPr>
            <w:r>
              <w:rPr>
                <w:b/>
                <w:sz w:val="20"/>
              </w:rPr>
              <w:t>Tumor examinations</w:t>
            </w:r>
          </w:p>
        </w:tc>
        <w:tc>
          <w:tcPr>
            <w:tcW w:type="dxa" w:w="2170"/>
            <w:vAlign w:val="center"/>
            <w:shd w:fill="EEEEEE"/>
          </w:tcPr>
          <w:p>
            <w:pPr>
              <w:spacing w:after="60" w:line="240" w:lineRule="auto"/>
            </w:pPr>
            <w:r>
              <w:rPr>
                <w:b/>
                <w:sz w:val="20"/>
              </w:rPr>
              <w:t>Treatment-related change</w:t>
            </w:r>
          </w:p>
        </w:tc>
      </w:tr>
      <w:tr>
        <w:trPr>
          <w:cantSplit/>
        </w:trPr>
        <w:tc>
          <w:tcPr>
            <w:tcW w:type="dxa" w:w="3456"/>
            <w:vAlign w:val="center"/>
          </w:tcPr>
          <w:p>
            <w:pPr>
              <w:spacing w:after="60" w:line="240" w:lineRule="auto"/>
            </w:pPr>
            <w:r>
              <w:rPr>
                <w:b w:val="0"/>
                <w:sz w:val="20"/>
              </w:rPr>
              <w:t>Examinations, n</w:t>
            </w:r>
          </w:p>
        </w:tc>
        <w:tc>
          <w:tcPr>
            <w:tcW w:type="dxa" w:w="2170"/>
            <w:vAlign w:val="center"/>
          </w:tcPr>
          <w:p>
            <w:pPr>
              <w:spacing w:after="60" w:line="240" w:lineRule="auto"/>
            </w:pPr>
            <w:r>
              <w:rPr>
                <w:b w:val="0"/>
                <w:sz w:val="20"/>
              </w:rPr>
              <w:t>182</w:t>
            </w:r>
          </w:p>
        </w:tc>
        <w:tc>
          <w:tcPr>
            <w:tcW w:type="dxa" w:w="2170"/>
            <w:vAlign w:val="center"/>
          </w:tcPr>
          <w:p>
            <w:pPr>
              <w:spacing w:after="60" w:line="240" w:lineRule="auto"/>
            </w:pPr>
            <w:r>
              <w:rPr>
                <w:b w:val="0"/>
                <w:sz w:val="20"/>
              </w:rPr>
              <w:t>141</w:t>
            </w:r>
          </w:p>
        </w:tc>
        <w:tc>
          <w:tcPr>
            <w:tcW w:type="dxa" w:w="2170"/>
            <w:vAlign w:val="center"/>
          </w:tcPr>
          <w:p>
            <w:pPr>
              <w:spacing w:after="60" w:line="240" w:lineRule="auto"/>
            </w:pPr>
            <w:r>
              <w:rPr>
                <w:b w:val="0"/>
                <w:sz w:val="20"/>
              </w:rPr>
              <w:t>41</w:t>
            </w:r>
          </w:p>
        </w:tc>
      </w:tr>
      <w:tr>
        <w:trPr>
          <w:cantSplit/>
        </w:trPr>
        <w:tc>
          <w:tcPr>
            <w:tcW w:type="dxa" w:w="3456"/>
            <w:vAlign w:val="center"/>
          </w:tcPr>
          <w:p>
            <w:pPr>
              <w:spacing w:after="60" w:line="240" w:lineRule="auto"/>
            </w:pPr>
            <w:r>
              <w:rPr>
                <w:b w:val="0"/>
                <w:sz w:val="20"/>
              </w:rPr>
              <w:t>Unique source patients, n</w:t>
            </w:r>
          </w:p>
        </w:tc>
        <w:tc>
          <w:tcPr>
            <w:tcW w:type="dxa" w:w="2170"/>
            <w:vAlign w:val="center"/>
          </w:tcPr>
          <w:p>
            <w:pPr>
              <w:spacing w:after="60" w:line="240" w:lineRule="auto"/>
            </w:pPr>
            <w:r>
              <w:rPr>
                <w:b w:val="0"/>
                <w:sz w:val="20"/>
              </w:rPr>
              <w:t>135</w:t>
            </w:r>
          </w:p>
        </w:tc>
        <w:tc>
          <w:tcPr>
            <w:tcW w:type="dxa" w:w="2170"/>
            <w:vAlign w:val="center"/>
          </w:tcPr>
          <w:p>
            <w:pPr>
              <w:spacing w:after="60" w:line="240" w:lineRule="auto"/>
            </w:pPr>
            <w:r>
              <w:rPr>
                <w:b w:val="0"/>
                <w:sz w:val="20"/>
              </w:rPr>
              <w:t>114</w:t>
            </w:r>
          </w:p>
        </w:tc>
        <w:tc>
          <w:tcPr>
            <w:tcW w:type="dxa" w:w="2170"/>
            <w:vAlign w:val="center"/>
          </w:tcPr>
          <w:p>
            <w:pPr>
              <w:spacing w:after="60" w:line="240" w:lineRule="auto"/>
            </w:pPr>
            <w:r>
              <w:rPr>
                <w:b w:val="0"/>
                <w:sz w:val="20"/>
              </w:rPr>
              <w:t>29</w:t>
            </w:r>
          </w:p>
        </w:tc>
      </w:tr>
      <w:tr>
        <w:trPr>
          <w:cantSplit/>
        </w:trPr>
        <w:tc>
          <w:tcPr>
            <w:tcW w:type="dxa" w:w="3456"/>
            <w:vAlign w:val="center"/>
          </w:tcPr>
          <w:p>
            <w:pPr>
              <w:spacing w:after="60" w:line="240" w:lineRule="auto"/>
            </w:pPr>
            <w:r>
              <w:rPr>
                <w:b w:val="0"/>
                <w:sz w:val="20"/>
              </w:rPr>
              <w:t>Age, years</w:t>
            </w:r>
          </w:p>
        </w:tc>
        <w:tc>
          <w:tcPr>
            <w:tcW w:type="dxa" w:w="2170"/>
            <w:vAlign w:val="center"/>
          </w:tcPr>
          <w:p>
            <w:pPr>
              <w:spacing w:after="60" w:line="240" w:lineRule="auto"/>
            </w:pPr>
            <w:r>
              <w:rPr>
                <w:b w:val="0"/>
                <w:sz w:val="20"/>
              </w:rPr>
              <w:t>56.5 [49.0, 66.0]</w:t>
            </w:r>
          </w:p>
        </w:tc>
        <w:tc>
          <w:tcPr>
            <w:tcW w:type="dxa" w:w="2170"/>
            <w:vAlign w:val="center"/>
          </w:tcPr>
          <w:p>
            <w:pPr>
              <w:spacing w:after="60" w:line="240" w:lineRule="auto"/>
            </w:pPr>
            <w:r>
              <w:rPr>
                <w:b w:val="0"/>
                <w:sz w:val="20"/>
              </w:rPr>
              <w:t>58.0 [50.0, 67.0]</w:t>
            </w:r>
          </w:p>
        </w:tc>
        <w:tc>
          <w:tcPr>
            <w:tcW w:type="dxa" w:w="2170"/>
            <w:vAlign w:val="center"/>
          </w:tcPr>
          <w:p>
            <w:pPr>
              <w:spacing w:after="60" w:line="240" w:lineRule="auto"/>
            </w:pPr>
            <w:r>
              <w:rPr>
                <w:b w:val="0"/>
                <w:sz w:val="20"/>
              </w:rPr>
              <w:t>54.0 [48.0, 62.0]</w:t>
            </w:r>
          </w:p>
        </w:tc>
      </w:tr>
      <w:tr>
        <w:trPr>
          <w:cantSplit/>
        </w:trPr>
        <w:tc>
          <w:tcPr>
            <w:tcW w:type="dxa" w:w="3456"/>
            <w:vAlign w:val="center"/>
          </w:tcPr>
          <w:p>
            <w:pPr>
              <w:spacing w:after="60" w:line="240" w:lineRule="auto"/>
            </w:pPr>
            <w:r>
              <w:rPr>
                <w:b w:val="0"/>
                <w:sz w:val="20"/>
              </w:rPr>
              <w:t>Male sex at birth</w:t>
            </w:r>
          </w:p>
        </w:tc>
        <w:tc>
          <w:tcPr>
            <w:tcW w:type="dxa" w:w="2170"/>
            <w:vAlign w:val="center"/>
          </w:tcPr>
          <w:p>
            <w:pPr>
              <w:spacing w:after="60" w:line="240" w:lineRule="auto"/>
            </w:pPr>
            <w:r>
              <w:rPr>
                <w:b w:val="0"/>
                <w:sz w:val="20"/>
              </w:rPr>
              <w:t>132/182 (72.5%)</w:t>
            </w:r>
          </w:p>
        </w:tc>
        <w:tc>
          <w:tcPr>
            <w:tcW w:type="dxa" w:w="2170"/>
            <w:vAlign w:val="center"/>
          </w:tcPr>
          <w:p>
            <w:pPr>
              <w:spacing w:after="60" w:line="240" w:lineRule="auto"/>
            </w:pPr>
            <w:r>
              <w:rPr>
                <w:b w:val="0"/>
                <w:sz w:val="20"/>
              </w:rPr>
              <w:t>105/141 (74.5%)</w:t>
            </w:r>
          </w:p>
        </w:tc>
        <w:tc>
          <w:tcPr>
            <w:tcW w:type="dxa" w:w="2170"/>
            <w:vAlign w:val="center"/>
          </w:tcPr>
          <w:p>
            <w:pPr>
              <w:spacing w:after="60" w:line="240" w:lineRule="auto"/>
            </w:pPr>
            <w:r>
              <w:rPr>
                <w:b w:val="0"/>
                <w:sz w:val="20"/>
              </w:rPr>
              <w:t>27/41 (65.9%)</w:t>
            </w:r>
          </w:p>
        </w:tc>
      </w:tr>
      <w:tr>
        <w:trPr>
          <w:cantSplit/>
        </w:trPr>
        <w:tc>
          <w:tcPr>
            <w:tcW w:type="dxa" w:w="3456"/>
            <w:vAlign w:val="center"/>
          </w:tcPr>
          <w:p>
            <w:pPr>
              <w:spacing w:after="60" w:line="240" w:lineRule="auto"/>
            </w:pPr>
            <w:r>
              <w:rPr>
                <w:b w:val="0"/>
                <w:sz w:val="20"/>
              </w:rPr>
              <w:t>Tumor-labeled examinations</w:t>
            </w:r>
          </w:p>
        </w:tc>
        <w:tc>
          <w:tcPr>
            <w:tcW w:type="dxa" w:w="2170"/>
            <w:vAlign w:val="center"/>
          </w:tcPr>
          <w:p>
            <w:pPr>
              <w:spacing w:after="60" w:line="240" w:lineRule="auto"/>
            </w:pPr>
            <w:r>
              <w:rPr>
                <w:b w:val="0"/>
                <w:sz w:val="20"/>
              </w:rPr>
              <w:t>141/182 (77.5%)</w:t>
            </w:r>
          </w:p>
        </w:tc>
        <w:tc>
          <w:tcPr>
            <w:tcW w:type="dxa" w:w="2170"/>
            <w:vAlign w:val="center"/>
          </w:tcPr>
          <w:p>
            <w:pPr>
              <w:spacing w:after="60" w:line="240" w:lineRule="auto"/>
            </w:pPr>
            <w:r>
              <w:rPr>
                <w:b w:val="0"/>
                <w:sz w:val="20"/>
              </w:rPr>
              <w:t>141/141 (100.0%)</w:t>
            </w:r>
          </w:p>
        </w:tc>
        <w:tc>
          <w:tcPr>
            <w:tcW w:type="dxa" w:w="2170"/>
            <w:vAlign w:val="center"/>
          </w:tcPr>
          <w:p>
            <w:pPr>
              <w:spacing w:after="60" w:line="240" w:lineRule="auto"/>
            </w:pPr>
            <w:r>
              <w:rPr>
                <w:b w:val="0"/>
                <w:sz w:val="20"/>
              </w:rPr>
              <w:t>0/41 (0.0%)</w:t>
            </w:r>
          </w:p>
        </w:tc>
      </w:tr>
      <w:tr>
        <w:trPr>
          <w:cantSplit/>
        </w:trPr>
        <w:tc>
          <w:tcPr>
            <w:tcW w:type="dxa" w:w="3456"/>
            <w:vAlign w:val="center"/>
          </w:tcPr>
          <w:p>
            <w:pPr>
              <w:spacing w:after="60" w:line="240" w:lineRule="auto"/>
            </w:pPr>
            <w:r>
              <w:rPr>
                <w:b w:val="0"/>
                <w:sz w:val="20"/>
              </w:rPr>
              <w:t>Treatment-related-change examinations</w:t>
            </w:r>
          </w:p>
        </w:tc>
        <w:tc>
          <w:tcPr>
            <w:tcW w:type="dxa" w:w="2170"/>
            <w:vAlign w:val="center"/>
          </w:tcPr>
          <w:p>
            <w:pPr>
              <w:spacing w:after="60" w:line="240" w:lineRule="auto"/>
            </w:pPr>
            <w:r>
              <w:rPr>
                <w:b w:val="0"/>
                <w:sz w:val="20"/>
              </w:rPr>
              <w:t>41/182 (22.5%)</w:t>
            </w:r>
          </w:p>
        </w:tc>
        <w:tc>
          <w:tcPr>
            <w:tcW w:type="dxa" w:w="2170"/>
            <w:vAlign w:val="center"/>
          </w:tcPr>
          <w:p>
            <w:pPr>
              <w:spacing w:after="60" w:line="240" w:lineRule="auto"/>
            </w:pPr>
            <w:r>
              <w:rPr>
                <w:b w:val="0"/>
                <w:sz w:val="20"/>
              </w:rPr>
              <w:t>0/141 (0.0%)</w:t>
            </w:r>
          </w:p>
        </w:tc>
        <w:tc>
          <w:tcPr>
            <w:tcW w:type="dxa" w:w="2170"/>
            <w:vAlign w:val="center"/>
          </w:tcPr>
          <w:p>
            <w:pPr>
              <w:spacing w:after="60" w:line="240" w:lineRule="auto"/>
            </w:pPr>
            <w:r>
              <w:rPr>
                <w:b w:val="0"/>
                <w:sz w:val="20"/>
              </w:rPr>
              <w:t>41/41 (100.0%)</w:t>
            </w:r>
          </w:p>
        </w:tc>
      </w:tr>
      <w:tr>
        <w:trPr>
          <w:cantSplit/>
        </w:trPr>
        <w:tc>
          <w:tcPr>
            <w:tcW w:type="dxa" w:w="3456"/>
            <w:vAlign w:val="center"/>
          </w:tcPr>
          <w:p>
            <w:pPr>
              <w:spacing w:after="60" w:line="240" w:lineRule="auto"/>
            </w:pPr>
            <w:r>
              <w:rPr>
                <w:b w:val="0"/>
                <w:sz w:val="20"/>
              </w:rPr>
              <w:t>Days since initial event (known only)</w:t>
            </w:r>
          </w:p>
        </w:tc>
        <w:tc>
          <w:tcPr>
            <w:tcW w:type="dxa" w:w="2170"/>
            <w:vAlign w:val="center"/>
          </w:tcPr>
          <w:p>
            <w:pPr>
              <w:spacing w:after="60" w:line="240" w:lineRule="auto"/>
            </w:pPr>
            <w:r>
              <w:rPr>
                <w:b w:val="0"/>
                <w:sz w:val="20"/>
              </w:rPr>
              <w:t>154.0 [40.5, 359.5]</w:t>
            </w:r>
          </w:p>
        </w:tc>
        <w:tc>
          <w:tcPr>
            <w:tcW w:type="dxa" w:w="2170"/>
            <w:vAlign w:val="center"/>
          </w:tcPr>
          <w:p>
            <w:pPr>
              <w:spacing w:after="60" w:line="240" w:lineRule="auto"/>
            </w:pPr>
            <w:r>
              <w:rPr>
                <w:b w:val="0"/>
                <w:sz w:val="20"/>
              </w:rPr>
              <w:t>96.0 [36.0, 261.8]</w:t>
            </w:r>
          </w:p>
        </w:tc>
        <w:tc>
          <w:tcPr>
            <w:tcW w:type="dxa" w:w="2170"/>
            <w:vAlign w:val="center"/>
          </w:tcPr>
          <w:p>
            <w:pPr>
              <w:spacing w:after="60" w:line="240" w:lineRule="auto"/>
            </w:pPr>
            <w:r>
              <w:rPr>
                <w:b w:val="0"/>
                <w:sz w:val="20"/>
              </w:rPr>
              <w:t>346.0 [140.5, 563.2]</w:t>
            </w:r>
          </w:p>
        </w:tc>
      </w:tr>
      <w:tr>
        <w:trPr>
          <w:cantSplit/>
        </w:trPr>
        <w:tc>
          <w:tcPr>
            <w:tcW w:type="dxa" w:w="3456"/>
            <w:vAlign w:val="center"/>
          </w:tcPr>
          <w:p>
            <w:pPr>
              <w:spacing w:after="60" w:line="240" w:lineRule="auto"/>
            </w:pPr>
            <w:r>
              <w:rPr>
                <w:b w:val="0"/>
                <w:sz w:val="20"/>
              </w:rPr>
              <w:t>Known interval</w:t>
            </w:r>
          </w:p>
        </w:tc>
        <w:tc>
          <w:tcPr>
            <w:tcW w:type="dxa" w:w="2170"/>
            <w:vAlign w:val="center"/>
          </w:tcPr>
          <w:p>
            <w:pPr>
              <w:spacing w:after="60" w:line="240" w:lineRule="auto"/>
            </w:pPr>
            <w:r>
              <w:rPr>
                <w:b w:val="0"/>
                <w:sz w:val="20"/>
              </w:rPr>
              <w:t>146/182 (80.2%)</w:t>
            </w:r>
          </w:p>
        </w:tc>
        <w:tc>
          <w:tcPr>
            <w:tcW w:type="dxa" w:w="2170"/>
            <w:vAlign w:val="center"/>
          </w:tcPr>
          <w:p>
            <w:pPr>
              <w:spacing w:after="60" w:line="240" w:lineRule="auto"/>
            </w:pPr>
            <w:r>
              <w:rPr>
                <w:b w:val="0"/>
                <w:sz w:val="20"/>
              </w:rPr>
              <w:t>108/141 (76.6%)</w:t>
            </w:r>
          </w:p>
        </w:tc>
        <w:tc>
          <w:tcPr>
            <w:tcW w:type="dxa" w:w="2170"/>
            <w:vAlign w:val="center"/>
          </w:tcPr>
          <w:p>
            <w:pPr>
              <w:spacing w:after="60" w:line="240" w:lineRule="auto"/>
            </w:pPr>
            <w:r>
              <w:rPr>
                <w:b w:val="0"/>
                <w:sz w:val="20"/>
              </w:rPr>
              <w:t>38/41 (92.7%)</w:t>
            </w:r>
          </w:p>
        </w:tc>
      </w:tr>
      <w:tr>
        <w:trPr>
          <w:cantSplit/>
        </w:trPr>
        <w:tc>
          <w:tcPr>
            <w:tcW w:type="dxa" w:w="3456"/>
            <w:vAlign w:val="center"/>
          </w:tcPr>
          <w:p>
            <w:pPr>
              <w:spacing w:after="60" w:line="240" w:lineRule="auto"/>
            </w:pPr>
            <w:r>
              <w:rPr>
                <w:b w:val="0"/>
                <w:sz w:val="20"/>
              </w:rPr>
              <w:t>Missing interval</w:t>
            </w:r>
          </w:p>
        </w:tc>
        <w:tc>
          <w:tcPr>
            <w:tcW w:type="dxa" w:w="2170"/>
            <w:vAlign w:val="center"/>
          </w:tcPr>
          <w:p>
            <w:pPr>
              <w:spacing w:after="60" w:line="240" w:lineRule="auto"/>
            </w:pPr>
            <w:r>
              <w:rPr>
                <w:b w:val="0"/>
                <w:sz w:val="20"/>
              </w:rPr>
              <w:t>36/182 (19.8%)</w:t>
            </w:r>
          </w:p>
        </w:tc>
        <w:tc>
          <w:tcPr>
            <w:tcW w:type="dxa" w:w="2170"/>
            <w:vAlign w:val="center"/>
          </w:tcPr>
          <w:p>
            <w:pPr>
              <w:spacing w:after="60" w:line="240" w:lineRule="auto"/>
            </w:pPr>
            <w:r>
              <w:rPr>
                <w:b w:val="0"/>
                <w:sz w:val="20"/>
              </w:rPr>
              <w:t>33/141 (23.4%)</w:t>
            </w:r>
          </w:p>
        </w:tc>
        <w:tc>
          <w:tcPr>
            <w:tcW w:type="dxa" w:w="2170"/>
            <w:vAlign w:val="center"/>
          </w:tcPr>
          <w:p>
            <w:pPr>
              <w:spacing w:after="60" w:line="240" w:lineRule="auto"/>
            </w:pPr>
            <w:r>
              <w:rPr>
                <w:b w:val="0"/>
                <w:sz w:val="20"/>
              </w:rPr>
              <w:t>3/41 (7.3%)</w:t>
            </w:r>
          </w:p>
        </w:tc>
      </w:tr>
      <w:tr>
        <w:trPr>
          <w:cantSplit/>
        </w:trPr>
        <w:tc>
          <w:tcPr>
            <w:tcW w:type="dxa" w:w="3456"/>
            <w:vAlign w:val="center"/>
          </w:tcPr>
          <w:p>
            <w:pPr>
              <w:spacing w:after="60" w:line="240" w:lineRule="auto"/>
            </w:pPr>
            <w:r>
              <w:rPr>
                <w:b w:val="0"/>
                <w:sz w:val="20"/>
              </w:rPr>
              <w:t>Other treatment before imaging</w:t>
            </w:r>
          </w:p>
        </w:tc>
        <w:tc>
          <w:tcPr>
            <w:tcW w:type="dxa" w:w="2170"/>
            <w:vAlign w:val="center"/>
          </w:tcPr>
          <w:p>
            <w:pPr>
              <w:spacing w:after="60" w:line="240" w:lineRule="auto"/>
            </w:pPr>
            <w:r>
              <w:rPr>
                <w:b w:val="0"/>
                <w:sz w:val="20"/>
              </w:rPr>
              <w:t>25/182 (13.7%)</w:t>
            </w:r>
          </w:p>
        </w:tc>
        <w:tc>
          <w:tcPr>
            <w:tcW w:type="dxa" w:w="2170"/>
            <w:vAlign w:val="center"/>
          </w:tcPr>
          <w:p>
            <w:pPr>
              <w:spacing w:after="60" w:line="240" w:lineRule="auto"/>
            </w:pPr>
            <w:r>
              <w:rPr>
                <w:b w:val="0"/>
                <w:sz w:val="20"/>
              </w:rPr>
              <w:t>20/141 (14.2%)</w:t>
            </w:r>
          </w:p>
        </w:tc>
        <w:tc>
          <w:tcPr>
            <w:tcW w:type="dxa" w:w="2170"/>
            <w:vAlign w:val="center"/>
          </w:tcPr>
          <w:p>
            <w:pPr>
              <w:spacing w:after="60" w:line="240" w:lineRule="auto"/>
            </w:pPr>
            <w:r>
              <w:rPr>
                <w:b w:val="0"/>
                <w:sz w:val="20"/>
              </w:rPr>
              <w:t>5/41 (12.2%)</w:t>
            </w:r>
          </w:p>
        </w:tc>
      </w:tr>
    </w:tbl>
    <w:p>
      <w:pPr>
        <w:keepNext w:val="0"/>
        <w:suppressLineNumbers/>
      </w:pPr>
      <w:r>
        <w:rPr>
          <w:sz w:val="20"/>
        </w:rPr>
        <w:t>Values are counts or n/N (%), except continuous variables, which are median [Q1, Q3]. Percentages use the examination count in each column. Q1 and Q3 denote the first and third quartiles.</w:t>
      </w:r>
    </w:p>
    <w:p>
      <w:pPr>
        <w:keepNext w:val="0"/>
        <w:suppressLineNumbers/>
      </w:pPr>
      <w:r>
        <w:rPr>
          <w:sz w:val="20"/>
        </w:rPr>
        <w:t>Patient counts are deduplicated within each column; eight patients contributed examinations in both diagnostic categories. The initial event is recorded surgery, treatment or diagnosis. Interval summaries use observed values.</w:t>
      </w:r>
    </w:p>
    <w:p>
      <w:pPr>
        <w:sectPr>
          <w:pgSz w:w="12240" w:h="15840"/>
          <w:pgMar w:top="1138" w:right="1138" w:bottom="1138" w:left="1138" w:header="504" w:footer="504" w:gutter="0"/>
          <w:cols w:space="720"/>
          <w:docGrid w:linePitch="360"/>
        </w:sectPr>
        <w:suppressLineNumbers/>
      </w:pPr>
    </w:p>
    <w:p>
      <w:pPr>
        <w:pStyle w:val="Heading2"/>
        <w:suppressLineNumbers/>
      </w:pPr>
      <w:r>
        <w:t>Table 2. Performance of the four fixed models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005"/>
        <w:gridCol w:w="2005"/>
        <w:gridCol w:w="2005"/>
        <w:gridCol w:w="2005"/>
      </w:tblGrid>
      <w:tr>
        <w:trPr>
          <w:cantSplit/>
          <w:tblHeader/>
        </w:trPr>
        <w:tc>
          <w:tcPr>
            <w:tcW w:type="dxa" w:w="1944"/>
            <w:vAlign w:val="center"/>
            <w:shd w:fill="EEEEEE"/>
          </w:tcPr>
          <w:p>
            <w:pPr>
              <w:spacing w:after="60" w:line="240" w:lineRule="auto"/>
            </w:pPr>
            <w:r>
              <w:rPr>
                <w:b/>
                <w:sz w:val="20"/>
              </w:rPr>
              <w:t>Model</w:t>
            </w:r>
          </w:p>
        </w:tc>
        <w:tc>
          <w:tcPr>
            <w:tcW w:type="dxa" w:w="2005"/>
            <w:vAlign w:val="center"/>
            <w:shd w:fill="EEEEEE"/>
          </w:tcPr>
          <w:p>
            <w:pPr>
              <w:spacing w:after="60" w:line="240" w:lineRule="auto"/>
            </w:pPr>
            <w:r>
              <w:rPr>
                <w:b/>
                <w:sz w:val="20"/>
              </w:rPr>
              <w:t>ROC AUC (95% interval)</w:t>
            </w:r>
          </w:p>
        </w:tc>
        <w:tc>
          <w:tcPr>
            <w:tcW w:type="dxa" w:w="2005"/>
            <w:vAlign w:val="center"/>
            <w:shd w:fill="EEEEEE"/>
          </w:tcPr>
          <w:p>
            <w:pPr>
              <w:spacing w:after="60" w:line="240" w:lineRule="auto"/>
            </w:pPr>
            <w:r>
              <w:rPr>
                <w:b/>
                <w:sz w:val="20"/>
              </w:rPr>
              <w:t>Brier score</w:t>
            </w:r>
          </w:p>
        </w:tc>
        <w:tc>
          <w:tcPr>
            <w:tcW w:type="dxa" w:w="2005"/>
            <w:vAlign w:val="center"/>
            <w:shd w:fill="EEEEEE"/>
          </w:tcPr>
          <w:p>
            <w:pPr>
              <w:spacing w:after="60" w:line="240" w:lineRule="auto"/>
            </w:pPr>
            <w:r>
              <w:rPr>
                <w:b/>
                <w:sz w:val="20"/>
              </w:rPr>
              <w:t>AP for treatment change</w:t>
            </w:r>
          </w:p>
        </w:tc>
        <w:tc>
          <w:tcPr>
            <w:tcW w:type="dxa" w:w="2005"/>
            <w:vAlign w:val="center"/>
            <w:shd w:fill="EEEEEE"/>
          </w:tcPr>
          <w:p>
            <w:pPr>
              <w:spacing w:after="60" w:line="240" w:lineRule="auto"/>
            </w:pPr>
            <w:r>
              <w:rPr>
                <w:b/>
                <w:sz w:val="20"/>
              </w:rPr>
              <w:t>Treatment change correct, n/N</w:t>
            </w:r>
          </w:p>
        </w:tc>
      </w:tr>
      <w:tr>
        <w:trPr>
          <w:cantSplit/>
        </w:trPr>
        <w:tc>
          <w:tcPr>
            <w:tcW w:type="dxa" w:w="1944"/>
            <w:vAlign w:val="center"/>
          </w:tcPr>
          <w:p>
            <w:pPr>
              <w:spacing w:after="60" w:line="240" w:lineRule="auto"/>
            </w:pPr>
            <w:r>
              <w:rPr>
                <w:b w:val="0"/>
                <w:sz w:val="20"/>
              </w:rPr>
              <w:t>M0</w:t>
            </w:r>
          </w:p>
        </w:tc>
        <w:tc>
          <w:tcPr>
            <w:tcW w:type="dxa" w:w="2005"/>
            <w:vAlign w:val="center"/>
          </w:tcPr>
          <w:p>
            <w:pPr>
              <w:spacing w:after="60" w:line="240" w:lineRule="auto"/>
            </w:pPr>
            <w:r>
              <w:rPr>
                <w:b w:val="0"/>
                <w:sz w:val="20"/>
              </w:rPr>
              <w:t>0.526 [0.404, 0.644]</w:t>
            </w:r>
          </w:p>
        </w:tc>
        <w:tc>
          <w:tcPr>
            <w:tcW w:type="dxa" w:w="2005"/>
            <w:vAlign w:val="center"/>
          </w:tcPr>
          <w:p>
            <w:pPr>
              <w:spacing w:after="60" w:line="240" w:lineRule="auto"/>
            </w:pPr>
            <w:r>
              <w:rPr>
                <w:b w:val="0"/>
                <w:sz w:val="20"/>
              </w:rPr>
              <w:t>0.177</w:t>
            </w:r>
          </w:p>
        </w:tc>
        <w:tc>
          <w:tcPr>
            <w:tcW w:type="dxa" w:w="2005"/>
            <w:vAlign w:val="center"/>
          </w:tcPr>
          <w:p>
            <w:pPr>
              <w:spacing w:after="60" w:line="240" w:lineRule="auto"/>
            </w:pPr>
            <w:r>
              <w:rPr>
                <w:b w:val="0"/>
                <w:sz w:val="20"/>
              </w:rPr>
              <w:t>0.261</w:t>
            </w:r>
          </w:p>
        </w:tc>
        <w:tc>
          <w:tcPr>
            <w:tcW w:type="dxa" w:w="2005"/>
            <w:vAlign w:val="center"/>
          </w:tcPr>
          <w:p>
            <w:pPr>
              <w:spacing w:after="60" w:line="240" w:lineRule="auto"/>
            </w:pPr>
            <w:r>
              <w:rPr>
                <w:b w:val="0"/>
                <w:sz w:val="20"/>
              </w:rPr>
              <w:t>0/41</w:t>
            </w:r>
          </w:p>
        </w:tc>
      </w:tr>
      <w:tr>
        <w:trPr>
          <w:cantSplit/>
        </w:trPr>
        <w:tc>
          <w:tcPr>
            <w:tcW w:type="dxa" w:w="1944"/>
            <w:vAlign w:val="center"/>
          </w:tcPr>
          <w:p>
            <w:pPr>
              <w:spacing w:after="60" w:line="240" w:lineRule="auto"/>
            </w:pPr>
            <w:r>
              <w:rPr>
                <w:b w:val="0"/>
                <w:sz w:val="20"/>
              </w:rPr>
              <w:t>M1</w:t>
            </w:r>
          </w:p>
        </w:tc>
        <w:tc>
          <w:tcPr>
            <w:tcW w:type="dxa" w:w="2005"/>
            <w:vAlign w:val="center"/>
          </w:tcPr>
          <w:p>
            <w:pPr>
              <w:spacing w:after="60" w:line="240" w:lineRule="auto"/>
            </w:pPr>
            <w:r>
              <w:rPr>
                <w:b w:val="0"/>
                <w:sz w:val="20"/>
              </w:rPr>
              <w:t>0.672 [0.553, 0.778]</w:t>
            </w:r>
          </w:p>
        </w:tc>
        <w:tc>
          <w:tcPr>
            <w:tcW w:type="dxa" w:w="2005"/>
            <w:vAlign w:val="center"/>
          </w:tcPr>
          <w:p>
            <w:pPr>
              <w:spacing w:after="60" w:line="240" w:lineRule="auto"/>
            </w:pPr>
            <w:r>
              <w:rPr>
                <w:b w:val="0"/>
                <w:sz w:val="20"/>
              </w:rPr>
              <w:t>0.163</w:t>
            </w:r>
          </w:p>
        </w:tc>
        <w:tc>
          <w:tcPr>
            <w:tcW w:type="dxa" w:w="2005"/>
            <w:vAlign w:val="center"/>
          </w:tcPr>
          <w:p>
            <w:pPr>
              <w:spacing w:after="60" w:line="240" w:lineRule="auto"/>
            </w:pPr>
            <w:r>
              <w:rPr>
                <w:b w:val="0"/>
                <w:sz w:val="20"/>
              </w:rPr>
              <w:t>0.354</w:t>
            </w:r>
          </w:p>
        </w:tc>
        <w:tc>
          <w:tcPr>
            <w:tcW w:type="dxa" w:w="2005"/>
            <w:vAlign w:val="center"/>
          </w:tcPr>
          <w:p>
            <w:pPr>
              <w:spacing w:after="60" w:line="240" w:lineRule="auto"/>
            </w:pPr>
            <w:r>
              <w:rPr>
                <w:b w:val="0"/>
                <w:sz w:val="20"/>
              </w:rPr>
              <w:t>2/41</w:t>
            </w:r>
          </w:p>
        </w:tc>
      </w:tr>
      <w:tr>
        <w:trPr>
          <w:cantSplit/>
        </w:trPr>
        <w:tc>
          <w:tcPr>
            <w:tcW w:type="dxa" w:w="1944"/>
            <w:vAlign w:val="center"/>
          </w:tcPr>
          <w:p>
            <w:pPr>
              <w:spacing w:after="60" w:line="240" w:lineRule="auto"/>
            </w:pPr>
            <w:r>
              <w:rPr>
                <w:b w:val="0"/>
                <w:sz w:val="20"/>
              </w:rPr>
              <w:t>MRI</w:t>
            </w:r>
          </w:p>
        </w:tc>
        <w:tc>
          <w:tcPr>
            <w:tcW w:type="dxa" w:w="2005"/>
            <w:vAlign w:val="center"/>
          </w:tcPr>
          <w:p>
            <w:pPr>
              <w:spacing w:after="60" w:line="240" w:lineRule="auto"/>
            </w:pPr>
            <w:r>
              <w:rPr>
                <w:b w:val="0"/>
                <w:sz w:val="20"/>
              </w:rPr>
              <w:t>0.762 [0.683, 0.838]</w:t>
            </w:r>
          </w:p>
        </w:tc>
        <w:tc>
          <w:tcPr>
            <w:tcW w:type="dxa" w:w="2005"/>
            <w:vAlign w:val="center"/>
          </w:tcPr>
          <w:p>
            <w:pPr>
              <w:spacing w:after="60" w:line="240" w:lineRule="auto"/>
            </w:pPr>
            <w:r>
              <w:rPr>
                <w:b w:val="0"/>
                <w:sz w:val="20"/>
              </w:rPr>
              <w:t>0.151</w:t>
            </w:r>
          </w:p>
        </w:tc>
        <w:tc>
          <w:tcPr>
            <w:tcW w:type="dxa" w:w="2005"/>
            <w:vAlign w:val="center"/>
          </w:tcPr>
          <w:p>
            <w:pPr>
              <w:spacing w:after="60" w:line="240" w:lineRule="auto"/>
            </w:pPr>
            <w:r>
              <w:rPr>
                <w:b w:val="0"/>
                <w:sz w:val="20"/>
              </w:rPr>
              <w:t>0.444</w:t>
            </w:r>
          </w:p>
        </w:tc>
        <w:tc>
          <w:tcPr>
            <w:tcW w:type="dxa" w:w="2005"/>
            <w:vAlign w:val="center"/>
          </w:tcPr>
          <w:p>
            <w:pPr>
              <w:spacing w:after="60" w:line="240" w:lineRule="auto"/>
            </w:pPr>
            <w:r>
              <w:rPr>
                <w:b w:val="0"/>
                <w:sz w:val="20"/>
              </w:rPr>
              <w:t>12/41</w:t>
            </w:r>
          </w:p>
        </w:tc>
      </w:tr>
      <w:tr>
        <w:trPr>
          <w:cantSplit/>
        </w:trPr>
        <w:tc>
          <w:tcPr>
            <w:tcW w:type="dxa" w:w="1944"/>
            <w:vAlign w:val="center"/>
          </w:tcPr>
          <w:p>
            <w:pPr>
              <w:spacing w:after="60" w:line="240" w:lineRule="auto"/>
            </w:pPr>
            <w:r>
              <w:rPr>
                <w:b w:val="0"/>
                <w:sz w:val="20"/>
              </w:rPr>
              <w:t>Fusion</w:t>
            </w:r>
          </w:p>
        </w:tc>
        <w:tc>
          <w:tcPr>
            <w:tcW w:type="dxa" w:w="2005"/>
            <w:vAlign w:val="center"/>
          </w:tcPr>
          <w:p>
            <w:pPr>
              <w:spacing w:after="60" w:line="240" w:lineRule="auto"/>
            </w:pPr>
            <w:r>
              <w:rPr>
                <w:b w:val="0"/>
                <w:sz w:val="20"/>
              </w:rPr>
              <w:t>0.782 [0.698, 0.859]</w:t>
            </w:r>
          </w:p>
        </w:tc>
        <w:tc>
          <w:tcPr>
            <w:tcW w:type="dxa" w:w="2005"/>
            <w:vAlign w:val="center"/>
          </w:tcPr>
          <w:p>
            <w:pPr>
              <w:spacing w:after="60" w:line="240" w:lineRule="auto"/>
            </w:pPr>
            <w:r>
              <w:rPr>
                <w:b w:val="0"/>
                <w:sz w:val="20"/>
              </w:rPr>
              <w:t>0.144</w:t>
            </w:r>
          </w:p>
        </w:tc>
        <w:tc>
          <w:tcPr>
            <w:tcW w:type="dxa" w:w="2005"/>
            <w:vAlign w:val="center"/>
          </w:tcPr>
          <w:p>
            <w:pPr>
              <w:spacing w:after="60" w:line="240" w:lineRule="auto"/>
            </w:pPr>
            <w:r>
              <w:rPr>
                <w:b w:val="0"/>
                <w:sz w:val="20"/>
              </w:rPr>
              <w:t>0.505</w:t>
            </w:r>
          </w:p>
        </w:tc>
        <w:tc>
          <w:tcPr>
            <w:tcW w:type="dxa" w:w="2005"/>
            <w:vAlign w:val="center"/>
          </w:tcPr>
          <w:p>
            <w:pPr>
              <w:spacing w:after="60" w:line="240" w:lineRule="auto"/>
            </w:pPr>
            <w:r>
              <w:rPr>
                <w:b w:val="0"/>
                <w:sz w:val="20"/>
              </w:rPr>
              <w:t>12/41</w:t>
            </w:r>
          </w:p>
        </w:tc>
      </w:tr>
    </w:tbl>
    <w:p>
      <w:pPr>
        <w:keepNext w:val="0"/>
        <w:suppressLineNumbers/>
      </w:pPr>
      <w:r>
        <w:rPr>
          <w:sz w:val="20"/>
        </w:rPr>
        <w:t>M0: age and sex; M1: five clinical inputs; MRI: eight MRI features; Fusion: clinical and MRI inputs. All models used the same 182 examinations and patient-grouped folds.</w:t>
      </w:r>
    </w:p>
    <w:p>
      <w:pPr>
        <w:keepNext w:val="0"/>
        <w:suppressLineNumbers/>
      </w:pPr>
      <w:r>
        <w:rPr>
          <w:sz w:val="20"/>
        </w:rPr>
        <w:t>Intervals are the 2.5th and 97.5th percentiles of 2000 paired patient-cluster bootstrap attempts, conditional on fixed OOF predictions.</w:t>
      </w:r>
    </w:p>
    <w:p>
      <w:pPr>
        <w:keepNext w:val="0"/>
        <w:suppressLineNumbers/>
      </w:pPr>
      <w:r>
        <w:rPr>
          <w:sz w:val="20"/>
        </w:rPr>
        <w:t>AP denotes average precision for treatment-related change, scored by one minus the tumor probability. Correct treatment-change counts use tumor probability below 0.5. Treatment-change prevalence was 41/182 (0.225). Lower Brier scores indicate smaller probability error. Values are rounded to three decimals.</w:t>
      </w:r>
    </w:p>
    <w:p>
      <w:pPr>
        <w:sectPr>
          <w:pgSz w:w="12240" w:h="15840"/>
          <w:pgMar w:top="1138" w:right="1138" w:bottom="1138" w:left="1138" w:header="504" w:footer="504" w:gutter="0"/>
          <w:cols w:space="720"/>
          <w:docGrid w:linePitch="360"/>
        </w:sectPr>
        <w:suppressLineNumbers/>
      </w:pPr>
    </w:p>
    <w:p>
      <w:pPr>
        <w:pStyle w:val="Heading2"/>
        <w:suppressLineNumbers/>
      </w:pPr>
      <w:r>
        <w:t>Table 3. Paired incremental performance of Fusion versus M1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2170"/>
        <w:gridCol w:w="2170"/>
        <w:gridCol w:w="2170"/>
      </w:tblGrid>
      <w:tr>
        <w:trPr>
          <w:cantSplit/>
          <w:tblHeader/>
        </w:trPr>
        <w:tc>
          <w:tcPr>
            <w:tcW w:type="dxa" w:w="3456"/>
            <w:vAlign w:val="center"/>
            <w:shd w:fill="EEEEEE"/>
          </w:tcPr>
          <w:p>
            <w:pPr>
              <w:spacing w:after="60" w:line="240" w:lineRule="auto"/>
            </w:pPr>
            <w:r>
              <w:rPr>
                <w:b/>
                <w:sz w:val="20"/>
              </w:rPr>
              <w:t>Metric</w:t>
            </w:r>
          </w:p>
        </w:tc>
        <w:tc>
          <w:tcPr>
            <w:tcW w:type="dxa" w:w="2170"/>
            <w:vAlign w:val="center"/>
            <w:shd w:fill="EEEEEE"/>
          </w:tcPr>
          <w:p>
            <w:pPr>
              <w:spacing w:after="60" w:line="240" w:lineRule="auto"/>
            </w:pPr>
            <w:r>
              <w:rPr>
                <w:b/>
                <w:sz w:val="20"/>
              </w:rPr>
              <w:t>Fusion minus M1</w:t>
            </w:r>
          </w:p>
        </w:tc>
        <w:tc>
          <w:tcPr>
            <w:tcW w:type="dxa" w:w="2170"/>
            <w:vAlign w:val="center"/>
            <w:shd w:fill="EEEEEE"/>
          </w:tcPr>
          <w:p>
            <w:pPr>
              <w:spacing w:after="60" w:line="240" w:lineRule="auto"/>
            </w:pPr>
            <w:r>
              <w:rPr>
                <w:b/>
                <w:sz w:val="20"/>
              </w:rPr>
              <w:t>95% paired interval</w:t>
            </w:r>
          </w:p>
        </w:tc>
        <w:tc>
          <w:tcPr>
            <w:tcW w:type="dxa" w:w="2170"/>
            <w:vAlign w:val="center"/>
            <w:shd w:fill="EEEEEE"/>
          </w:tcPr>
          <w:p>
            <w:pPr>
              <w:spacing w:after="60" w:line="240" w:lineRule="auto"/>
            </w:pPr>
            <w:r>
              <w:rPr>
                <w:b/>
                <w:sz w:val="20"/>
              </w:rPr>
              <w:t>Role</w:t>
            </w:r>
          </w:p>
        </w:tc>
      </w:tr>
      <w:tr>
        <w:trPr>
          <w:cantSplit/>
        </w:trPr>
        <w:tc>
          <w:tcPr>
            <w:tcW w:type="dxa" w:w="3456"/>
            <w:vAlign w:val="center"/>
          </w:tcPr>
          <w:p>
            <w:pPr>
              <w:spacing w:after="60" w:line="240" w:lineRule="auto"/>
            </w:pPr>
            <w:r>
              <w:rPr>
                <w:b w:val="0"/>
                <w:sz w:val="20"/>
              </w:rPr>
              <w:t>ROC AUC</w:t>
            </w:r>
          </w:p>
        </w:tc>
        <w:tc>
          <w:tcPr>
            <w:tcW w:type="dxa" w:w="2170"/>
            <w:vAlign w:val="center"/>
          </w:tcPr>
          <w:p>
            <w:pPr>
              <w:spacing w:after="60" w:line="240" w:lineRule="auto"/>
            </w:pPr>
            <w:r>
              <w:rPr>
                <w:b w:val="0"/>
                <w:sz w:val="20"/>
              </w:rPr>
              <w:t>+0.110</w:t>
            </w:r>
          </w:p>
        </w:tc>
        <w:tc>
          <w:tcPr>
            <w:tcW w:type="dxa" w:w="2170"/>
            <w:vAlign w:val="center"/>
          </w:tcPr>
          <w:p>
            <w:pPr>
              <w:spacing w:after="60" w:line="240" w:lineRule="auto"/>
            </w:pPr>
            <w:r>
              <w:rPr>
                <w:b w:val="0"/>
                <w:sz w:val="20"/>
              </w:rPr>
              <w:t>[0.021, 0.214]</w:t>
            </w:r>
          </w:p>
        </w:tc>
        <w:tc>
          <w:tcPr>
            <w:tcW w:type="dxa" w:w="2170"/>
            <w:vAlign w:val="center"/>
          </w:tcPr>
          <w:p>
            <w:pPr>
              <w:spacing w:after="60" w:line="240" w:lineRule="auto"/>
            </w:pPr>
            <w:r>
              <w:rPr>
                <w:b w:val="0"/>
                <w:sz w:val="20"/>
              </w:rPr>
              <w:t>Primary</w:t>
            </w:r>
          </w:p>
        </w:tc>
      </w:tr>
      <w:tr>
        <w:trPr>
          <w:cantSplit/>
        </w:trPr>
        <w:tc>
          <w:tcPr>
            <w:tcW w:type="dxa" w:w="3456"/>
            <w:vAlign w:val="center"/>
          </w:tcPr>
          <w:p>
            <w:pPr>
              <w:spacing w:after="60" w:line="240" w:lineRule="auto"/>
            </w:pPr>
            <w:r>
              <w:rPr>
                <w:b w:val="0"/>
                <w:sz w:val="20"/>
              </w:rPr>
              <w:t>Treatment-related-change AP</w:t>
            </w:r>
          </w:p>
        </w:tc>
        <w:tc>
          <w:tcPr>
            <w:tcW w:type="dxa" w:w="2170"/>
            <w:vAlign w:val="center"/>
          </w:tcPr>
          <w:p>
            <w:pPr>
              <w:spacing w:after="60" w:line="240" w:lineRule="auto"/>
            </w:pPr>
            <w:r>
              <w:rPr>
                <w:b w:val="0"/>
                <w:sz w:val="20"/>
              </w:rPr>
              <w:t>+0.152</w:t>
            </w:r>
          </w:p>
        </w:tc>
        <w:tc>
          <w:tcPr>
            <w:tcW w:type="dxa" w:w="2170"/>
            <w:vAlign w:val="center"/>
          </w:tcPr>
          <w:p>
            <w:pPr>
              <w:spacing w:after="60" w:line="240" w:lineRule="auto"/>
            </w:pPr>
            <w:r>
              <w:rPr>
                <w:b w:val="0"/>
                <w:sz w:val="20"/>
              </w:rPr>
              <w:t>[0.026, 0.268]</w:t>
            </w:r>
          </w:p>
        </w:tc>
        <w:tc>
          <w:tcPr>
            <w:tcW w:type="dxa" w:w="2170"/>
            <w:vAlign w:val="center"/>
          </w:tcPr>
          <w:p>
            <w:pPr>
              <w:spacing w:after="60" w:line="240" w:lineRule="auto"/>
            </w:pPr>
            <w:r>
              <w:rPr>
                <w:b w:val="0"/>
                <w:sz w:val="20"/>
              </w:rPr>
              <w:t>Auxiliary</w:t>
            </w:r>
          </w:p>
        </w:tc>
      </w:tr>
      <w:tr>
        <w:trPr>
          <w:cantSplit/>
        </w:trPr>
        <w:tc>
          <w:tcPr>
            <w:tcW w:type="dxa" w:w="3456"/>
            <w:vAlign w:val="center"/>
          </w:tcPr>
          <w:p>
            <w:pPr>
              <w:spacing w:after="60" w:line="240" w:lineRule="auto"/>
            </w:pPr>
            <w:r>
              <w:rPr>
                <w:b w:val="0"/>
                <w:sz w:val="20"/>
              </w:rPr>
              <w:t>Brier score</w:t>
            </w:r>
          </w:p>
        </w:tc>
        <w:tc>
          <w:tcPr>
            <w:tcW w:type="dxa" w:w="2170"/>
            <w:vAlign w:val="center"/>
          </w:tcPr>
          <w:p>
            <w:pPr>
              <w:spacing w:after="60" w:line="240" w:lineRule="auto"/>
            </w:pPr>
            <w:r>
              <w:rPr>
                <w:b w:val="0"/>
                <w:sz w:val="20"/>
              </w:rPr>
              <w:t>-0.019</w:t>
            </w:r>
          </w:p>
        </w:tc>
        <w:tc>
          <w:tcPr>
            <w:tcW w:type="dxa" w:w="2170"/>
            <w:vAlign w:val="center"/>
          </w:tcPr>
          <w:p>
            <w:pPr>
              <w:spacing w:after="60" w:line="240" w:lineRule="auto"/>
            </w:pPr>
            <w:r>
              <w:rPr>
                <w:b w:val="0"/>
                <w:sz w:val="20"/>
              </w:rPr>
              <w:t>[-0.040, 0.002]</w:t>
            </w:r>
          </w:p>
        </w:tc>
        <w:tc>
          <w:tcPr>
            <w:tcW w:type="dxa" w:w="2170"/>
            <w:vAlign w:val="center"/>
          </w:tcPr>
          <w:p>
            <w:pPr>
              <w:spacing w:after="60" w:line="240" w:lineRule="auto"/>
            </w:pPr>
            <w:r>
              <w:rPr>
                <w:b w:val="0"/>
                <w:sz w:val="20"/>
              </w:rPr>
              <w:t>Auxiliary</w:t>
            </w:r>
          </w:p>
        </w:tc>
      </w:tr>
      <w:tr>
        <w:trPr>
          <w:cantSplit/>
        </w:trPr>
        <w:tc>
          <w:tcPr>
            <w:tcW w:type="dxa" w:w="3456"/>
            <w:vAlign w:val="center"/>
          </w:tcPr>
          <w:p>
            <w:pPr>
              <w:spacing w:after="60" w:line="240" w:lineRule="auto"/>
            </w:pPr>
            <w:r>
              <w:rPr>
                <w:b w:val="0"/>
                <w:sz w:val="20"/>
              </w:rPr>
              <w:t>Logarithmic loss</w:t>
            </w:r>
          </w:p>
        </w:tc>
        <w:tc>
          <w:tcPr>
            <w:tcW w:type="dxa" w:w="2170"/>
            <w:vAlign w:val="center"/>
          </w:tcPr>
          <w:p>
            <w:pPr>
              <w:spacing w:after="60" w:line="240" w:lineRule="auto"/>
            </w:pPr>
            <w:r>
              <w:rPr>
                <w:b w:val="0"/>
                <w:sz w:val="20"/>
              </w:rPr>
              <w:t>-0.037</w:t>
            </w:r>
          </w:p>
        </w:tc>
        <w:tc>
          <w:tcPr>
            <w:tcW w:type="dxa" w:w="2170"/>
            <w:vAlign w:val="center"/>
          </w:tcPr>
          <w:p>
            <w:pPr>
              <w:spacing w:after="60" w:line="240" w:lineRule="auto"/>
            </w:pPr>
            <w:r>
              <w:rPr>
                <w:b w:val="0"/>
                <w:sz w:val="20"/>
              </w:rPr>
              <w:t>[-0.107, 0.039]</w:t>
            </w:r>
          </w:p>
        </w:tc>
        <w:tc>
          <w:tcPr>
            <w:tcW w:type="dxa" w:w="2170"/>
            <w:vAlign w:val="center"/>
          </w:tcPr>
          <w:p>
            <w:pPr>
              <w:spacing w:after="60" w:line="240" w:lineRule="auto"/>
            </w:pPr>
            <w:r>
              <w:rPr>
                <w:b w:val="0"/>
                <w:sz w:val="20"/>
              </w:rPr>
              <w:t>Auxiliary</w:t>
            </w:r>
          </w:p>
        </w:tc>
      </w:tr>
    </w:tbl>
    <w:p>
      <w:pPr>
        <w:keepNext w:val="0"/>
        <w:suppressLineNumbers/>
      </w:pPr>
      <w:r>
        <w:rPr>
          <w:sz w:val="20"/>
        </w:rPr>
        <w:t>Differences are Fusion minus M1. Positive AUC or AP and negative Brier-score or logarithmic-loss differences favor Fusion. All contrasts used 182 examinations from 135 patients.</w:t>
      </w:r>
    </w:p>
    <w:p>
      <w:pPr>
        <w:keepNext w:val="0"/>
        <w:suppressLineNumbers/>
      </w:pPr>
      <w:r>
        <w:rPr>
          <w:sz w:val="20"/>
        </w:rPr>
        <w:t>Intervals are the 2.5th and 97.5th percentiles of 2000 paired patient-cluster bootstrap attempts, conditional on fixed OOF predictions.</w:t>
      </w:r>
    </w:p>
    <w:p>
      <w:pPr>
        <w:keepNext w:val="0"/>
        <w:suppressLineNumbers/>
      </w:pPr>
      <w:r>
        <w:rPr>
          <w:sz w:val="20"/>
        </w:rPr>
        <w:t>ROC AUC is the primary incremental metric. Other metrics are auxiliary. Differences use unrounded metrics and are displayed to three decimals.</w:t>
      </w:r>
    </w:p>
    <w:p>
      <w:pPr>
        <w:sectPr>
          <w:pgSz w:w="12240" w:h="15840"/>
          <w:pgMar w:top="1138" w:right="1138" w:bottom="1138" w:left="1138" w:header="504" w:footer="504" w:gutter="0"/>
          <w:cols w:space="720"/>
          <w:docGrid w:linePitch="360"/>
        </w:sectPr>
        <w:suppressLineNumbers/>
      </w:pPr>
    </w:p>
    <w:p>
      <w:pPr>
        <w:pStyle w:val="Heading2"/>
        <w:suppressLineNumbers/>
      </w:pPr>
      <w:r>
        <w:t>Figure 1</w:t>
      </w:r>
    </w:p>
    <w:p>
      <w:pPr>
        <w:suppressLineNumbers/>
      </w:pPr>
      <w:r>
        <w:drawing>
          <wp:inline xmlns:a="http://schemas.openxmlformats.org/drawingml/2006/main" xmlns:pic="http://schemas.openxmlformats.org/drawingml/2006/picture">
            <wp:extent cx="6217920" cy="6839712"/>
            <wp:docPr id="1" name="Picture 1"/>
            <wp:cNvGraphicFramePr>
              <a:graphicFrameLocks noChangeAspect="1"/>
            </wp:cNvGraphicFramePr>
            <a:graphic>
              <a:graphicData uri="http://schemas.openxmlformats.org/drawingml/2006/picture">
                <pic:pic>
                  <pic:nvPicPr>
                    <pic:cNvPr id="0" name="Figure1_Cohort_Flow.png"/>
                    <pic:cNvPicPr/>
                  </pic:nvPicPr>
                  <pic:blipFill>
                    <a:blip r:embed="rId10"/>
                    <a:stretch>
                      <a:fillRect/>
                    </a:stretch>
                  </pic:blipFill>
                  <pic:spPr>
                    <a:xfrm>
                      <a:off x="0" y="0"/>
                      <a:ext cx="6217920" cy="6839712"/>
                    </a:xfrm>
                    <a:prstGeom prst="rect"/>
                  </pic:spPr>
                </pic:pic>
              </a:graphicData>
            </a:graphic>
          </wp:inline>
        </w:drawing>
      </w:r>
    </w:p>
    <w:p>
      <w:pPr>
        <w:keepNext w:val="0"/>
        <w:keepLines/>
        <w:suppressLineNumbers/>
      </w:pPr>
      <w:r>
        <w:rPr>
          <w:sz w:val="21"/>
        </w:rPr>
        <w:t>Figure 1. Cohort assembly and model comparison. The imaging cohort contains 182 examinations from 135 patients, including 141 tumor and 41 treatment-related-change examinations. Clinical inputs and MRI features enter four fixed models evaluated using the same patient-grouped five-fold partition. M0: age and sex; M1: expanded clinical model; MRI: imaging features; Fusion: clinical and MRI inputs.</w:t>
      </w:r>
    </w:p>
    <w:p>
      <w:pPr>
        <w:sectPr>
          <w:pgSz w:w="12240" w:h="15840"/>
          <w:pgMar w:top="1138" w:right="1138" w:bottom="1138" w:left="1138" w:header="504" w:footer="504" w:gutter="0"/>
          <w:cols w:space="720"/>
          <w:docGrid w:linePitch="360"/>
        </w:sectPr>
        <w:suppressLineNumbers/>
      </w:pPr>
    </w:p>
    <w:p>
      <w:pPr>
        <w:pStyle w:val="Heading2"/>
        <w:suppressLineNumbers/>
      </w:pPr>
      <w:r>
        <w:t>Figure 2</w:t>
      </w:r>
    </w:p>
    <w:p>
      <w:pPr>
        <w:suppressLineNumbers/>
      </w:pPr>
      <w:r>
        <w:drawing>
          <wp:inline xmlns:a="http://schemas.openxmlformats.org/drawingml/2006/main" xmlns:pic="http://schemas.openxmlformats.org/drawingml/2006/picture">
            <wp:extent cx="8412480" cy="2691994"/>
            <wp:docPr id="2" name="Picture 2"/>
            <wp:cNvGraphicFramePr>
              <a:graphicFrameLocks noChangeAspect="1"/>
            </wp:cNvGraphicFramePr>
            <a:graphic>
              <a:graphicData uri="http://schemas.openxmlformats.org/drawingml/2006/picture">
                <pic:pic>
                  <pic:nvPicPr>
                    <pic:cNvPr id="0" name="Figure2_Main_Comparison.png"/>
                    <pic:cNvPicPr/>
                  </pic:nvPicPr>
                  <pic:blipFill>
                    <a:blip r:embed="rId11"/>
                    <a:stretch>
                      <a:fillRect/>
                    </a:stretch>
                  </pic:blipFill>
                  <pic:spPr>
                    <a:xfrm>
                      <a:off x="0" y="0"/>
                      <a:ext cx="8412480" cy="2691994"/>
                    </a:xfrm>
                    <a:prstGeom prst="rect"/>
                  </pic:spPr>
                </pic:pic>
              </a:graphicData>
            </a:graphic>
          </wp:inline>
        </w:drawing>
      </w:r>
    </w:p>
    <w:p>
      <w:pPr>
        <w:keepNext w:val="0"/>
        <w:keepLines/>
        <w:suppressLineNumbers/>
      </w:pPr>
      <w:r>
        <w:rPr>
          <w:sz w:val="21"/>
        </w:rPr>
        <w:t>Figure 2. Patient-grouped internal validation in 182 examinations from 135 patients. A, ROC curves based on pooled OOF probabilities. B, Precision-recall curves for treatment-related change, with prevalence marked by the dashed horizontal line. C, Descriptive calibration by probability quantile groups, comparing mean predicted probability with observed tumor proportion. The diagonal lines indicate chance discrimination in A and agreement in C.</w:t>
      </w:r>
    </w:p>
    <w:sectPr w:rsidR="00FC693F" w:rsidRPr="0006063C" w:rsidSect="00034616">
      <w:pgSz w:w="15840" w:h="12240" w:orient="landscape"/>
      <w:pgMar w:top="1138" w:right="1138" w:bottom="1138" w:left="113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14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40" w:lineRule="auto"/>
      <w:outlineLvl w:val="0"/>
    </w:pPr>
    <w:rPr>
      <w:rFonts w:ascii="Times New Roman" w:hAnsi="Times New Roman" w:eastAsia="Noto Serif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40" w:lineRule="auto"/>
      <w:outlineLvl w:val="1"/>
    </w:pPr>
    <w:rPr>
      <w:rFonts w:ascii="Times New Roman" w:hAnsi="Times New Roman" w:eastAsia="Noto Serif CJK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Clinical-MRI Feature Fusion for Distinguishing Residual or Recurrent Tumor from Treatment-Related Changes after Glioma Treatment: A Public-Data Internal Validation Study</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