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</w:t>
      </w:r>
    </w:p>
    <w:p>
      <w:pPr>
        <w:pStyle w:val="Heading1"/>
      </w:pPr>
      <w:r>
        <w:t>Additional sensitivity analyses</w:t>
      </w:r>
    </w:p>
    <w:p>
      <w:pPr>
        <w:pStyle w:val="Heading2"/>
      </w:pPr>
      <w:r>
        <w:t>Repeated patient-grouped partitions</w:t>
      </w:r>
    </w:p>
    <w:p>
      <w:pPr>
        <w:keepNext w:val="0"/>
      </w:pPr>
      <w:r>
        <w:t>All 20 patient-grouped five-fold repetitions were completed. Median AUCs were 0.556 for M0, 0.667 for M1, 0.775 for MRI and 0.784 for Fusion (Supplementary Table S5A; Figure S3A). Fusion's AUC quartiles were 0.775 and 0.795, with an observed range of 0.759–0.809. The median Fusion-minus-M1 AUC difference was 0.125, ranging from 0.103 to 0.150, and was positive in all 20 partitions (Supplementary Table S5B; Figure S3B). AP, Brier-score and logarithmic-loss differences also favored Fusion in all repetitions. These descriptive summaries showed a consistent direction of benefit across partitions of the same cohort. The first partition reproduced the primary Fusion AUC of 0.782.</w:t>
      </w:r>
    </w:p>
    <w:p>
      <w:pPr>
        <w:pStyle w:val="Heading2"/>
      </w:pPr>
      <w:r>
        <w:t>Single-scan analysis</w:t>
      </w:r>
    </w:p>
    <w:p>
      <w:pPr>
        <w:keepNext w:val="0"/>
      </w:pPr>
      <w:r>
        <w:t>Selecting one available examination per patient retained 135 examinations, including 113 tumor and 22 treatment-related-change examinations. AUCs were 0.501 for M0, 0.609 for M1, 0.729 for MRI and 0.730 for Fusion; Fusion's 95% percentile interval was 0.606–0.833 (Supplementary Table S6; Figure S2A). The Fusion-minus-M1 AUC difference was 0.120 (-0.015 to 0.252; Supplementary Table S7). Its interval and those for AP, Brier-score and logarithmic-loss differences included zero. At the fixed threshold, Fusion correctly recognized 109/113 tumor examinations (96.5%) and 2/22 treatment-related-change examinations (9.1%; Figure S2B). Its descriptive calibration slope was 0.539. The AUC increment remained positive in its point estimate, with wider uncertainty in this selected cohort.</w:t>
      </w:r>
    </w:p>
    <w:p>
      <w:pPr>
        <w:sectPr>
          <w:footerReference w:type="default" r:id="rId9"/>
          <w:pgSz w:w="12240" w:h="15840"/>
          <w:pgMar w:top="1138" w:right="1138" w:bottom="1138" w:left="1138" w:header="504" w:footer="504" w:gutter="0"/>
          <w:cols w:space="720"/>
          <w:docGrid w:linePitch="360"/>
        </w:sectPr>
      </w:pPr>
    </w:p>
    <w:p>
      <w:pPr>
        <w:pStyle w:val="Heading2"/>
      </w:pPr>
      <w:r>
        <w:t>Table S1. Clinical characteristics by imaging coverage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2170"/>
        <w:gridCol w:w="2170"/>
        <w:gridCol w:w="2170"/>
      </w:tblGrid>
      <w:tr>
        <w:trPr>
          <w:cantSplit/>
          <w:tblHeader/>
        </w:trPr>
        <w:tc>
          <w:tcPr>
            <w:tcW w:type="dxa" w:w="3456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Characteristic</w:t>
            </w:r>
          </w:p>
        </w:tc>
        <w:tc>
          <w:tcPr>
            <w:tcW w:type="dxa" w:w="2170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Retained clinical cohort</w:t>
            </w:r>
          </w:p>
        </w:tc>
        <w:tc>
          <w:tcPr>
            <w:tcW w:type="dxa" w:w="2170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Imaging coverage</w:t>
            </w:r>
          </w:p>
        </w:tc>
        <w:tc>
          <w:tcPr>
            <w:tcW w:type="dxa" w:w="2170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No imaging coverage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Examinations, n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238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182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56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Unique source patients, n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176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135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41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Age, years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56.0 [47.0, 64.8]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56.5 [49.0, 66.0]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53.5 [45.0, 62.0]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Male sex at birth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166/238 (69.7%)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132/182 (72.5%)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34/56 (60.7%)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Tumor-labeled examinations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187/238 (78.6%)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141/182 (77.5%)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46/56 (82.1%)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Treatment-related-change examinations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51/238 (21.4%)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41/182 (22.5%)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10/56 (17.9%)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Days since initial event (known only)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153.5 [37.0, 364.2]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154.0 [40.5, 359.5]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153.0 [33.5, 439.2]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Known interval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192/238 (80.7%)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146/182 (80.2%)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46/56 (82.1%)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Missing interval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46/238 (19.3%)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36/182 (19.8%)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10/56 (17.9%)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Other treatment before imaging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38/238 (16.0%)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25/182 (13.7%)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13/56 (23.2%)</w:t>
            </w:r>
          </w:p>
        </w:tc>
      </w:tr>
    </w:tbl>
    <w:p>
      <w:pPr>
        <w:keepNext w:val="0"/>
      </w:pPr>
      <w:r>
        <w:rPr>
          <w:sz w:val="20"/>
        </w:rPr>
        <w:t>Values are counts or n/N (%), except continuous variables, which are median [Q1, Q3]. Percentages use the examination count in each column. Q1 and Q3 denote the first and third quartiles.</w:t>
      </w:r>
    </w:p>
    <w:p>
      <w:pPr>
        <w:keepNext w:val="0"/>
      </w:pPr>
      <w:r>
        <w:rPr>
          <w:sz w:val="20"/>
        </w:rPr>
        <w:t>Coverage refers to availability in the accessed image mirror. Coverage groups contain 135 and 41 distinct patients, respectively. Interval summaries use observed values for recorded initial surgery, treatment or diagnosis.</w:t>
      </w:r>
    </w:p>
    <w:p>
      <w:pPr>
        <w:sectPr>
          <w:pgSz w:w="12240" w:h="15840"/>
          <w:pgMar w:top="1138" w:right="1138" w:bottom="1138" w:left="1138" w:header="504" w:footer="504" w:gutter="0"/>
          <w:cols w:space="720"/>
          <w:docGrid w:linePitch="360"/>
        </w:sectPr>
      </w:pPr>
    </w:p>
    <w:p>
      <w:pPr>
        <w:pStyle w:val="Heading2"/>
      </w:pPr>
      <w:r>
        <w:t>Table S2. Predictor definitions and processing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2880"/>
        <w:gridCol w:w="1440"/>
        <w:gridCol w:w="6653"/>
      </w:tblGrid>
      <w:tr>
        <w:trPr>
          <w:cantSplit/>
          <w:tblHeader/>
        </w:trPr>
        <w:tc>
          <w:tcPr>
            <w:tcW w:type="dxa" w:w="2592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Definition</w:t>
            </w:r>
          </w:p>
        </w:tc>
        <w:tc>
          <w:tcPr>
            <w:tcW w:type="dxa" w:w="1440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Models</w:t>
            </w:r>
          </w:p>
        </w:tc>
        <w:tc>
          <w:tcPr>
            <w:tcW w:type="dxa" w:w="6653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Processing and units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age_years</w:t>
            </w:r>
          </w:p>
        </w:tc>
        <w:tc>
          <w:tcPr>
            <w:tcW w:type="dxa" w:w="288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Age at imaging</w:t>
            </w:r>
          </w:p>
        </w:tc>
        <w:tc>
          <w:tcPr>
            <w:tcW w:type="dxa" w:w="144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M0 M1 Fusion</w:t>
            </w:r>
          </w:p>
        </w:tc>
        <w:tc>
          <w:tcPr>
            <w:tcW w:type="dxa" w:w="6653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Years; standardized within each training fold.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sex_male</w:t>
            </w:r>
          </w:p>
        </w:tc>
        <w:tc>
          <w:tcPr>
            <w:tcW w:type="dxa" w:w="288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Male sex at birth</w:t>
            </w:r>
          </w:p>
        </w:tc>
        <w:tc>
          <w:tcPr>
            <w:tcW w:type="dxa" w:w="144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M0 M1 Fusion</w:t>
            </w:r>
          </w:p>
        </w:tc>
        <w:tc>
          <w:tcPr>
            <w:tcW w:type="dxa" w:w="6653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Male=1, female=0; not scaled.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log_initial_event_days</w:t>
            </w:r>
          </w:p>
        </w:tc>
        <w:tc>
          <w:tcPr>
            <w:tcW w:type="dxa" w:w="288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Interval since initial event</w:t>
            </w:r>
          </w:p>
        </w:tc>
        <w:tc>
          <w:tcPr>
            <w:tcW w:type="dxa" w:w="144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M1 Fusion</w:t>
            </w:r>
          </w:p>
        </w:tc>
        <w:tc>
          <w:tcPr>
            <w:tcW w:type="dxa" w:w="6653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Natural log of one plus elapsed days; training-fold median imputation and standardization.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other_treatment_prior</w:t>
            </w:r>
          </w:p>
        </w:tc>
        <w:tc>
          <w:tcPr>
            <w:tcW w:type="dxa" w:w="288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Other treatment before imaging</w:t>
            </w:r>
          </w:p>
        </w:tc>
        <w:tc>
          <w:tcPr>
            <w:tcW w:type="dxa" w:w="144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M1 Fusion</w:t>
            </w:r>
          </w:p>
        </w:tc>
        <w:tc>
          <w:tcPr>
            <w:tcW w:type="dxa" w:w="6653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Yes=1, no=0; not scaled.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initial_event_missing</w:t>
            </w:r>
          </w:p>
        </w:tc>
        <w:tc>
          <w:tcPr>
            <w:tcW w:type="dxa" w:w="288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Missing initial-event interval</w:t>
            </w:r>
          </w:p>
        </w:tc>
        <w:tc>
          <w:tcPr>
            <w:tcW w:type="dxa" w:w="144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M1 Fusion</w:t>
            </w:r>
          </w:p>
        </w:tc>
        <w:tc>
          <w:tcPr>
            <w:tcW w:type="dxa" w:w="6653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Missing=1, observed=0; not scaled.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FLAIR_mean</w:t>
            </w:r>
          </w:p>
        </w:tc>
        <w:tc>
          <w:tcPr>
            <w:tcW w:type="dxa" w:w="288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FLAIR mean</w:t>
            </w:r>
          </w:p>
        </w:tc>
        <w:tc>
          <w:tcPr>
            <w:tcW w:type="dxa" w:w="144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MRI Fusion</w:t>
            </w:r>
          </w:p>
        </w:tc>
        <w:tc>
          <w:tcPr>
            <w:tcW w:type="dxa" w:w="6653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Dimensionless, unclipped percentile-scaled ROI mean; training-fold standardization.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FLAIR_std</w:t>
            </w:r>
          </w:p>
        </w:tc>
        <w:tc>
          <w:tcPr>
            <w:tcW w:type="dxa" w:w="288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FLAIR standard deviation</w:t>
            </w:r>
          </w:p>
        </w:tc>
        <w:tc>
          <w:tcPr>
            <w:tcW w:type="dxa" w:w="144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MRI Fusion</w:t>
            </w:r>
          </w:p>
        </w:tc>
        <w:tc>
          <w:tcPr>
            <w:tcW w:type="dxa" w:w="6653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Dimensionless; population SD (ddof=0); training-fold standardization.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FLAIR_entropy</w:t>
            </w:r>
          </w:p>
        </w:tc>
        <w:tc>
          <w:tcPr>
            <w:tcW w:type="dxa" w:w="288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FLAIR entropy</w:t>
            </w:r>
          </w:p>
        </w:tc>
        <w:tc>
          <w:tcPr>
            <w:tcW w:type="dxa" w:w="144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MRI Fusion</w:t>
            </w:r>
          </w:p>
        </w:tc>
        <w:tc>
          <w:tcPr>
            <w:tcW w:type="dxa" w:w="6653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Bits; Shannon entropy with 32 ROI-range bins; training-fold standardization.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FLAIR_glcm_contrast</w:t>
            </w:r>
          </w:p>
        </w:tc>
        <w:tc>
          <w:tcPr>
            <w:tcW w:type="dxa" w:w="288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FLAIR GLCM contrast</w:t>
            </w:r>
          </w:p>
        </w:tc>
        <w:tc>
          <w:tcPr>
            <w:tcW w:type="dxa" w:w="144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MRI Fusion</w:t>
            </w:r>
          </w:p>
        </w:tc>
        <w:tc>
          <w:tcPr>
            <w:tcW w:type="dxa" w:w="6653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Squared bin-index differences; symmetric counts merged across 13 directions; training-fold standardization.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T1post_mean</w:t>
            </w:r>
          </w:p>
        </w:tc>
        <w:tc>
          <w:tcPr>
            <w:tcW w:type="dxa" w:w="288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Postcontrast T1 mean</w:t>
            </w:r>
          </w:p>
        </w:tc>
        <w:tc>
          <w:tcPr>
            <w:tcW w:type="dxa" w:w="144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MRI Fusion</w:t>
            </w:r>
          </w:p>
        </w:tc>
        <w:tc>
          <w:tcPr>
            <w:tcW w:type="dxa" w:w="6653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Dimensionless, unclipped percentile-scaled ROI mean; training-fold standardization.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T1post_std</w:t>
            </w:r>
          </w:p>
        </w:tc>
        <w:tc>
          <w:tcPr>
            <w:tcW w:type="dxa" w:w="288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Postcontrast T1 standard deviation</w:t>
            </w:r>
          </w:p>
        </w:tc>
        <w:tc>
          <w:tcPr>
            <w:tcW w:type="dxa" w:w="144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MRI Fusion</w:t>
            </w:r>
          </w:p>
        </w:tc>
        <w:tc>
          <w:tcPr>
            <w:tcW w:type="dxa" w:w="6653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Dimensionless; population SD (ddof=0); training-fold standardization.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T1post_entropy</w:t>
            </w:r>
          </w:p>
        </w:tc>
        <w:tc>
          <w:tcPr>
            <w:tcW w:type="dxa" w:w="288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Postcontrast T1 entropy</w:t>
            </w:r>
          </w:p>
        </w:tc>
        <w:tc>
          <w:tcPr>
            <w:tcW w:type="dxa" w:w="144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MRI Fusion</w:t>
            </w:r>
          </w:p>
        </w:tc>
        <w:tc>
          <w:tcPr>
            <w:tcW w:type="dxa" w:w="6653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Bits; Shannon entropy with 32 ROI-range bins; training-fold standardization.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T1post_glcm_contrast</w:t>
            </w:r>
          </w:p>
        </w:tc>
        <w:tc>
          <w:tcPr>
            <w:tcW w:type="dxa" w:w="288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Postcontrast T1 GLCM contrast</w:t>
            </w:r>
          </w:p>
        </w:tc>
        <w:tc>
          <w:tcPr>
            <w:tcW w:type="dxa" w:w="144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MRI Fusion</w:t>
            </w:r>
          </w:p>
        </w:tc>
        <w:tc>
          <w:tcPr>
            <w:tcW w:type="dxa" w:w="6653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Squared bin-index differences; symmetric counts merged across 13 directions; training-fold standardization.</w:t>
            </w:r>
          </w:p>
        </w:tc>
      </w:tr>
    </w:tbl>
    <w:p>
      <w:pPr>
        <w:keepNext w:val="0"/>
      </w:pPr>
      <w:r>
        <w:rPr>
          <w:sz w:val="20"/>
        </w:rPr>
        <w:t>M0: age and sex; M1: five clinical inputs; MRI: eight MRI features; Fusion: clinical and MRI inputs. Imputation and standardization parameters were estimated within training folds.</w:t>
      </w:r>
    </w:p>
    <w:p>
      <w:pPr>
        <w:keepNext w:val="0"/>
      </w:pPr>
      <w:r>
        <w:rPr>
          <w:sz w:val="20"/>
        </w:rPr>
        <w:t>The initial event is recorded initial surgery, other initial treatment or diagnosis. Elapsed days were transformed as ln(1 + days).</w:t>
      </w:r>
    </w:p>
    <w:p>
      <w:pPr>
        <w:keepNext w:val="0"/>
      </w:pPr>
      <w:r>
        <w:rPr>
          <w:sz w:val="20"/>
        </w:rPr>
        <w:t>MRI features use the positive-label union of the supplied standard BraTS mask. Texture distances are expressed in voxel-grid units.</w:t>
      </w:r>
    </w:p>
    <w:p>
      <w:pPr>
        <w:sectPr>
          <w:pgSz w:w="15840" w:h="12240" w:orient="landscape"/>
          <w:pgMar w:top="1138" w:right="1138" w:bottom="1138" w:left="1138" w:header="504" w:footer="504" w:gutter="0"/>
          <w:cols w:space="720"/>
          <w:docGrid w:linePitch="360"/>
        </w:sectPr>
      </w:pPr>
    </w:p>
    <w:p>
      <w:pPr>
        <w:pStyle w:val="Heading2"/>
      </w:pPr>
      <w:r>
        <w:t>Table S3. Fixed-threshold classification and calibration diagnostics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2324"/>
        <w:gridCol w:w="2324"/>
        <w:gridCol w:w="2324"/>
        <w:gridCol w:w="2324"/>
        <w:gridCol w:w="2324"/>
      </w:tblGrid>
      <w:tr>
        <w:trPr>
          <w:cantSplit/>
          <w:tblHeader/>
        </w:trPr>
        <w:tc>
          <w:tcPr>
            <w:tcW w:type="dxa" w:w="1944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324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Treatment change correct, n/N</w:t>
            </w:r>
          </w:p>
        </w:tc>
        <w:tc>
          <w:tcPr>
            <w:tcW w:type="dxa" w:w="2324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Tumor correct, n/N</w:t>
            </w:r>
          </w:p>
        </w:tc>
        <w:tc>
          <w:tcPr>
            <w:tcW w:type="dxa" w:w="2324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Balanced accuracy</w:t>
            </w:r>
          </w:p>
        </w:tc>
        <w:tc>
          <w:tcPr>
            <w:tcW w:type="dxa" w:w="2324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Calibration offset intercept</w:t>
            </w:r>
          </w:p>
        </w:tc>
        <w:tc>
          <w:tcPr>
            <w:tcW w:type="dxa" w:w="2324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Calibration slope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M0</w:t>
            </w:r>
          </w:p>
        </w:tc>
        <w:tc>
          <w:tcPr>
            <w:tcW w:type="dxa" w:w="232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0/41</w:t>
            </w:r>
          </w:p>
        </w:tc>
        <w:tc>
          <w:tcPr>
            <w:tcW w:type="dxa" w:w="232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140/141</w:t>
            </w:r>
          </w:p>
        </w:tc>
        <w:tc>
          <w:tcPr>
            <w:tcW w:type="dxa" w:w="232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0.496</w:t>
            </w:r>
          </w:p>
        </w:tc>
        <w:tc>
          <w:tcPr>
            <w:tcW w:type="dxa" w:w="232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-0.023</w:t>
            </w:r>
          </w:p>
        </w:tc>
        <w:tc>
          <w:tcPr>
            <w:tcW w:type="dxa" w:w="232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0.311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M1</w:t>
            </w:r>
          </w:p>
        </w:tc>
        <w:tc>
          <w:tcPr>
            <w:tcW w:type="dxa" w:w="232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2/41</w:t>
            </w:r>
          </w:p>
        </w:tc>
        <w:tc>
          <w:tcPr>
            <w:tcW w:type="dxa" w:w="232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134/141</w:t>
            </w:r>
          </w:p>
        </w:tc>
        <w:tc>
          <w:tcPr>
            <w:tcW w:type="dxa" w:w="232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0.500</w:t>
            </w:r>
          </w:p>
        </w:tc>
        <w:tc>
          <w:tcPr>
            <w:tcW w:type="dxa" w:w="232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-0.023</w:t>
            </w:r>
          </w:p>
        </w:tc>
        <w:tc>
          <w:tcPr>
            <w:tcW w:type="dxa" w:w="232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0.761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MRI</w:t>
            </w:r>
          </w:p>
        </w:tc>
        <w:tc>
          <w:tcPr>
            <w:tcW w:type="dxa" w:w="232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12/41</w:t>
            </w:r>
          </w:p>
        </w:tc>
        <w:tc>
          <w:tcPr>
            <w:tcW w:type="dxa" w:w="232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128/141</w:t>
            </w:r>
          </w:p>
        </w:tc>
        <w:tc>
          <w:tcPr>
            <w:tcW w:type="dxa" w:w="232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0.600</w:t>
            </w:r>
          </w:p>
        </w:tc>
        <w:tc>
          <w:tcPr>
            <w:tcW w:type="dxa" w:w="232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-0.058</w:t>
            </w:r>
          </w:p>
        </w:tc>
        <w:tc>
          <w:tcPr>
            <w:tcW w:type="dxa" w:w="232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0.678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Fusion</w:t>
            </w:r>
          </w:p>
        </w:tc>
        <w:tc>
          <w:tcPr>
            <w:tcW w:type="dxa" w:w="232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12/41</w:t>
            </w:r>
          </w:p>
        </w:tc>
        <w:tc>
          <w:tcPr>
            <w:tcW w:type="dxa" w:w="232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130/141</w:t>
            </w:r>
          </w:p>
        </w:tc>
        <w:tc>
          <w:tcPr>
            <w:tcW w:type="dxa" w:w="232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0.607</w:t>
            </w:r>
          </w:p>
        </w:tc>
        <w:tc>
          <w:tcPr>
            <w:tcW w:type="dxa" w:w="232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-0.121</w:t>
            </w:r>
          </w:p>
        </w:tc>
        <w:tc>
          <w:tcPr>
            <w:tcW w:type="dxa" w:w="232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0.667</w:t>
            </w:r>
          </w:p>
        </w:tc>
      </w:tr>
    </w:tbl>
    <w:p>
      <w:pPr>
        <w:keepNext w:val="0"/>
      </w:pPr>
      <w:r>
        <w:rPr>
          <w:sz w:val="20"/>
        </w:rPr>
        <w:t>The cohort contains 182 examinations from 135 patients. A tumor probability of at least 0.5 defines tumor. Balanced accuracy is the mean of tumor sensitivity and treatment-change recognition.</w:t>
      </w:r>
    </w:p>
    <w:p>
      <w:pPr>
        <w:keepNext w:val="0"/>
      </w:pPr>
      <w:r>
        <w:rPr>
          <w:sz w:val="20"/>
        </w:rPr>
        <w:t>The calibration offset intercept fixes the predicted-log-odds coefficient at one. The calibration slope is jointly estimated with a free intercept in a separate unpenalized logistic diagnostic regression.</w:t>
      </w:r>
    </w:p>
    <w:p>
      <w:pPr>
        <w:keepNext w:val="0"/>
      </w:pPr>
      <w:r>
        <w:rPr>
          <w:sz w:val="20"/>
        </w:rPr>
        <w:t>Calibration estimates describe the pooled OOF predictions. Metrics are rounded to three decimals; classification counts retain exact denominators.</w:t>
      </w:r>
    </w:p>
    <w:p>
      <w:pPr>
        <w:sectPr>
          <w:pgSz w:w="15840" w:h="12240" w:orient="landscape"/>
          <w:pgMar w:top="1138" w:right="1138" w:bottom="1138" w:left="1138" w:header="504" w:footer="504" w:gutter="0"/>
          <w:cols w:space="720"/>
          <w:docGrid w:linePitch="360"/>
        </w:sectPr>
      </w:pPr>
    </w:p>
    <w:p>
      <w:pPr>
        <w:pStyle w:val="Heading2"/>
      </w:pPr>
      <w:r>
        <w:t>Table S4. Original ROI and eroded-boundary sensitivity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2005"/>
        <w:gridCol w:w="2005"/>
        <w:gridCol w:w="2005"/>
        <w:gridCol w:w="2005"/>
      </w:tblGrid>
      <w:tr>
        <w:trPr>
          <w:cantSplit/>
          <w:tblHeader/>
        </w:trPr>
        <w:tc>
          <w:tcPr>
            <w:tcW w:type="dxa" w:w="1944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005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ROC AUC (95% interval)</w:t>
            </w:r>
          </w:p>
        </w:tc>
        <w:tc>
          <w:tcPr>
            <w:tcW w:type="dxa" w:w="2005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Brier score</w:t>
            </w:r>
          </w:p>
        </w:tc>
        <w:tc>
          <w:tcPr>
            <w:tcW w:type="dxa" w:w="2005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AP for treatment change</w:t>
            </w:r>
          </w:p>
        </w:tc>
        <w:tc>
          <w:tcPr>
            <w:tcW w:type="dxa" w:w="2005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Treatment change correct, n/N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Original MRI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0.762 [0.683, 0.838]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0.151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0.444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12/41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Original Fusion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0.782 [0.698, 0.859]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0.144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0.505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12/41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Eroded MRI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0.765 [0.684, 0.844]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0.149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0.458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11/41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Eroded Fusion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0.788 [0.706, 0.867]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0.141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0.529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14/41</w:t>
            </w:r>
          </w:p>
        </w:tc>
      </w:tr>
    </w:tbl>
    <w:p>
      <w:pPr>
        <w:keepNext w:val="0"/>
      </w:pPr>
      <w:r>
        <w:rPr>
          <w:sz w:val="20"/>
        </w:rPr>
        <w:t>All models used the same 182 examinations, patient groups, folds and fixed model settings. Eroded models replaced the eight MRI features while retaining the image-specific normalization parameters and full-ROI discretization boundaries.</w:t>
      </w:r>
    </w:p>
    <w:p>
      <w:pPr>
        <w:keepNext w:val="0"/>
      </w:pPr>
      <w:r>
        <w:rPr>
          <w:sz w:val="20"/>
        </w:rPr>
        <w:t>Intervals are the 2.5th and 97.5th percentiles of 2000 paired patient-cluster bootstrap attempts, conditional on fixed OOF predictions. The eroded-minus-original Fusion AUC difference was 0.0062 (-0.0051 to 0.0183).</w:t>
      </w:r>
    </w:p>
    <w:p>
      <w:pPr>
        <w:keepNext w:val="0"/>
      </w:pPr>
      <w:r>
        <w:rPr>
          <w:sz w:val="20"/>
        </w:rPr>
        <w:t>AP denotes average precision for treatment-related change, scored by one minus the tumor probability. Correct treatment-change counts use tumor probability below 0.5. The original ROI defines the primary analysis. Metrics use three decimals; the paired AUC difference uses four.</w:t>
      </w:r>
    </w:p>
    <w:p>
      <w:pPr>
        <w:sectPr>
          <w:pgSz w:w="12240" w:h="15840"/>
          <w:pgMar w:top="1138" w:right="1138" w:bottom="1138" w:left="1138" w:header="504" w:footer="504" w:gutter="0"/>
          <w:cols w:space="720"/>
          <w:docGrid w:linePitch="360"/>
        </w:sectPr>
      </w:pPr>
    </w:p>
    <w:p>
      <w:pPr>
        <w:pStyle w:val="Heading2"/>
      </w:pPr>
      <w:r>
        <w:t>Table S5A. Performance across 20 fixed patient-grouped partitions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2170"/>
        <w:gridCol w:w="2170"/>
        <w:gridCol w:w="2170"/>
      </w:tblGrid>
      <w:tr>
        <w:trPr>
          <w:cantSplit/>
          <w:tblHeader/>
        </w:trPr>
        <w:tc>
          <w:tcPr>
            <w:tcW w:type="dxa" w:w="3456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170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Median ROC AUC [Q1, Q3]</w:t>
            </w:r>
          </w:p>
        </w:tc>
        <w:tc>
          <w:tcPr>
            <w:tcW w:type="dxa" w:w="2170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ROC AUC range</w:t>
            </w:r>
          </w:p>
        </w:tc>
        <w:tc>
          <w:tcPr>
            <w:tcW w:type="dxa" w:w="2170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Median Brier score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M0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0.556 [0.528, 0.567]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[0.489, 0.594]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0.174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M1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0.667 [0.650, 0.670]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[0.620, 0.685]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0.163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MRI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0.775 [0.768, 0.783]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[0.759, 0.792]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0.148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Fusion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0.784 [0.775, 0.795]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[0.759, 0.809]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0.143</w:t>
            </w:r>
          </w:p>
        </w:tc>
      </w:tr>
    </w:tbl>
    <w:p>
      <w:pPr>
        <w:keepNext w:val="0"/>
      </w:pPr>
      <w:r>
        <w:rPr>
          <w:sz w:val="20"/>
        </w:rPr>
        <w:t>All 20 repetitions were complete. Each repetition evaluated the same 182 examinations from 135 patients, using patient-grouped five-fold validation and the same fixed settings for M0, M1, MRI and Fusion.</w:t>
      </w:r>
    </w:p>
    <w:p>
      <w:pPr>
        <w:keepNext w:val="0"/>
      </w:pPr>
      <w:r>
        <w:rPr>
          <w:sz w:val="20"/>
        </w:rPr>
        <w:t>Q1 and Q3 are quartiles across the 20 partitions. Ranges are observed minima and maxima in this cohort. The primary Fusion AUC is 0.782 from partition 1.</w:t>
      </w:r>
    </w:p>
    <w:p>
      <w:pPr>
        <w:sectPr>
          <w:pgSz w:w="12240" w:h="15840"/>
          <w:pgMar w:top="1138" w:right="1138" w:bottom="1138" w:left="1138" w:header="504" w:footer="504" w:gutter="0"/>
          <w:cols w:space="720"/>
          <w:docGrid w:linePitch="360"/>
        </w:sectPr>
      </w:pPr>
    </w:p>
    <w:p>
      <w:pPr>
        <w:pStyle w:val="Heading2"/>
      </w:pPr>
      <w:r>
        <w:t>Table S5B. Fusion-minus-M1 differences across the 20 partitions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2170"/>
        <w:gridCol w:w="2170"/>
        <w:gridCol w:w="2170"/>
      </w:tblGrid>
      <w:tr>
        <w:trPr>
          <w:cantSplit/>
          <w:tblHeader/>
        </w:trPr>
        <w:tc>
          <w:tcPr>
            <w:tcW w:type="dxa" w:w="3456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2170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Median difference [Q1, Q3]</w:t>
            </w:r>
          </w:p>
        </w:tc>
        <w:tc>
          <w:tcPr>
            <w:tcW w:type="dxa" w:w="2170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Difference range</w:t>
            </w:r>
          </w:p>
        </w:tc>
        <w:tc>
          <w:tcPr>
            <w:tcW w:type="dxa" w:w="2170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Favorable repetitions, n/N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ROC AUC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+0.125 [0.118, 0.135]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[0.103, 0.150]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20/20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Treatment-related-change AP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+0.125 [0.108, 0.139]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[0.068, 0.176]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20/20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Brier score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-0.019 [-0.023, -0.018]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[-0.027, -0.014]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20/20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Logarithmic loss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-0.047 [-0.058, -0.038]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[-0.071, -0.022]</w:t>
            </w:r>
          </w:p>
        </w:tc>
        <w:tc>
          <w:tcPr>
            <w:tcW w:type="dxa" w:w="217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20/20</w:t>
            </w:r>
          </w:p>
        </w:tc>
      </w:tr>
    </w:tbl>
    <w:p>
      <w:pPr>
        <w:keepNext w:val="0"/>
      </w:pPr>
      <w:r>
        <w:rPr>
          <w:sz w:val="20"/>
        </w:rPr>
        <w:t>Fusion-minus-M1 differences were calculated within each repetition before summarizing their median and quartiles.</w:t>
      </w:r>
    </w:p>
    <w:p>
      <w:pPr>
        <w:keepNext w:val="0"/>
      </w:pPr>
      <w:r>
        <w:rPr>
          <w:sz w:val="20"/>
        </w:rPr>
        <w:t>Differences are Fusion minus M1. Positive AUC or AP and negative Brier-score or logarithmic-loss differences favor Fusion. Q1 and Q3 are quartiles; ranges are observed minima and maxima.</w:t>
      </w:r>
    </w:p>
    <w:p>
      <w:pPr>
        <w:keepNext w:val="0"/>
      </w:pPr>
      <w:r>
        <w:rPr>
          <w:sz w:val="20"/>
        </w:rPr>
        <w:t>Favorable-repetition counts describe the direction of paired estimates across the 20 partitions of the same cohort. Values are displayed to three decimals.</w:t>
      </w:r>
    </w:p>
    <w:p>
      <w:pPr>
        <w:sectPr>
          <w:pgSz w:w="12240" w:h="15840"/>
          <w:pgMar w:top="1138" w:right="1138" w:bottom="1138" w:left="1138" w:header="504" w:footer="504" w:gutter="0"/>
          <w:cols w:space="720"/>
          <w:docGrid w:linePitch="360"/>
        </w:sectPr>
      </w:pPr>
    </w:p>
    <w:p>
      <w:pPr>
        <w:pStyle w:val="Heading2"/>
      </w:pPr>
      <w:r>
        <w:t>Table S6. Performance in the one-examination-per-patient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2005"/>
        <w:gridCol w:w="2005"/>
        <w:gridCol w:w="2005"/>
        <w:gridCol w:w="2005"/>
      </w:tblGrid>
      <w:tr>
        <w:trPr>
          <w:cantSplit/>
          <w:tblHeader/>
        </w:trPr>
        <w:tc>
          <w:tcPr>
            <w:tcW w:type="dxa" w:w="1944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005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ROC AUC (95% interval)</w:t>
            </w:r>
          </w:p>
        </w:tc>
        <w:tc>
          <w:tcPr>
            <w:tcW w:type="dxa" w:w="2005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Brier score</w:t>
            </w:r>
          </w:p>
        </w:tc>
        <w:tc>
          <w:tcPr>
            <w:tcW w:type="dxa" w:w="2005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AP for treatment change</w:t>
            </w:r>
          </w:p>
        </w:tc>
        <w:tc>
          <w:tcPr>
            <w:tcW w:type="dxa" w:w="2005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Treatment change correct, n/N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M0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0.501 [0.364, 0.639]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0.137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0.205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0/22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M1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0.609 [0.438, 0.776]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0.132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0.283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0/22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MRI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0.729 [0.609, 0.837]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0.130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0.316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2/22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Fusion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0.730 [0.606, 0.833]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0.133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0.322</w:t>
            </w:r>
          </w:p>
        </w:tc>
        <w:tc>
          <w:tcPr>
            <w:tcW w:type="dxa" w:w="2005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2/22</w:t>
            </w:r>
          </w:p>
        </w:tc>
      </w:tr>
    </w:tbl>
    <w:p>
      <w:pPr>
        <w:keepNext w:val="0"/>
      </w:pPr>
      <w:r>
        <w:rPr>
          <w:sz w:val="20"/>
        </w:rPr>
        <w:t>The selected cohort contains 135 examinations from 135 patients: 113 tumor and 22 treatment-related-change examinations. Each patient contributes the smallest available numeric session in the imaging subset.</w:t>
      </w:r>
    </w:p>
    <w:p>
      <w:pPr>
        <w:keepNext w:val="0"/>
      </w:pPr>
      <w:r>
        <w:rPr>
          <w:sz w:val="20"/>
        </w:rPr>
        <w:t>Four models share the rebuilt patient-grouped five-fold partition. Intervals are the 2.5th and 97.5th percentiles of 2000 paired patient-cluster bootstrap attempts, conditional on fixed OOF predictions.</w:t>
      </w:r>
    </w:p>
    <w:p>
      <w:pPr>
        <w:keepNext w:val="0"/>
      </w:pPr>
      <w:r>
        <w:rPr>
          <w:sz w:val="20"/>
        </w:rPr>
        <w:t>AP denotes average precision for treatment-related change, scored by one minus the tumor probability. Correct treatment-change counts use tumor probability below 0.5. Values are rounded to three decimals.</w:t>
      </w:r>
    </w:p>
    <w:p>
      <w:pPr>
        <w:sectPr>
          <w:pgSz w:w="12240" w:h="15840"/>
          <w:pgMar w:top="1138" w:right="1138" w:bottom="1138" w:left="1138" w:header="504" w:footer="504" w:gutter="0"/>
          <w:cols w:space="720"/>
          <w:docGrid w:linePitch="360"/>
        </w:sectPr>
      </w:pPr>
    </w:p>
    <w:p>
      <w:pPr>
        <w:pStyle w:val="Heading2"/>
      </w:pPr>
      <w:r>
        <w:t>Table S7. Paired Fusion-minus-M1 differences in the single-scan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10"/>
        <w:gridCol w:w="4010"/>
      </w:tblGrid>
      <w:tr>
        <w:trPr>
          <w:cantSplit/>
          <w:tblHeader/>
        </w:trPr>
        <w:tc>
          <w:tcPr>
            <w:tcW w:type="dxa" w:w="1944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4010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Fusion minus M1</w:t>
            </w:r>
          </w:p>
        </w:tc>
        <w:tc>
          <w:tcPr>
            <w:tcW w:type="dxa" w:w="4010"/>
            <w:vAlign w:val="center"/>
            <w:shd w:fill="EEEEEE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95% paired interval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ROC AUC</w:t>
            </w:r>
          </w:p>
        </w:tc>
        <w:tc>
          <w:tcPr>
            <w:tcW w:type="dxa" w:w="401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+0.1203</w:t>
            </w:r>
          </w:p>
        </w:tc>
        <w:tc>
          <w:tcPr>
            <w:tcW w:type="dxa" w:w="401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[-0.0151, 0.2522]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Treatment-related-change AP</w:t>
            </w:r>
          </w:p>
        </w:tc>
        <w:tc>
          <w:tcPr>
            <w:tcW w:type="dxa" w:w="401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+0.0385</w:t>
            </w:r>
          </w:p>
        </w:tc>
        <w:tc>
          <w:tcPr>
            <w:tcW w:type="dxa" w:w="401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[-0.0733, 0.1566]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Brier score</w:t>
            </w:r>
          </w:p>
        </w:tc>
        <w:tc>
          <w:tcPr>
            <w:tcW w:type="dxa" w:w="401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+0.0004</w:t>
            </w:r>
          </w:p>
        </w:tc>
        <w:tc>
          <w:tcPr>
            <w:tcW w:type="dxa" w:w="401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[-0.0171, 0.0197]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Logarithmic loss</w:t>
            </w:r>
          </w:p>
        </w:tc>
        <w:tc>
          <w:tcPr>
            <w:tcW w:type="dxa" w:w="401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-0.0141</w:t>
            </w:r>
          </w:p>
        </w:tc>
        <w:tc>
          <w:tcPr>
            <w:tcW w:type="dxa" w:w="4010"/>
            <w:vAlign w:val="center"/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[-0.0731, 0.0501]</w:t>
            </w:r>
          </w:p>
        </w:tc>
      </w:tr>
    </w:tbl>
    <w:p>
      <w:pPr>
        <w:keepNext w:val="0"/>
      </w:pPr>
      <w:r>
        <w:rPr>
          <w:sz w:val="20"/>
        </w:rPr>
        <w:t>Differences are Fusion minus M1. Positive AUC or AP and negative Brier-score or logarithmic-loss differences favor Fusion. The comparison uses the same 135 selected examinations and rebuilt folds.</w:t>
      </w:r>
    </w:p>
    <w:p>
      <w:pPr>
        <w:keepNext w:val="0"/>
      </w:pPr>
      <w:r>
        <w:rPr>
          <w:sz w:val="20"/>
        </w:rPr>
        <w:t>Intervals are the 2.5th and 97.5th percentiles of 2000 paired patient-cluster bootstrap attempts, conditional on fixed OOF predictions. All four intervals include zero.</w:t>
      </w:r>
    </w:p>
    <w:p>
      <w:pPr>
        <w:keepNext w:val="0"/>
      </w:pPr>
      <w:r>
        <w:rPr>
          <w:sz w:val="20"/>
        </w:rPr>
        <w:t>AP denotes average precision for treatment-related change. Differences use unrounded metrics and are displayed to four decimals.</w:t>
      </w:r>
    </w:p>
    <w:p>
      <w:pPr>
        <w:sectPr>
          <w:pgSz w:w="12240" w:h="15840"/>
          <w:pgMar w:top="1138" w:right="1138" w:bottom="1138" w:left="1138" w:header="504" w:footer="504" w:gutter="0"/>
          <w:cols w:space="720"/>
          <w:docGrid w:linePitch="360"/>
        </w:sectPr>
      </w:pPr>
    </w:p>
    <w:p>
      <w:pPr>
        <w:pStyle w:val="Heading2"/>
      </w:pPr>
      <w:r>
        <w:t>Figure S1</w:t>
      </w:r>
    </w:p>
    <w:p>
      <w:r>
        <w:drawing>
          <wp:inline xmlns:a="http://schemas.openxmlformats.org/drawingml/2006/main" xmlns:pic="http://schemas.openxmlformats.org/drawingml/2006/picture">
            <wp:extent cx="8412480" cy="4588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1_Boundary_Sensi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58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</w:pPr>
      <w:r>
        <w:rPr>
          <w:sz w:val="21"/>
        </w:rPr>
        <w:t>Figure S1. Boundary sensitivity in 182 examinations from 135 patients. Points show OOF AUCs for the original and eroded MRI and Fusion models. Error bars are 95% patient-cluster bootstrap percentile intervals conditional on fixed OOF probabilities. Erosion used one iteration of the six-neighbor operation on the supplied voxel grid. The paired Fusion difference is reported in Table S4.</w:t>
      </w:r>
    </w:p>
    <w:p>
      <w:pPr>
        <w:sectPr>
          <w:pgSz w:w="15840" w:h="12240" w:orient="landscape"/>
          <w:pgMar w:top="1138" w:right="1138" w:bottom="1138" w:left="1138" w:header="504" w:footer="504" w:gutter="0"/>
          <w:cols w:space="720"/>
          <w:docGrid w:linePitch="360"/>
        </w:sectPr>
      </w:pPr>
    </w:p>
    <w:p>
      <w:pPr>
        <w:pStyle w:val="Heading2"/>
      </w:pPr>
      <w:r>
        <w:t>Figure S2</w:t>
      </w:r>
    </w:p>
    <w:p>
      <w:r>
        <w:drawing>
          <wp:inline xmlns:a="http://schemas.openxmlformats.org/drawingml/2006/main" xmlns:pic="http://schemas.openxmlformats.org/drawingml/2006/picture">
            <wp:extent cx="8412480" cy="33649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2_Single_Sc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364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</w:pPr>
      <w:r>
        <w:rPr>
          <w:sz w:val="21"/>
        </w:rPr>
        <w:t>Figure S2. Sensitivity analysis using one available examination per patient, comprising 113 tumor and 22 treatment-related-change examinations. A, OOF AUCs and patient-bootstrap 95% percentile intervals conditional on fixed predictions. B, Treatment-change recognition at the fixed tumor-probability threshold of 0.5, with exact correct/total counts. Selection used the smallest available numeric session, followed by rebuilt patient-grouped folds.</w:t>
      </w:r>
    </w:p>
    <w:p>
      <w:pPr>
        <w:sectPr>
          <w:pgSz w:w="15840" w:h="12240" w:orient="landscape"/>
          <w:pgMar w:top="1138" w:right="1138" w:bottom="1138" w:left="1138" w:header="504" w:footer="504" w:gutter="0"/>
          <w:cols w:space="720"/>
          <w:docGrid w:linePitch="360"/>
        </w:sectPr>
      </w:pPr>
    </w:p>
    <w:p>
      <w:pPr>
        <w:pStyle w:val="Heading2"/>
      </w:pPr>
      <w:r>
        <w:t>Figure S3</w:t>
      </w:r>
    </w:p>
    <w:p>
      <w:r>
        <w:drawing>
          <wp:inline xmlns:a="http://schemas.openxmlformats.org/drawingml/2006/main" xmlns:pic="http://schemas.openxmlformats.org/drawingml/2006/picture">
            <wp:extent cx="8412480" cy="33649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Repeat_St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364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</w:pPr>
      <w:r>
        <w:rPr>
          <w:sz w:val="21"/>
        </w:rPr>
        <w:t>Figure S3. Performance across 20 patient-grouped five-fold partitions of the same 182 examinations from 135 patients. A, Pooled OOF AUC for each model within each partition. B, Paired Fusion-minus-M1 AUC differences, with zero marked by the dashed line. Partition 1 reproduces the primary analysis; the displayed variation describes split sensitivity within this cohort.</w:t>
      </w:r>
    </w:p>
    <w:sectPr w:rsidR="00FC693F" w:rsidRPr="0006063C" w:rsidSect="00034616">
      <w:pgSz w:w="15840" w:h="12240" w:orient="landscape"/>
      <w:pgMar w:top="1138" w:right="1138" w:bottom="1138" w:left="113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0" w:lineRule="auto" w:after="140"/>
    </w:pPr>
    <w:rPr>
      <w:rFonts w:ascii="Times New Roman" w:hAnsi="Times New Roman" w:eastAsia="Noto Serif CJK S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40" w:lineRule="auto"/>
      <w:outlineLvl w:val="0"/>
    </w:pPr>
    <w:rPr>
      <w:rFonts w:ascii="Times New Roman" w:hAnsi="Times New Roman" w:eastAsia="Noto Serif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40" w:lineRule="auto"/>
      <w:outlineLvl w:val="1"/>
    </w:pPr>
    <w:rPr>
      <w:rFonts w:ascii="Times New Roman" w:hAnsi="Times New Roman" w:eastAsia="Noto Serif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="Times New Roman" w:hAnsi="Times New Roman" w:eastAsia="Noto Serif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</dc:title>
  <dc:subject/>
  <dc:creator>Tianyu Feng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