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4.5 Interpretation of image features</w:t>
      </w:r>
    </w:p>
    <w:p>
      <w:pPr>
        <w:keepNext/>
        <w:keepLines/>
      </w:pPr>
      <w:r>
        <w:t>The eight MRI inputs summarize different statistical aspects of the supplied annotation region. Mean intensity describes its average percentile-scaled signal, and standard deviation describes the spread of those values. Histogram entropy summarizes uncertainty in the discretized gray-level distribution without retaining voxel positions. GLCM contrast weights squared gray-level differences between neighboring voxels and therefore incorporates local spatial variation (4). These descriptors capture aspects of regional image appearance, with their interpretation depending on the supplied images and extraction rules. The union of all positive annotation labels does not isolate a histologically verified viable-tumor compartment. Duenweg et al. showed that normalization choices affected radiomic comparability across acquisition settings, including in brain imaging (12). Their findings do not establish an optimal transformation for our derived images. Here, percentile scaling and ROI-based discretization define the numerical context of the features; unknown spatial units further limit interpretation of texture at a physical distance. The fitted coefficients describe conditional associations within a penalized model, with their interpretation depending on feature scaling and the other included inputs. They do not establish independent risk factors or causal effects. Accordingly, the observed incremental discrimination supports a collective predictive signal within this dataset, without identifying a specific cellular mechanism.</w:t>
      </w:r>
    </w:p>
    <w:p>
      <w:pPr>
        <w:keepLines/>
      </w:pPr>
      <w:r>
        <w:rPr>
          <w:sz w:val="22"/>
        </w:rPr>
        <w:t>8项MRI输入概括了现成标注区域的不同统计特征。平均强度描述该区域经百分位缩放后的平均信号，标准差描述这些数值的离散程度。直方图熵概括离散化灰度分布的不确定性，不保留体素的位置。GLCM对比度对相邻体素间灰度差的平方进行加权，因此纳入了局部空间变化（4）。这些描述指标反映区域影像外观的某些方面，其解释取决于所提供的图像和提取规则。全部正值标注标签的并集，并不单独对应经组织学验证的存活肿瘤区室。Duenweg等发现，归一化选择会影响不同采集条件间的影像组学可比性，其中包括脑部影像（12）。其结果并不能确定我们这些派生图像的最优变换。在本研究中，百分位缩放和基于ROI的离散化界定了特征的数值含义；空间单位未知进一步限制了在物理距离上解释纹理的能力。拟合系数描述正则化模型内的条件关联，其解释取决于特征缩放和其他纳入的输入，并不能确立独立危险因素或因果效应。因此，所观察到的增量鉴别能力支持该数据集内存在整体预测信号，但不能据此确定某种具体的细胞机制。</w:t>
      </w:r>
    </w:p>
    <w:p>
      <w:pPr>
        <w:pStyle w:val="Heading1"/>
        <w:pageBreakBefore/>
      </w:pPr>
      <w:r>
        <w:t>References</w:t>
      </w:r>
    </w:p>
    <w:p>
      <w:pPr>
        <w:keepLines/>
      </w:pPr>
      <w:r>
        <w:t>4. Zwanenburg A, Vallières M, Abdalah MA, Aerts HJWL, Andrearczyk V, Apte A, et al. The Image Biomarker Standardization Initiative: Standardized Quantitative Radiomics for High-Throughput Image-based Phenotyping. Radiology. 2020;295(2):328-338. doi: 10.1148/radiol.2020191145.</w:t>
      </w:r>
    </w:p>
    <w:p>
      <w:pPr>
        <w:keepLines/>
      </w:pPr>
      <w:r>
        <w:t>12. Duenweg SR, Bobholz SA, Lowman AK, Winiarz A, Nath B, Barrett MJ, et al. Comparison of intensity normalization methods in prostate, brain, and breast cancer multi-parametric magnetic resonance imaging. Front Oncol. 2025;15:1433444. doi: 10.3389/fonc.2025.1433444.</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4.5 Interpretation of image features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