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Discussion</w:t>
      </w:r>
    </w:p>
    <w:p>
      <w:pPr>
        <w:pStyle w:val="Heading1"/>
      </w:pPr>
      <w:r>
        <w:t>4.7 Meaning of the single-scan result</w:t>
      </w:r>
    </w:p>
    <w:p>
      <w:pPr>
        <w:keepNext/>
        <w:keepLines/>
      </w:pPr>
      <w:r>
        <w:t>The single-scan analysis leaves Fusion's incremental discrimination uncertain under the selected sampling scheme. Its conditional paired AUC-difference interval ranged from -0.015 to 0.252, accommodating a small disadvantage as well as a larger gain. Selection retained the same 135 patients but reduced treatment-related-change examinations from 41 to 22 and changed the label distribution, training samples and fold assignments. These concurrent changes prevent attributing the difference from the primary analysis solely to repeated scans. The smallest available numeric session also did not establish the first clinical visit. At the fixed threshold, Fusion correctly recognized only 2/22 treatment-related-change examinations, despite identifying most tumor examinations. This class-specific limitation remains relevant even when ranking performance is summarized by AUC. Equalizing contributions to one examination per patient does not create a cohort independent of the primary analysis or verify the source diagnoses. Guidance for external validation emphasizes a dataset representative of the target population and sample-size planning for precise performance estimates (15,16). Accordingly, the selected analysis is best interpreted as an internal sensitivity check. Confirmation of the increment requires independent data with adequate representation of both outcomes and evaluation of discrimination, calibration and class-specific performance.</w:t>
      </w:r>
    </w:p>
    <w:p>
      <w:pPr>
        <w:keepLines/>
      </w:pPr>
      <w:r>
        <w:rPr>
          <w:sz w:val="22"/>
        </w:rPr>
        <w:t>单扫描分析中，Fusion在所选抽样方案下的增量鉴别仍不确定。其条件性配对AUC差值区间为−0.015至0.252，既容许小幅劣势，也容许较大的增益。选择后仍为同一批135名患者，但治疗相关改变检查由41次减少至22次，标签分布、训练样本及分折分配也发生了变化。这些同时发生的变化，使我们不能将相较主分析的差异仅归因于重复扫描。最小可用数字会话编号也不能确定首次临床就诊。在固定阈值下，Fusion仅正确识别2/22次治疗相关改变检查，尽管识别出了大多数肿瘤检查。即使采用AUC概括排序能力，这一类别特异性的不足仍然重要。将贡献统一为每位患者一次检查，并不会形成独立于主分析的队列，也不能核实源诊断。外部验证指南强调，数据集应代表目标人群，并应为精确估计性能而规划样本量（15,16）。因此，所选分析更适合解释为内部敏感性检查。确认增量需要独立数据，充分覆盖两种结局，并评价鉴别能力、校准及各类别的表现。</w:t>
      </w:r>
    </w:p>
    <w:p>
      <w:pPr>
        <w:pStyle w:val="Heading1"/>
        <w:pageBreakBefore/>
      </w:pPr>
      <w:r>
        <w:t>References</w:t>
      </w:r>
    </w:p>
    <w:p>
      <w:pPr>
        <w:keepLines/>
      </w:pPr>
      <w:r>
        <w:t>15. Riley RD, Archer L, Snell KIE, Ensor J, Dhiman P, Martin GP, et al. Evaluation of clinical prediction models (part 2): how to undertake an external validation study. BMJ. 2024;384:e074820. doi: 10.1136/bmj-2023-074820.</w:t>
      </w:r>
    </w:p>
    <w:p>
      <w:pPr>
        <w:keepLines/>
      </w:pPr>
      <w:r>
        <w:t>16. Riley RD, Snell KIE, Archer L, Ensor J, Debray TPA, van Calster B, et al. Evaluation of clinical prediction models (part 3): calculating the sample size required for an external validation study. BMJ. 2024;384:e074821. doi: 10.1136/bmj-2023-074821.</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4.7 Meaning of the single-scan result</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