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w:t>
      </w:r>
    </w:p>
    <w:p>
      <w:pPr>
        <w:pStyle w:val="Heading1"/>
      </w:pPr>
      <w:r>
        <w:t>3.2 Clinical characteristics</w:t>
      </w:r>
    </w:p>
    <w:p>
      <w:pPr>
        <w:keepNext/>
        <w:keepLines/>
        <w:pageBreakBefore w:val="0"/>
      </w:pPr>
      <w:r>
        <w:t>At the examination level, median age in the imaging cohort was 56.5 years [49.0, 66.0], and male patients contributed 132 examinations (72.5%; Table 1). Age, sex and other treatment before imaging were complete. Among 146 examinations with a known interval since the initial event, the median was 154.0 days [40.5, 359.5]. The corresponding medians were 96.0 days for tumor examinations and 346.0 days for treatment-related-change examinations. Intervals were missing for 36 examinations (19.8%), comprising 33 tumor and three treatment-related-change examinations. Other treatment before imaging was recorded for 25 examinations (13.7%). In the group without imaging coverage, median age was 53.5 years [45.0, 62.0], 60.7% of examinations were from male patients and 82.1% carried tumor labels, compared with 77.5% in the imaging cohort (Supplementary Table S1). These summaries used examination records, with interval distributions restricted to observed values before imputation. Bracketed values indicate the first and third quartiles. No between-group significance tests were performed.</w:t>
      </w:r>
    </w:p>
    <w:p>
      <w:pPr>
        <w:keepLines/>
      </w:pPr>
      <w:r>
        <w:rPr>
          <w:sz w:val="22"/>
        </w:rPr>
        <w:t>按检查记录统计，影像队列年龄中位数为56.5岁［49.0，66.0］，男性患者贡献132次检查（72.5%；Table 1）。年龄、性别和扫描前其他治疗信息均完整。在距初始事件间隔已知的146次检查中，间隔中位数为154.0天［40.5，359.5］；肿瘤检查和治疗相关改变检查的相应中位数分别为96.0天和346.0天。36次检查的间隔缺失（19.8%），其中33次为肿瘤检查、3次为治疗相关改变检查。25次检查记录了扫描前其他治疗（13.7%）。在没有影像覆盖的组中，年龄中位数为53.5岁［45.0，62.0］，男性患者贡献的检查占60.7%，肿瘤标签占82.1%，影像队列中的肿瘤标签占比为77.5%（Supplementary Table S1）。上述汇总以检查记录为单位，间隔分布仅使用填补前的已知值。方括号内为第一和第三四分位数。未进行组间显著性检验。</w:t>
      </w:r>
    </w:p>
    <w:p>
      <w:pPr>
        <w:pStyle w:val="Heading1"/>
        <w:keepNext/>
        <w:pageBreakBefore/>
      </w:pPr>
      <w:r>
        <w:t>Table 1. Clinical characteristics of the imaging cohort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773"/>
        <w:gridCol w:w="2059"/>
        <w:gridCol w:w="2059"/>
        <w:gridCol w:w="2074"/>
      </w:tblGrid>
      <w:tr>
        <w:trPr>
          <w:cantSplit/>
          <w:tblHeader/>
        </w:trPr>
        <w:tc>
          <w:tcPr>
            <w:tcW w:type="dxa" w:w="3773"/>
            <w:vAlign w:val="center"/>
            <w:shd w:fill="E7EBEF"/>
          </w:tcPr>
          <w:p>
            <w:pPr>
              <w:spacing w:after="0" w:line="240" w:lineRule="auto"/>
              <w:jc w:val="left"/>
            </w:pPr>
            <w:r>
              <w:rPr>
                <w:b/>
                <w:sz w:val="21"/>
              </w:rPr>
              <w:t>Characteristic</w:t>
            </w:r>
          </w:p>
        </w:tc>
        <w:tc>
          <w:tcPr>
            <w:tcW w:type="dxa" w:w="2059"/>
            <w:vAlign w:val="center"/>
            <w:shd w:fill="E7EBEF"/>
          </w:tcPr>
          <w:p>
            <w:pPr>
              <w:spacing w:after="0" w:line="240" w:lineRule="auto"/>
              <w:jc w:val="center"/>
            </w:pPr>
            <w:r>
              <w:rPr>
                <w:b/>
                <w:sz w:val="21"/>
              </w:rPr>
              <w:t>All imaging examinations</w:t>
            </w:r>
          </w:p>
        </w:tc>
        <w:tc>
          <w:tcPr>
            <w:tcW w:type="dxa" w:w="2059"/>
            <w:vAlign w:val="center"/>
            <w:shd w:fill="E7EBEF"/>
          </w:tcPr>
          <w:p>
            <w:pPr>
              <w:spacing w:after="0" w:line="240" w:lineRule="auto"/>
              <w:jc w:val="center"/>
            </w:pPr>
            <w:r>
              <w:rPr>
                <w:b/>
                <w:sz w:val="21"/>
              </w:rPr>
              <w:t>Tumor examinations</w:t>
            </w:r>
          </w:p>
        </w:tc>
        <w:tc>
          <w:tcPr>
            <w:tcW w:type="dxa" w:w="2074"/>
            <w:vAlign w:val="center"/>
            <w:shd w:fill="E7EBEF"/>
          </w:tcPr>
          <w:p>
            <w:pPr>
              <w:spacing w:after="0" w:line="240" w:lineRule="auto"/>
              <w:jc w:val="center"/>
            </w:pPr>
            <w:r>
              <w:rPr>
                <w:b/>
                <w:sz w:val="21"/>
              </w:rPr>
              <w:t>Treatment-related change</w:t>
            </w:r>
          </w:p>
        </w:tc>
      </w:tr>
      <w:tr>
        <w:trPr>
          <w:cantSplit/>
        </w:trPr>
        <w:tc>
          <w:tcPr>
            <w:tcW w:type="dxa" w:w="3773"/>
            <w:vAlign w:val="center"/>
          </w:tcPr>
          <w:p>
            <w:pPr>
              <w:spacing w:after="0" w:line="240" w:lineRule="auto"/>
              <w:jc w:val="left"/>
            </w:pPr>
            <w:r>
              <w:rPr>
                <w:b w:val="0"/>
                <w:sz w:val="21"/>
              </w:rPr>
              <w:t>Examinations, n</w:t>
            </w:r>
          </w:p>
        </w:tc>
        <w:tc>
          <w:tcPr>
            <w:tcW w:type="dxa" w:w="2059"/>
            <w:vAlign w:val="center"/>
          </w:tcPr>
          <w:p>
            <w:pPr>
              <w:spacing w:after="0" w:line="240" w:lineRule="auto"/>
              <w:jc w:val="center"/>
            </w:pPr>
            <w:r>
              <w:rPr>
                <w:b w:val="0"/>
                <w:sz w:val="21"/>
              </w:rPr>
              <w:t>182</w:t>
            </w:r>
          </w:p>
        </w:tc>
        <w:tc>
          <w:tcPr>
            <w:tcW w:type="dxa" w:w="2059"/>
            <w:vAlign w:val="center"/>
          </w:tcPr>
          <w:p>
            <w:pPr>
              <w:spacing w:after="0" w:line="240" w:lineRule="auto"/>
              <w:jc w:val="center"/>
            </w:pPr>
            <w:r>
              <w:rPr>
                <w:b w:val="0"/>
                <w:sz w:val="21"/>
              </w:rPr>
              <w:t>141</w:t>
            </w:r>
          </w:p>
        </w:tc>
        <w:tc>
          <w:tcPr>
            <w:tcW w:type="dxa" w:w="2074"/>
            <w:vAlign w:val="center"/>
          </w:tcPr>
          <w:p>
            <w:pPr>
              <w:spacing w:after="0" w:line="240" w:lineRule="auto"/>
              <w:jc w:val="center"/>
            </w:pPr>
            <w:r>
              <w:rPr>
                <w:b w:val="0"/>
                <w:sz w:val="21"/>
              </w:rPr>
              <w:t>41</w:t>
            </w:r>
          </w:p>
        </w:tc>
      </w:tr>
      <w:tr>
        <w:trPr>
          <w:cantSplit/>
        </w:trPr>
        <w:tc>
          <w:tcPr>
            <w:tcW w:type="dxa" w:w="3773"/>
            <w:vAlign w:val="center"/>
          </w:tcPr>
          <w:p>
            <w:pPr>
              <w:spacing w:after="0" w:line="240" w:lineRule="auto"/>
              <w:jc w:val="left"/>
            </w:pPr>
            <w:r>
              <w:rPr>
                <w:b w:val="0"/>
                <w:sz w:val="21"/>
              </w:rPr>
              <w:t>Unique source patients, n</w:t>
            </w:r>
          </w:p>
        </w:tc>
        <w:tc>
          <w:tcPr>
            <w:tcW w:type="dxa" w:w="2059"/>
            <w:vAlign w:val="center"/>
          </w:tcPr>
          <w:p>
            <w:pPr>
              <w:spacing w:after="0" w:line="240" w:lineRule="auto"/>
              <w:jc w:val="center"/>
            </w:pPr>
            <w:r>
              <w:rPr>
                <w:b w:val="0"/>
                <w:sz w:val="21"/>
              </w:rPr>
              <w:t>135</w:t>
            </w:r>
          </w:p>
        </w:tc>
        <w:tc>
          <w:tcPr>
            <w:tcW w:type="dxa" w:w="2059"/>
            <w:vAlign w:val="center"/>
          </w:tcPr>
          <w:p>
            <w:pPr>
              <w:spacing w:after="0" w:line="240" w:lineRule="auto"/>
              <w:jc w:val="center"/>
            </w:pPr>
            <w:r>
              <w:rPr>
                <w:b w:val="0"/>
                <w:sz w:val="21"/>
              </w:rPr>
              <w:t>114</w:t>
            </w:r>
          </w:p>
        </w:tc>
        <w:tc>
          <w:tcPr>
            <w:tcW w:type="dxa" w:w="2074"/>
            <w:vAlign w:val="center"/>
          </w:tcPr>
          <w:p>
            <w:pPr>
              <w:spacing w:after="0" w:line="240" w:lineRule="auto"/>
              <w:jc w:val="center"/>
            </w:pPr>
            <w:r>
              <w:rPr>
                <w:b w:val="0"/>
                <w:sz w:val="21"/>
              </w:rPr>
              <w:t>29</w:t>
            </w:r>
          </w:p>
        </w:tc>
      </w:tr>
      <w:tr>
        <w:trPr>
          <w:cantSplit/>
        </w:trPr>
        <w:tc>
          <w:tcPr>
            <w:tcW w:type="dxa" w:w="3773"/>
            <w:vAlign w:val="center"/>
          </w:tcPr>
          <w:p>
            <w:pPr>
              <w:spacing w:after="0" w:line="240" w:lineRule="auto"/>
              <w:jc w:val="left"/>
            </w:pPr>
            <w:r>
              <w:rPr>
                <w:b w:val="0"/>
                <w:sz w:val="21"/>
              </w:rPr>
              <w:t>Age, years</w:t>
            </w:r>
          </w:p>
        </w:tc>
        <w:tc>
          <w:tcPr>
            <w:tcW w:type="dxa" w:w="2059"/>
            <w:vAlign w:val="center"/>
          </w:tcPr>
          <w:p>
            <w:pPr>
              <w:spacing w:after="0" w:line="240" w:lineRule="auto"/>
              <w:jc w:val="center"/>
            </w:pPr>
            <w:r>
              <w:rPr>
                <w:b w:val="0"/>
                <w:sz w:val="21"/>
              </w:rPr>
              <w:t>56.5 [49.0, 66.0]</w:t>
            </w:r>
          </w:p>
        </w:tc>
        <w:tc>
          <w:tcPr>
            <w:tcW w:type="dxa" w:w="2059"/>
            <w:vAlign w:val="center"/>
          </w:tcPr>
          <w:p>
            <w:pPr>
              <w:spacing w:after="0" w:line="240" w:lineRule="auto"/>
              <w:jc w:val="center"/>
            </w:pPr>
            <w:r>
              <w:rPr>
                <w:b w:val="0"/>
                <w:sz w:val="21"/>
              </w:rPr>
              <w:t>58.0 [50.0, 67.0]</w:t>
            </w:r>
          </w:p>
        </w:tc>
        <w:tc>
          <w:tcPr>
            <w:tcW w:type="dxa" w:w="2074"/>
            <w:vAlign w:val="center"/>
          </w:tcPr>
          <w:p>
            <w:pPr>
              <w:spacing w:after="0" w:line="240" w:lineRule="auto"/>
              <w:jc w:val="center"/>
            </w:pPr>
            <w:r>
              <w:rPr>
                <w:b w:val="0"/>
                <w:sz w:val="21"/>
              </w:rPr>
              <w:t>54.0 [48.0, 62.0]</w:t>
            </w:r>
          </w:p>
        </w:tc>
      </w:tr>
      <w:tr>
        <w:trPr>
          <w:cantSplit/>
        </w:trPr>
        <w:tc>
          <w:tcPr>
            <w:tcW w:type="dxa" w:w="3773"/>
            <w:vAlign w:val="center"/>
          </w:tcPr>
          <w:p>
            <w:pPr>
              <w:spacing w:after="0" w:line="240" w:lineRule="auto"/>
              <w:jc w:val="left"/>
            </w:pPr>
            <w:r>
              <w:rPr>
                <w:b w:val="0"/>
                <w:sz w:val="21"/>
              </w:rPr>
              <w:t>Male sex at birth</w:t>
            </w:r>
          </w:p>
        </w:tc>
        <w:tc>
          <w:tcPr>
            <w:tcW w:type="dxa" w:w="2059"/>
            <w:vAlign w:val="center"/>
          </w:tcPr>
          <w:p>
            <w:pPr>
              <w:spacing w:after="0" w:line="240" w:lineRule="auto"/>
              <w:jc w:val="center"/>
            </w:pPr>
            <w:r>
              <w:rPr>
                <w:b w:val="0"/>
                <w:sz w:val="21"/>
              </w:rPr>
              <w:t>132/182 (72.5%)</w:t>
            </w:r>
          </w:p>
        </w:tc>
        <w:tc>
          <w:tcPr>
            <w:tcW w:type="dxa" w:w="2059"/>
            <w:vAlign w:val="center"/>
          </w:tcPr>
          <w:p>
            <w:pPr>
              <w:spacing w:after="0" w:line="240" w:lineRule="auto"/>
              <w:jc w:val="center"/>
            </w:pPr>
            <w:r>
              <w:rPr>
                <w:b w:val="0"/>
                <w:sz w:val="21"/>
              </w:rPr>
              <w:t>105/141 (74.5%)</w:t>
            </w:r>
          </w:p>
        </w:tc>
        <w:tc>
          <w:tcPr>
            <w:tcW w:type="dxa" w:w="2074"/>
            <w:vAlign w:val="center"/>
          </w:tcPr>
          <w:p>
            <w:pPr>
              <w:spacing w:after="0" w:line="240" w:lineRule="auto"/>
              <w:jc w:val="center"/>
            </w:pPr>
            <w:r>
              <w:rPr>
                <w:b w:val="0"/>
                <w:sz w:val="21"/>
              </w:rPr>
              <w:t>27/41 (65.9%)</w:t>
            </w:r>
          </w:p>
        </w:tc>
      </w:tr>
      <w:tr>
        <w:trPr>
          <w:cantSplit/>
        </w:trPr>
        <w:tc>
          <w:tcPr>
            <w:tcW w:type="dxa" w:w="3773"/>
            <w:vAlign w:val="center"/>
          </w:tcPr>
          <w:p>
            <w:pPr>
              <w:spacing w:after="0" w:line="240" w:lineRule="auto"/>
              <w:jc w:val="left"/>
            </w:pPr>
            <w:r>
              <w:rPr>
                <w:b w:val="0"/>
                <w:sz w:val="21"/>
              </w:rPr>
              <w:t>Tumor-labeled examinations</w:t>
            </w:r>
          </w:p>
        </w:tc>
        <w:tc>
          <w:tcPr>
            <w:tcW w:type="dxa" w:w="2059"/>
            <w:vAlign w:val="center"/>
          </w:tcPr>
          <w:p>
            <w:pPr>
              <w:spacing w:after="0" w:line="240" w:lineRule="auto"/>
              <w:jc w:val="center"/>
            </w:pPr>
            <w:r>
              <w:rPr>
                <w:b w:val="0"/>
                <w:sz w:val="21"/>
              </w:rPr>
              <w:t>141/182 (77.5%)</w:t>
            </w:r>
          </w:p>
        </w:tc>
        <w:tc>
          <w:tcPr>
            <w:tcW w:type="dxa" w:w="2059"/>
            <w:vAlign w:val="center"/>
          </w:tcPr>
          <w:p>
            <w:pPr>
              <w:spacing w:after="0" w:line="240" w:lineRule="auto"/>
              <w:jc w:val="center"/>
            </w:pPr>
            <w:r>
              <w:rPr>
                <w:b w:val="0"/>
                <w:sz w:val="21"/>
              </w:rPr>
              <w:t>141/141 (100.0%)</w:t>
            </w:r>
          </w:p>
        </w:tc>
        <w:tc>
          <w:tcPr>
            <w:tcW w:type="dxa" w:w="2074"/>
            <w:vAlign w:val="center"/>
          </w:tcPr>
          <w:p>
            <w:pPr>
              <w:spacing w:after="0" w:line="240" w:lineRule="auto"/>
              <w:jc w:val="center"/>
            </w:pPr>
            <w:r>
              <w:rPr>
                <w:b w:val="0"/>
                <w:sz w:val="21"/>
              </w:rPr>
              <w:t>0/41 (0.0%)</w:t>
            </w:r>
          </w:p>
        </w:tc>
      </w:tr>
      <w:tr>
        <w:trPr>
          <w:cantSplit/>
        </w:trPr>
        <w:tc>
          <w:tcPr>
            <w:tcW w:type="dxa" w:w="3773"/>
            <w:vAlign w:val="center"/>
          </w:tcPr>
          <w:p>
            <w:pPr>
              <w:spacing w:after="0" w:line="240" w:lineRule="auto"/>
              <w:jc w:val="left"/>
            </w:pPr>
            <w:r>
              <w:rPr>
                <w:b w:val="0"/>
                <w:sz w:val="21"/>
              </w:rPr>
              <w:t>Treatment-related-change examinations</w:t>
            </w:r>
          </w:p>
        </w:tc>
        <w:tc>
          <w:tcPr>
            <w:tcW w:type="dxa" w:w="2059"/>
            <w:vAlign w:val="center"/>
          </w:tcPr>
          <w:p>
            <w:pPr>
              <w:spacing w:after="0" w:line="240" w:lineRule="auto"/>
              <w:jc w:val="center"/>
            </w:pPr>
            <w:r>
              <w:rPr>
                <w:b w:val="0"/>
                <w:sz w:val="21"/>
              </w:rPr>
              <w:t>41/182 (22.5%)</w:t>
            </w:r>
          </w:p>
        </w:tc>
        <w:tc>
          <w:tcPr>
            <w:tcW w:type="dxa" w:w="2059"/>
            <w:vAlign w:val="center"/>
          </w:tcPr>
          <w:p>
            <w:pPr>
              <w:spacing w:after="0" w:line="240" w:lineRule="auto"/>
              <w:jc w:val="center"/>
            </w:pPr>
            <w:r>
              <w:rPr>
                <w:b w:val="0"/>
                <w:sz w:val="21"/>
              </w:rPr>
              <w:t>0/141 (0.0%)</w:t>
            </w:r>
          </w:p>
        </w:tc>
        <w:tc>
          <w:tcPr>
            <w:tcW w:type="dxa" w:w="2074"/>
            <w:vAlign w:val="center"/>
          </w:tcPr>
          <w:p>
            <w:pPr>
              <w:spacing w:after="0" w:line="240" w:lineRule="auto"/>
              <w:jc w:val="center"/>
            </w:pPr>
            <w:r>
              <w:rPr>
                <w:b w:val="0"/>
                <w:sz w:val="21"/>
              </w:rPr>
              <w:t>41/41 (100.0%)</w:t>
            </w:r>
          </w:p>
        </w:tc>
      </w:tr>
      <w:tr>
        <w:trPr>
          <w:cantSplit/>
        </w:trPr>
        <w:tc>
          <w:tcPr>
            <w:tcW w:type="dxa" w:w="3773"/>
            <w:vAlign w:val="center"/>
          </w:tcPr>
          <w:p>
            <w:pPr>
              <w:spacing w:after="0" w:line="240" w:lineRule="auto"/>
              <w:jc w:val="left"/>
            </w:pPr>
            <w:r>
              <w:rPr>
                <w:b w:val="0"/>
                <w:sz w:val="21"/>
              </w:rPr>
              <w:t>Days since initial event (known only)</w:t>
            </w:r>
          </w:p>
        </w:tc>
        <w:tc>
          <w:tcPr>
            <w:tcW w:type="dxa" w:w="2059"/>
            <w:vAlign w:val="center"/>
          </w:tcPr>
          <w:p>
            <w:pPr>
              <w:spacing w:after="0" w:line="240" w:lineRule="auto"/>
              <w:jc w:val="center"/>
            </w:pPr>
            <w:r>
              <w:rPr>
                <w:b w:val="0"/>
                <w:sz w:val="21"/>
              </w:rPr>
              <w:t>154.0 [40.5, 359.5]</w:t>
            </w:r>
          </w:p>
        </w:tc>
        <w:tc>
          <w:tcPr>
            <w:tcW w:type="dxa" w:w="2059"/>
            <w:vAlign w:val="center"/>
          </w:tcPr>
          <w:p>
            <w:pPr>
              <w:spacing w:after="0" w:line="240" w:lineRule="auto"/>
              <w:jc w:val="center"/>
            </w:pPr>
            <w:r>
              <w:rPr>
                <w:b w:val="0"/>
                <w:sz w:val="21"/>
              </w:rPr>
              <w:t>96.0 [36.0, 261.8]</w:t>
            </w:r>
          </w:p>
        </w:tc>
        <w:tc>
          <w:tcPr>
            <w:tcW w:type="dxa" w:w="2074"/>
            <w:vAlign w:val="center"/>
          </w:tcPr>
          <w:p>
            <w:pPr>
              <w:spacing w:after="0" w:line="240" w:lineRule="auto"/>
              <w:jc w:val="center"/>
            </w:pPr>
            <w:r>
              <w:rPr>
                <w:b w:val="0"/>
                <w:sz w:val="21"/>
              </w:rPr>
              <w:t>346.0 [140.5, 563.2]</w:t>
            </w:r>
          </w:p>
        </w:tc>
      </w:tr>
      <w:tr>
        <w:trPr>
          <w:cantSplit/>
        </w:trPr>
        <w:tc>
          <w:tcPr>
            <w:tcW w:type="dxa" w:w="3773"/>
            <w:vAlign w:val="center"/>
          </w:tcPr>
          <w:p>
            <w:pPr>
              <w:spacing w:after="0" w:line="240" w:lineRule="auto"/>
              <w:jc w:val="left"/>
            </w:pPr>
            <w:r>
              <w:rPr>
                <w:b w:val="0"/>
                <w:sz w:val="21"/>
              </w:rPr>
              <w:t>Known interval</w:t>
            </w:r>
          </w:p>
        </w:tc>
        <w:tc>
          <w:tcPr>
            <w:tcW w:type="dxa" w:w="2059"/>
            <w:vAlign w:val="center"/>
          </w:tcPr>
          <w:p>
            <w:pPr>
              <w:spacing w:after="0" w:line="240" w:lineRule="auto"/>
              <w:jc w:val="center"/>
            </w:pPr>
            <w:r>
              <w:rPr>
                <w:b w:val="0"/>
                <w:sz w:val="21"/>
              </w:rPr>
              <w:t>146/182 (80.2%)</w:t>
            </w:r>
          </w:p>
        </w:tc>
        <w:tc>
          <w:tcPr>
            <w:tcW w:type="dxa" w:w="2059"/>
            <w:vAlign w:val="center"/>
          </w:tcPr>
          <w:p>
            <w:pPr>
              <w:spacing w:after="0" w:line="240" w:lineRule="auto"/>
              <w:jc w:val="center"/>
            </w:pPr>
            <w:r>
              <w:rPr>
                <w:b w:val="0"/>
                <w:sz w:val="21"/>
              </w:rPr>
              <w:t>108/141 (76.6%)</w:t>
            </w:r>
          </w:p>
        </w:tc>
        <w:tc>
          <w:tcPr>
            <w:tcW w:type="dxa" w:w="2074"/>
            <w:vAlign w:val="center"/>
          </w:tcPr>
          <w:p>
            <w:pPr>
              <w:spacing w:after="0" w:line="240" w:lineRule="auto"/>
              <w:jc w:val="center"/>
            </w:pPr>
            <w:r>
              <w:rPr>
                <w:b w:val="0"/>
                <w:sz w:val="21"/>
              </w:rPr>
              <w:t>38/41 (92.7%)</w:t>
            </w:r>
          </w:p>
        </w:tc>
      </w:tr>
      <w:tr>
        <w:trPr>
          <w:cantSplit/>
        </w:trPr>
        <w:tc>
          <w:tcPr>
            <w:tcW w:type="dxa" w:w="3773"/>
            <w:vAlign w:val="center"/>
          </w:tcPr>
          <w:p>
            <w:pPr>
              <w:spacing w:after="0" w:line="240" w:lineRule="auto"/>
              <w:jc w:val="left"/>
            </w:pPr>
            <w:r>
              <w:rPr>
                <w:b w:val="0"/>
                <w:sz w:val="21"/>
              </w:rPr>
              <w:t>Missing interval</w:t>
            </w:r>
          </w:p>
        </w:tc>
        <w:tc>
          <w:tcPr>
            <w:tcW w:type="dxa" w:w="2059"/>
            <w:vAlign w:val="center"/>
          </w:tcPr>
          <w:p>
            <w:pPr>
              <w:spacing w:after="0" w:line="240" w:lineRule="auto"/>
              <w:jc w:val="center"/>
            </w:pPr>
            <w:r>
              <w:rPr>
                <w:b w:val="0"/>
                <w:sz w:val="21"/>
              </w:rPr>
              <w:t>36/182 (19.8%)</w:t>
            </w:r>
          </w:p>
        </w:tc>
        <w:tc>
          <w:tcPr>
            <w:tcW w:type="dxa" w:w="2059"/>
            <w:vAlign w:val="center"/>
          </w:tcPr>
          <w:p>
            <w:pPr>
              <w:spacing w:after="0" w:line="240" w:lineRule="auto"/>
              <w:jc w:val="center"/>
            </w:pPr>
            <w:r>
              <w:rPr>
                <w:b w:val="0"/>
                <w:sz w:val="21"/>
              </w:rPr>
              <w:t>33/141 (23.4%)</w:t>
            </w:r>
          </w:p>
        </w:tc>
        <w:tc>
          <w:tcPr>
            <w:tcW w:type="dxa" w:w="2074"/>
            <w:vAlign w:val="center"/>
          </w:tcPr>
          <w:p>
            <w:pPr>
              <w:spacing w:after="0" w:line="240" w:lineRule="auto"/>
              <w:jc w:val="center"/>
            </w:pPr>
            <w:r>
              <w:rPr>
                <w:b w:val="0"/>
                <w:sz w:val="21"/>
              </w:rPr>
              <w:t>3/41 (7.3%)</w:t>
            </w:r>
          </w:p>
        </w:tc>
      </w:tr>
      <w:tr>
        <w:trPr>
          <w:cantSplit/>
        </w:trPr>
        <w:tc>
          <w:tcPr>
            <w:tcW w:type="dxa" w:w="3773"/>
            <w:vAlign w:val="center"/>
          </w:tcPr>
          <w:p>
            <w:pPr>
              <w:spacing w:after="0" w:line="240" w:lineRule="auto"/>
              <w:jc w:val="left"/>
            </w:pPr>
            <w:r>
              <w:rPr>
                <w:b w:val="0"/>
                <w:sz w:val="21"/>
              </w:rPr>
              <w:t>Other treatment before imaging</w:t>
            </w:r>
          </w:p>
        </w:tc>
        <w:tc>
          <w:tcPr>
            <w:tcW w:type="dxa" w:w="2059"/>
            <w:vAlign w:val="center"/>
          </w:tcPr>
          <w:p>
            <w:pPr>
              <w:spacing w:after="0" w:line="240" w:lineRule="auto"/>
              <w:jc w:val="center"/>
            </w:pPr>
            <w:r>
              <w:rPr>
                <w:b w:val="0"/>
                <w:sz w:val="21"/>
              </w:rPr>
              <w:t>25/182 (13.7%)</w:t>
            </w:r>
          </w:p>
        </w:tc>
        <w:tc>
          <w:tcPr>
            <w:tcW w:type="dxa" w:w="2059"/>
            <w:vAlign w:val="center"/>
          </w:tcPr>
          <w:p>
            <w:pPr>
              <w:spacing w:after="0" w:line="240" w:lineRule="auto"/>
              <w:jc w:val="center"/>
            </w:pPr>
            <w:r>
              <w:rPr>
                <w:b w:val="0"/>
                <w:sz w:val="21"/>
              </w:rPr>
              <w:t>20/141 (14.2%)</w:t>
            </w:r>
          </w:p>
        </w:tc>
        <w:tc>
          <w:tcPr>
            <w:tcW w:type="dxa" w:w="2074"/>
            <w:vAlign w:val="center"/>
          </w:tcPr>
          <w:p>
            <w:pPr>
              <w:spacing w:after="0" w:line="240" w:lineRule="auto"/>
              <w:jc w:val="center"/>
            </w:pPr>
            <w:r>
              <w:rPr>
                <w:b w:val="0"/>
                <w:sz w:val="21"/>
              </w:rPr>
              <w:t>5/41 (12.2%)</w:t>
            </w:r>
          </w:p>
        </w:tc>
      </w:tr>
    </w:tbl>
    <w:p>
      <w:pPr>
        <w:keepLines/>
        <w:spacing w:before="120" w:after="80"/>
      </w:pPr>
      <w:r>
        <w:rPr>
          <w:sz w:val="20"/>
        </w:rPr>
        <w:t>Values are counts or n/N (%), except continuous variables, which are median [Q1, Q3]. Percentages use the examination count in each column. Q1 and Q3 denote the first and third quartiles.</w:t>
      </w:r>
    </w:p>
    <w:p>
      <w:pPr>
        <w:keepLines/>
        <w:spacing w:before="120" w:after="80"/>
      </w:pPr>
      <w:r>
        <w:rPr>
          <w:sz w:val="20"/>
        </w:rPr>
        <w:t>Source-patient counts are deduplicated within each column; eight patients contributed examinations to both diagnostic categories. The initial event denotes the recorded initial surgery, treatment or diagnosis, not a uniform radiotherapy date. Interval summaries use known values without imputation.</w:t>
      </w:r>
    </w:p>
    <w:p>
      <w:pPr>
        <w:pStyle w:val="Heading1"/>
        <w:keepNext/>
        <w:pageBreakBefore/>
      </w:pPr>
      <w:r>
        <w:t>Table S1. Clinical characteristics by imaging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773"/>
        <w:gridCol w:w="2059"/>
        <w:gridCol w:w="2059"/>
        <w:gridCol w:w="2074"/>
      </w:tblGrid>
      <w:tr>
        <w:trPr>
          <w:cantSplit/>
          <w:tblHeader/>
        </w:trPr>
        <w:tc>
          <w:tcPr>
            <w:tcW w:type="dxa" w:w="3773"/>
            <w:vAlign w:val="center"/>
            <w:shd w:fill="E7EBEF"/>
          </w:tcPr>
          <w:p>
            <w:pPr>
              <w:spacing w:after="0" w:line="240" w:lineRule="auto"/>
              <w:jc w:val="left"/>
            </w:pPr>
            <w:r>
              <w:rPr>
                <w:b/>
                <w:sz w:val="21"/>
              </w:rPr>
              <w:t>Characteristic</w:t>
            </w:r>
          </w:p>
        </w:tc>
        <w:tc>
          <w:tcPr>
            <w:tcW w:type="dxa" w:w="2059"/>
            <w:vAlign w:val="center"/>
            <w:shd w:fill="E7EBEF"/>
          </w:tcPr>
          <w:p>
            <w:pPr>
              <w:spacing w:after="0" w:line="240" w:lineRule="auto"/>
              <w:jc w:val="center"/>
            </w:pPr>
            <w:r>
              <w:rPr>
                <w:b/>
                <w:sz w:val="21"/>
              </w:rPr>
              <w:t>Retained clinical cohort</w:t>
            </w:r>
          </w:p>
        </w:tc>
        <w:tc>
          <w:tcPr>
            <w:tcW w:type="dxa" w:w="2059"/>
            <w:vAlign w:val="center"/>
            <w:shd w:fill="E7EBEF"/>
          </w:tcPr>
          <w:p>
            <w:pPr>
              <w:spacing w:after="0" w:line="240" w:lineRule="auto"/>
              <w:jc w:val="center"/>
            </w:pPr>
            <w:r>
              <w:rPr>
                <w:b/>
                <w:sz w:val="21"/>
              </w:rPr>
              <w:t>Imaging coverage</w:t>
            </w:r>
          </w:p>
        </w:tc>
        <w:tc>
          <w:tcPr>
            <w:tcW w:type="dxa" w:w="2074"/>
            <w:vAlign w:val="center"/>
            <w:shd w:fill="E7EBEF"/>
          </w:tcPr>
          <w:p>
            <w:pPr>
              <w:spacing w:after="0" w:line="240" w:lineRule="auto"/>
              <w:jc w:val="center"/>
            </w:pPr>
            <w:r>
              <w:rPr>
                <w:b/>
                <w:sz w:val="21"/>
              </w:rPr>
              <w:t>No imaging coverage</w:t>
            </w:r>
          </w:p>
        </w:tc>
      </w:tr>
      <w:tr>
        <w:trPr>
          <w:cantSplit/>
        </w:trPr>
        <w:tc>
          <w:tcPr>
            <w:tcW w:type="dxa" w:w="3773"/>
            <w:vAlign w:val="center"/>
          </w:tcPr>
          <w:p>
            <w:pPr>
              <w:spacing w:after="0" w:line="240" w:lineRule="auto"/>
              <w:jc w:val="left"/>
            </w:pPr>
            <w:r>
              <w:rPr>
                <w:b w:val="0"/>
                <w:sz w:val="21"/>
              </w:rPr>
              <w:t>Examinations, n</w:t>
            </w:r>
          </w:p>
        </w:tc>
        <w:tc>
          <w:tcPr>
            <w:tcW w:type="dxa" w:w="2059"/>
            <w:vAlign w:val="center"/>
          </w:tcPr>
          <w:p>
            <w:pPr>
              <w:spacing w:after="0" w:line="240" w:lineRule="auto"/>
              <w:jc w:val="center"/>
            </w:pPr>
            <w:r>
              <w:rPr>
                <w:b w:val="0"/>
                <w:sz w:val="21"/>
              </w:rPr>
              <w:t>238</w:t>
            </w:r>
          </w:p>
        </w:tc>
        <w:tc>
          <w:tcPr>
            <w:tcW w:type="dxa" w:w="2059"/>
            <w:vAlign w:val="center"/>
          </w:tcPr>
          <w:p>
            <w:pPr>
              <w:spacing w:after="0" w:line="240" w:lineRule="auto"/>
              <w:jc w:val="center"/>
            </w:pPr>
            <w:r>
              <w:rPr>
                <w:b w:val="0"/>
                <w:sz w:val="21"/>
              </w:rPr>
              <w:t>182</w:t>
            </w:r>
          </w:p>
        </w:tc>
        <w:tc>
          <w:tcPr>
            <w:tcW w:type="dxa" w:w="2074"/>
            <w:vAlign w:val="center"/>
          </w:tcPr>
          <w:p>
            <w:pPr>
              <w:spacing w:after="0" w:line="240" w:lineRule="auto"/>
              <w:jc w:val="center"/>
            </w:pPr>
            <w:r>
              <w:rPr>
                <w:b w:val="0"/>
                <w:sz w:val="21"/>
              </w:rPr>
              <w:t>56</w:t>
            </w:r>
          </w:p>
        </w:tc>
      </w:tr>
      <w:tr>
        <w:trPr>
          <w:cantSplit/>
        </w:trPr>
        <w:tc>
          <w:tcPr>
            <w:tcW w:type="dxa" w:w="3773"/>
            <w:vAlign w:val="center"/>
          </w:tcPr>
          <w:p>
            <w:pPr>
              <w:spacing w:after="0" w:line="240" w:lineRule="auto"/>
              <w:jc w:val="left"/>
            </w:pPr>
            <w:r>
              <w:rPr>
                <w:b w:val="0"/>
                <w:sz w:val="21"/>
              </w:rPr>
              <w:t>Unique source patients, n</w:t>
            </w:r>
          </w:p>
        </w:tc>
        <w:tc>
          <w:tcPr>
            <w:tcW w:type="dxa" w:w="2059"/>
            <w:vAlign w:val="center"/>
          </w:tcPr>
          <w:p>
            <w:pPr>
              <w:spacing w:after="0" w:line="240" w:lineRule="auto"/>
              <w:jc w:val="center"/>
            </w:pPr>
            <w:r>
              <w:rPr>
                <w:b w:val="0"/>
                <w:sz w:val="21"/>
              </w:rPr>
              <w:t>176</w:t>
            </w:r>
          </w:p>
        </w:tc>
        <w:tc>
          <w:tcPr>
            <w:tcW w:type="dxa" w:w="2059"/>
            <w:vAlign w:val="center"/>
          </w:tcPr>
          <w:p>
            <w:pPr>
              <w:spacing w:after="0" w:line="240" w:lineRule="auto"/>
              <w:jc w:val="center"/>
            </w:pPr>
            <w:r>
              <w:rPr>
                <w:b w:val="0"/>
                <w:sz w:val="21"/>
              </w:rPr>
              <w:t>135</w:t>
            </w:r>
          </w:p>
        </w:tc>
        <w:tc>
          <w:tcPr>
            <w:tcW w:type="dxa" w:w="2074"/>
            <w:vAlign w:val="center"/>
          </w:tcPr>
          <w:p>
            <w:pPr>
              <w:spacing w:after="0" w:line="240" w:lineRule="auto"/>
              <w:jc w:val="center"/>
            </w:pPr>
            <w:r>
              <w:rPr>
                <w:b w:val="0"/>
                <w:sz w:val="21"/>
              </w:rPr>
              <w:t>41</w:t>
            </w:r>
          </w:p>
        </w:tc>
      </w:tr>
      <w:tr>
        <w:trPr>
          <w:cantSplit/>
        </w:trPr>
        <w:tc>
          <w:tcPr>
            <w:tcW w:type="dxa" w:w="3773"/>
            <w:vAlign w:val="center"/>
          </w:tcPr>
          <w:p>
            <w:pPr>
              <w:spacing w:after="0" w:line="240" w:lineRule="auto"/>
              <w:jc w:val="left"/>
            </w:pPr>
            <w:r>
              <w:rPr>
                <w:b w:val="0"/>
                <w:sz w:val="21"/>
              </w:rPr>
              <w:t>Age, years</w:t>
            </w:r>
          </w:p>
        </w:tc>
        <w:tc>
          <w:tcPr>
            <w:tcW w:type="dxa" w:w="2059"/>
            <w:vAlign w:val="center"/>
          </w:tcPr>
          <w:p>
            <w:pPr>
              <w:spacing w:after="0" w:line="240" w:lineRule="auto"/>
              <w:jc w:val="center"/>
            </w:pPr>
            <w:r>
              <w:rPr>
                <w:b w:val="0"/>
                <w:sz w:val="21"/>
              </w:rPr>
              <w:t>56.0 [47.0, 64.8]</w:t>
            </w:r>
          </w:p>
        </w:tc>
        <w:tc>
          <w:tcPr>
            <w:tcW w:type="dxa" w:w="2059"/>
            <w:vAlign w:val="center"/>
          </w:tcPr>
          <w:p>
            <w:pPr>
              <w:spacing w:after="0" w:line="240" w:lineRule="auto"/>
              <w:jc w:val="center"/>
            </w:pPr>
            <w:r>
              <w:rPr>
                <w:b w:val="0"/>
                <w:sz w:val="21"/>
              </w:rPr>
              <w:t>56.5 [49.0, 66.0]</w:t>
            </w:r>
          </w:p>
        </w:tc>
        <w:tc>
          <w:tcPr>
            <w:tcW w:type="dxa" w:w="2074"/>
            <w:vAlign w:val="center"/>
          </w:tcPr>
          <w:p>
            <w:pPr>
              <w:spacing w:after="0" w:line="240" w:lineRule="auto"/>
              <w:jc w:val="center"/>
            </w:pPr>
            <w:r>
              <w:rPr>
                <w:b w:val="0"/>
                <w:sz w:val="21"/>
              </w:rPr>
              <w:t>53.5 [45.0, 62.0]</w:t>
            </w:r>
          </w:p>
        </w:tc>
      </w:tr>
      <w:tr>
        <w:trPr>
          <w:cantSplit/>
        </w:trPr>
        <w:tc>
          <w:tcPr>
            <w:tcW w:type="dxa" w:w="3773"/>
            <w:vAlign w:val="center"/>
          </w:tcPr>
          <w:p>
            <w:pPr>
              <w:spacing w:after="0" w:line="240" w:lineRule="auto"/>
              <w:jc w:val="left"/>
            </w:pPr>
            <w:r>
              <w:rPr>
                <w:b w:val="0"/>
                <w:sz w:val="21"/>
              </w:rPr>
              <w:t>Male sex at birth</w:t>
            </w:r>
          </w:p>
        </w:tc>
        <w:tc>
          <w:tcPr>
            <w:tcW w:type="dxa" w:w="2059"/>
            <w:vAlign w:val="center"/>
          </w:tcPr>
          <w:p>
            <w:pPr>
              <w:spacing w:after="0" w:line="240" w:lineRule="auto"/>
              <w:jc w:val="center"/>
            </w:pPr>
            <w:r>
              <w:rPr>
                <w:b w:val="0"/>
                <w:sz w:val="21"/>
              </w:rPr>
              <w:t>166/238 (69.7%)</w:t>
            </w:r>
          </w:p>
        </w:tc>
        <w:tc>
          <w:tcPr>
            <w:tcW w:type="dxa" w:w="2059"/>
            <w:vAlign w:val="center"/>
          </w:tcPr>
          <w:p>
            <w:pPr>
              <w:spacing w:after="0" w:line="240" w:lineRule="auto"/>
              <w:jc w:val="center"/>
            </w:pPr>
            <w:r>
              <w:rPr>
                <w:b w:val="0"/>
                <w:sz w:val="21"/>
              </w:rPr>
              <w:t>132/182 (72.5%)</w:t>
            </w:r>
          </w:p>
        </w:tc>
        <w:tc>
          <w:tcPr>
            <w:tcW w:type="dxa" w:w="2074"/>
            <w:vAlign w:val="center"/>
          </w:tcPr>
          <w:p>
            <w:pPr>
              <w:spacing w:after="0" w:line="240" w:lineRule="auto"/>
              <w:jc w:val="center"/>
            </w:pPr>
            <w:r>
              <w:rPr>
                <w:b w:val="0"/>
                <w:sz w:val="21"/>
              </w:rPr>
              <w:t>34/56 (60.7%)</w:t>
            </w:r>
          </w:p>
        </w:tc>
      </w:tr>
      <w:tr>
        <w:trPr>
          <w:cantSplit/>
        </w:trPr>
        <w:tc>
          <w:tcPr>
            <w:tcW w:type="dxa" w:w="3773"/>
            <w:vAlign w:val="center"/>
          </w:tcPr>
          <w:p>
            <w:pPr>
              <w:spacing w:after="0" w:line="240" w:lineRule="auto"/>
              <w:jc w:val="left"/>
            </w:pPr>
            <w:r>
              <w:rPr>
                <w:b w:val="0"/>
                <w:sz w:val="21"/>
              </w:rPr>
              <w:t>Tumor-labeled examinations</w:t>
            </w:r>
          </w:p>
        </w:tc>
        <w:tc>
          <w:tcPr>
            <w:tcW w:type="dxa" w:w="2059"/>
            <w:vAlign w:val="center"/>
          </w:tcPr>
          <w:p>
            <w:pPr>
              <w:spacing w:after="0" w:line="240" w:lineRule="auto"/>
              <w:jc w:val="center"/>
            </w:pPr>
            <w:r>
              <w:rPr>
                <w:b w:val="0"/>
                <w:sz w:val="21"/>
              </w:rPr>
              <w:t>187/238 (78.6%)</w:t>
            </w:r>
          </w:p>
        </w:tc>
        <w:tc>
          <w:tcPr>
            <w:tcW w:type="dxa" w:w="2059"/>
            <w:vAlign w:val="center"/>
          </w:tcPr>
          <w:p>
            <w:pPr>
              <w:spacing w:after="0" w:line="240" w:lineRule="auto"/>
              <w:jc w:val="center"/>
            </w:pPr>
            <w:r>
              <w:rPr>
                <w:b w:val="0"/>
                <w:sz w:val="21"/>
              </w:rPr>
              <w:t>141/182 (77.5%)</w:t>
            </w:r>
          </w:p>
        </w:tc>
        <w:tc>
          <w:tcPr>
            <w:tcW w:type="dxa" w:w="2074"/>
            <w:vAlign w:val="center"/>
          </w:tcPr>
          <w:p>
            <w:pPr>
              <w:spacing w:after="0" w:line="240" w:lineRule="auto"/>
              <w:jc w:val="center"/>
            </w:pPr>
            <w:r>
              <w:rPr>
                <w:b w:val="0"/>
                <w:sz w:val="21"/>
              </w:rPr>
              <w:t>46/56 (82.1%)</w:t>
            </w:r>
          </w:p>
        </w:tc>
      </w:tr>
      <w:tr>
        <w:trPr>
          <w:cantSplit/>
        </w:trPr>
        <w:tc>
          <w:tcPr>
            <w:tcW w:type="dxa" w:w="3773"/>
            <w:vAlign w:val="center"/>
          </w:tcPr>
          <w:p>
            <w:pPr>
              <w:spacing w:after="0" w:line="240" w:lineRule="auto"/>
              <w:jc w:val="left"/>
            </w:pPr>
            <w:r>
              <w:rPr>
                <w:b w:val="0"/>
                <w:sz w:val="21"/>
              </w:rPr>
              <w:t>Treatment-related-change examinations</w:t>
            </w:r>
          </w:p>
        </w:tc>
        <w:tc>
          <w:tcPr>
            <w:tcW w:type="dxa" w:w="2059"/>
            <w:vAlign w:val="center"/>
          </w:tcPr>
          <w:p>
            <w:pPr>
              <w:spacing w:after="0" w:line="240" w:lineRule="auto"/>
              <w:jc w:val="center"/>
            </w:pPr>
            <w:r>
              <w:rPr>
                <w:b w:val="0"/>
                <w:sz w:val="21"/>
              </w:rPr>
              <w:t>51/238 (21.4%)</w:t>
            </w:r>
          </w:p>
        </w:tc>
        <w:tc>
          <w:tcPr>
            <w:tcW w:type="dxa" w:w="2059"/>
            <w:vAlign w:val="center"/>
          </w:tcPr>
          <w:p>
            <w:pPr>
              <w:spacing w:after="0" w:line="240" w:lineRule="auto"/>
              <w:jc w:val="center"/>
            </w:pPr>
            <w:r>
              <w:rPr>
                <w:b w:val="0"/>
                <w:sz w:val="21"/>
              </w:rPr>
              <w:t>41/182 (22.5%)</w:t>
            </w:r>
          </w:p>
        </w:tc>
        <w:tc>
          <w:tcPr>
            <w:tcW w:type="dxa" w:w="2074"/>
            <w:vAlign w:val="center"/>
          </w:tcPr>
          <w:p>
            <w:pPr>
              <w:spacing w:after="0" w:line="240" w:lineRule="auto"/>
              <w:jc w:val="center"/>
            </w:pPr>
            <w:r>
              <w:rPr>
                <w:b w:val="0"/>
                <w:sz w:val="21"/>
              </w:rPr>
              <w:t>10/56 (17.9%)</w:t>
            </w:r>
          </w:p>
        </w:tc>
      </w:tr>
      <w:tr>
        <w:trPr>
          <w:cantSplit/>
        </w:trPr>
        <w:tc>
          <w:tcPr>
            <w:tcW w:type="dxa" w:w="3773"/>
            <w:vAlign w:val="center"/>
          </w:tcPr>
          <w:p>
            <w:pPr>
              <w:spacing w:after="0" w:line="240" w:lineRule="auto"/>
              <w:jc w:val="left"/>
            </w:pPr>
            <w:r>
              <w:rPr>
                <w:b w:val="0"/>
                <w:sz w:val="21"/>
              </w:rPr>
              <w:t>Days since initial event (known only)</w:t>
            </w:r>
          </w:p>
        </w:tc>
        <w:tc>
          <w:tcPr>
            <w:tcW w:type="dxa" w:w="2059"/>
            <w:vAlign w:val="center"/>
          </w:tcPr>
          <w:p>
            <w:pPr>
              <w:spacing w:after="0" w:line="240" w:lineRule="auto"/>
              <w:jc w:val="center"/>
            </w:pPr>
            <w:r>
              <w:rPr>
                <w:b w:val="0"/>
                <w:sz w:val="21"/>
              </w:rPr>
              <w:t>153.5 [37.0, 364.2]</w:t>
            </w:r>
          </w:p>
        </w:tc>
        <w:tc>
          <w:tcPr>
            <w:tcW w:type="dxa" w:w="2059"/>
            <w:vAlign w:val="center"/>
          </w:tcPr>
          <w:p>
            <w:pPr>
              <w:spacing w:after="0" w:line="240" w:lineRule="auto"/>
              <w:jc w:val="center"/>
            </w:pPr>
            <w:r>
              <w:rPr>
                <w:b w:val="0"/>
                <w:sz w:val="21"/>
              </w:rPr>
              <w:t>154.0 [40.5, 359.5]</w:t>
            </w:r>
          </w:p>
        </w:tc>
        <w:tc>
          <w:tcPr>
            <w:tcW w:type="dxa" w:w="2074"/>
            <w:vAlign w:val="center"/>
          </w:tcPr>
          <w:p>
            <w:pPr>
              <w:spacing w:after="0" w:line="240" w:lineRule="auto"/>
              <w:jc w:val="center"/>
            </w:pPr>
            <w:r>
              <w:rPr>
                <w:b w:val="0"/>
                <w:sz w:val="21"/>
              </w:rPr>
              <w:t>153.0 [33.5, 439.2]</w:t>
            </w:r>
          </w:p>
        </w:tc>
      </w:tr>
      <w:tr>
        <w:trPr>
          <w:cantSplit/>
        </w:trPr>
        <w:tc>
          <w:tcPr>
            <w:tcW w:type="dxa" w:w="3773"/>
            <w:vAlign w:val="center"/>
          </w:tcPr>
          <w:p>
            <w:pPr>
              <w:spacing w:after="0" w:line="240" w:lineRule="auto"/>
              <w:jc w:val="left"/>
            </w:pPr>
            <w:r>
              <w:rPr>
                <w:b w:val="0"/>
                <w:sz w:val="21"/>
              </w:rPr>
              <w:t>Known interval</w:t>
            </w:r>
          </w:p>
        </w:tc>
        <w:tc>
          <w:tcPr>
            <w:tcW w:type="dxa" w:w="2059"/>
            <w:vAlign w:val="center"/>
          </w:tcPr>
          <w:p>
            <w:pPr>
              <w:spacing w:after="0" w:line="240" w:lineRule="auto"/>
              <w:jc w:val="center"/>
            </w:pPr>
            <w:r>
              <w:rPr>
                <w:b w:val="0"/>
                <w:sz w:val="21"/>
              </w:rPr>
              <w:t>192/238 (80.7%)</w:t>
            </w:r>
          </w:p>
        </w:tc>
        <w:tc>
          <w:tcPr>
            <w:tcW w:type="dxa" w:w="2059"/>
            <w:vAlign w:val="center"/>
          </w:tcPr>
          <w:p>
            <w:pPr>
              <w:spacing w:after="0" w:line="240" w:lineRule="auto"/>
              <w:jc w:val="center"/>
            </w:pPr>
            <w:r>
              <w:rPr>
                <w:b w:val="0"/>
                <w:sz w:val="21"/>
              </w:rPr>
              <w:t>146/182 (80.2%)</w:t>
            </w:r>
          </w:p>
        </w:tc>
        <w:tc>
          <w:tcPr>
            <w:tcW w:type="dxa" w:w="2074"/>
            <w:vAlign w:val="center"/>
          </w:tcPr>
          <w:p>
            <w:pPr>
              <w:spacing w:after="0" w:line="240" w:lineRule="auto"/>
              <w:jc w:val="center"/>
            </w:pPr>
            <w:r>
              <w:rPr>
                <w:b w:val="0"/>
                <w:sz w:val="21"/>
              </w:rPr>
              <w:t>46/56 (82.1%)</w:t>
            </w:r>
          </w:p>
        </w:tc>
      </w:tr>
      <w:tr>
        <w:trPr>
          <w:cantSplit/>
        </w:trPr>
        <w:tc>
          <w:tcPr>
            <w:tcW w:type="dxa" w:w="3773"/>
            <w:vAlign w:val="center"/>
          </w:tcPr>
          <w:p>
            <w:pPr>
              <w:spacing w:after="0" w:line="240" w:lineRule="auto"/>
              <w:jc w:val="left"/>
            </w:pPr>
            <w:r>
              <w:rPr>
                <w:b w:val="0"/>
                <w:sz w:val="21"/>
              </w:rPr>
              <w:t>Missing interval</w:t>
            </w:r>
          </w:p>
        </w:tc>
        <w:tc>
          <w:tcPr>
            <w:tcW w:type="dxa" w:w="2059"/>
            <w:vAlign w:val="center"/>
          </w:tcPr>
          <w:p>
            <w:pPr>
              <w:spacing w:after="0" w:line="240" w:lineRule="auto"/>
              <w:jc w:val="center"/>
            </w:pPr>
            <w:r>
              <w:rPr>
                <w:b w:val="0"/>
                <w:sz w:val="21"/>
              </w:rPr>
              <w:t>46/238 (19.3%)</w:t>
            </w:r>
          </w:p>
        </w:tc>
        <w:tc>
          <w:tcPr>
            <w:tcW w:type="dxa" w:w="2059"/>
            <w:vAlign w:val="center"/>
          </w:tcPr>
          <w:p>
            <w:pPr>
              <w:spacing w:after="0" w:line="240" w:lineRule="auto"/>
              <w:jc w:val="center"/>
            </w:pPr>
            <w:r>
              <w:rPr>
                <w:b w:val="0"/>
                <w:sz w:val="21"/>
              </w:rPr>
              <w:t>36/182 (19.8%)</w:t>
            </w:r>
          </w:p>
        </w:tc>
        <w:tc>
          <w:tcPr>
            <w:tcW w:type="dxa" w:w="2074"/>
            <w:vAlign w:val="center"/>
          </w:tcPr>
          <w:p>
            <w:pPr>
              <w:spacing w:after="0" w:line="240" w:lineRule="auto"/>
              <w:jc w:val="center"/>
            </w:pPr>
            <w:r>
              <w:rPr>
                <w:b w:val="0"/>
                <w:sz w:val="21"/>
              </w:rPr>
              <w:t>10/56 (17.9%)</w:t>
            </w:r>
          </w:p>
        </w:tc>
      </w:tr>
      <w:tr>
        <w:trPr>
          <w:cantSplit/>
        </w:trPr>
        <w:tc>
          <w:tcPr>
            <w:tcW w:type="dxa" w:w="3773"/>
            <w:vAlign w:val="center"/>
          </w:tcPr>
          <w:p>
            <w:pPr>
              <w:spacing w:after="0" w:line="240" w:lineRule="auto"/>
              <w:jc w:val="left"/>
            </w:pPr>
            <w:r>
              <w:rPr>
                <w:b w:val="0"/>
                <w:sz w:val="21"/>
              </w:rPr>
              <w:t>Other treatment before imaging</w:t>
            </w:r>
          </w:p>
        </w:tc>
        <w:tc>
          <w:tcPr>
            <w:tcW w:type="dxa" w:w="2059"/>
            <w:vAlign w:val="center"/>
          </w:tcPr>
          <w:p>
            <w:pPr>
              <w:spacing w:after="0" w:line="240" w:lineRule="auto"/>
              <w:jc w:val="center"/>
            </w:pPr>
            <w:r>
              <w:rPr>
                <w:b w:val="0"/>
                <w:sz w:val="21"/>
              </w:rPr>
              <w:t>38/238 (16.0%)</w:t>
            </w:r>
          </w:p>
        </w:tc>
        <w:tc>
          <w:tcPr>
            <w:tcW w:type="dxa" w:w="2059"/>
            <w:vAlign w:val="center"/>
          </w:tcPr>
          <w:p>
            <w:pPr>
              <w:spacing w:after="0" w:line="240" w:lineRule="auto"/>
              <w:jc w:val="center"/>
            </w:pPr>
            <w:r>
              <w:rPr>
                <w:b w:val="0"/>
                <w:sz w:val="21"/>
              </w:rPr>
              <w:t>25/182 (13.7%)</w:t>
            </w:r>
          </w:p>
        </w:tc>
        <w:tc>
          <w:tcPr>
            <w:tcW w:type="dxa" w:w="2074"/>
            <w:vAlign w:val="center"/>
          </w:tcPr>
          <w:p>
            <w:pPr>
              <w:spacing w:after="0" w:line="240" w:lineRule="auto"/>
              <w:jc w:val="center"/>
            </w:pPr>
            <w:r>
              <w:rPr>
                <w:b w:val="0"/>
                <w:sz w:val="21"/>
              </w:rPr>
              <w:t>13/56 (23.2%)</w:t>
            </w:r>
          </w:p>
        </w:tc>
      </w:tr>
    </w:tbl>
    <w:p>
      <w:pPr>
        <w:keepLines/>
        <w:spacing w:before="120" w:after="80"/>
      </w:pPr>
      <w:r>
        <w:rPr>
          <w:sz w:val="20"/>
        </w:rPr>
        <w:t>Values are counts or n/N (%), except continuous variables, which are median [Q1, Q3]. Percentages use the examination count in each column. Q1 and Q3 denote the first and third quartiles.</w:t>
      </w:r>
    </w:p>
    <w:p>
      <w:pPr>
        <w:keepLines/>
        <w:spacing w:before="120" w:after="80"/>
      </w:pPr>
      <w:r>
        <w:rPr>
          <w:sz w:val="20"/>
        </w:rPr>
        <w:t>Coverage refers to the accessed image mirror. The 135 patients with coverage and 41 without coverage do not overlap in this cohort. The initial event denotes recorded surgery, treatment or diagnosis; interval summaries use known values without imputation. No between-group significance tests were performed.</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3.2 Clinical characteristics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