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写作要求理解与修订大纲 V2</w:t>
      </w:r>
    </w:p>
    <w:p>
      <w:r>
        <w:t>胶质瘤治疗后鉴别研究  2026年10月29日</w:t>
      </w:r>
    </w:p>
    <w:p>
      <w:r>
        <w:t>本版依据合作者提供的3页编辑部要求、Word通用模板及补充的篇幅/文献要求，调整第21步写作大纲。研究目标、队列、输入、模型与主结果沿用已完成分析。</w:t>
      </w:r>
    </w:p>
    <w:p>
      <w:pPr>
        <w:pStyle w:val="Heading1"/>
      </w:pPr>
      <w:r>
        <w:t>关键执行规则</w:t>
      </w:r>
    </w:p>
    <w:p>
      <w:r>
        <w:rPr>
          <w:b/>
        </w:rPr>
        <w:t>篇幅：</w:t>
      </w:r>
      <w:r>
        <w:t>英文正文以约8,000词为目标，尽量不超过10,000词。方法与讨论扩充已有流程、证据比较和局限，不以重复背景增加篇幅。</w:t>
      </w:r>
    </w:p>
    <w:p>
      <w:r>
        <w:rPr>
          <w:b/>
        </w:rPr>
        <w:t>计数口径：</w:t>
      </w:r>
      <w:r>
        <w:t>先按模板链接的正文口径规划，摘要、图表注释、表内容、参考文献、声明、补充材料与中文译文另计。最终同时给出正文及全稿英文词数，便于按合作者口径调整。</w:t>
      </w:r>
    </w:p>
    <w:p>
      <w:r>
        <w:rPr>
          <w:b/>
        </w:rPr>
        <w:t>文献：</w:t>
      </w:r>
      <w:r>
        <w:t>至少25篇；先按40篇规划，其中至少37篇为近5年英文文献、至少25篇为近3年英文文献，分别为92.5%及62.5%。这是待完成的检索目标。</w:t>
      </w:r>
    </w:p>
    <w:p>
      <w:r>
        <w:rPr>
          <w:b/>
        </w:rPr>
        <w:t>时间窗口：</w:t>
      </w:r>
      <w:r>
        <w:t>按2026年写作年暂取2022至2026年和2024至2026年；以核实的正式发表日期记录，存在在线与卷期日期时均保留。投稿年份变化后重新核对。</w:t>
      </w:r>
    </w:p>
    <w:p>
      <w:r>
        <w:rPr>
          <w:b/>
        </w:rPr>
        <w:t>语言：</w:t>
      </w:r>
      <w:r>
        <w:t>对照审阅稿每个英文段落后附对应中文译文；投稿稿仅英文。图表及其题目与注释仅英文，英文区域不混入汉字或中文标点。</w:t>
      </w:r>
    </w:p>
    <w:p>
      <w:r>
        <w:rPr>
          <w:b/>
        </w:rPr>
        <w:t>模板：</w:t>
      </w:r>
      <w:r>
        <w:t>识别为Frontiers通用格式模板，先用于版式与栏目约束。没有据此选定具体期刊；正式投稿前再核对目标期刊和文章类型要求。</w:t>
      </w:r>
    </w:p>
    <w:p>
      <w:r>
        <w:t>目前没有影响大纲调整的阻塞问题。8,000词的计数范围为可调整假定；如果合作者指包括参考文献在内的全部英文内容，需要相应缩减正文预算。</w:t>
      </w:r>
    </w:p>
    <w:p>
      <w:pPr>
        <w:pStyle w:val="Heading1"/>
        <w:pageBreakBefore/>
      </w:pPr>
      <w:r>
        <w:t>1  编辑部八项要求的落实</w:t>
      </w:r>
    </w:p>
    <w:p>
      <w:pPr>
        <w:pStyle w:val="Heading2"/>
      </w:pPr>
      <w:r>
        <w:t>P1  使用通用模板并保持标题逻辑</w:t>
      </w:r>
    </w:p>
    <w:p>
      <w:r>
        <w:t>使用Title和分级Heading样式；引言无小标题，方法/结果分组标题对应流程。</w:t>
      </w:r>
    </w:p>
    <w:p>
      <w:r>
        <w:rPr>
          <w:sz w:val="19"/>
        </w:rPr>
        <w:t>来源：PDF p1, item 1</w:t>
      </w:r>
    </w:p>
    <w:p>
      <w:pPr>
        <w:pStyle w:val="Heading2"/>
      </w:pPr>
      <w:r>
        <w:t>P2  正文清楚引用每幅图和每张表</w:t>
      </w:r>
    </w:p>
    <w:p>
      <w:r>
        <w:t>建立首次出现顺序清单，主文图表与补充图表分别编号并逐一对应。</w:t>
      </w:r>
    </w:p>
    <w:p>
      <w:r>
        <w:rPr>
          <w:sz w:val="19"/>
        </w:rPr>
        <w:t>来源：PDF p1, item 2</w:t>
      </w:r>
    </w:p>
    <w:p>
      <w:pPr>
        <w:pStyle w:val="Heading2"/>
      </w:pPr>
      <w:r>
        <w:t>P3  英文稿中不出现中文字符</w:t>
      </w:r>
    </w:p>
    <w:p>
      <w:r>
        <w:t>纯英文投稿版扫描汉字及中文标点；中文仅在对照审阅稿的译文区域保留。</w:t>
      </w:r>
    </w:p>
    <w:p>
      <w:r>
        <w:rPr>
          <w:sz w:val="19"/>
        </w:rPr>
        <w:t>来源：PDF p1, item 3</w:t>
      </w:r>
    </w:p>
    <w:p>
      <w:pPr>
        <w:pStyle w:val="Heading2"/>
      </w:pPr>
      <w:r>
        <w:t>P4  英文标点及空格规范</w:t>
      </w:r>
    </w:p>
    <w:p>
      <w:r>
        <w:t>常规逗号、句号等紧跟前词，后接一个空格；小数、缩写、DOI及数学运算按各自规则。</w:t>
      </w:r>
    </w:p>
    <w:p>
      <w:r>
        <w:rPr>
          <w:sz w:val="19"/>
        </w:rPr>
        <w:t>来源：PDF p2, item 4</w:t>
      </w:r>
    </w:p>
    <w:p>
      <w:pPr>
        <w:pStyle w:val="Heading2"/>
      </w:pPr>
      <w:r>
        <w:t>P5  行内与独立公式规范</w:t>
      </w:r>
    </w:p>
    <w:p>
      <w:r>
        <w:t>Word公式编辑器的可编辑对象；上下标、希腊符号、变量和公式编号统一，不能用普通文字拼装。</w:t>
      </w:r>
    </w:p>
    <w:p>
      <w:r>
        <w:rPr>
          <w:sz w:val="19"/>
        </w:rPr>
        <w:t>来源：PDF p2, item 5</w:t>
      </w:r>
    </w:p>
    <w:p>
      <w:pPr>
        <w:pStyle w:val="Heading2"/>
      </w:pPr>
      <w:r>
        <w:t>P6  翻译后核对语法</w:t>
      </w:r>
    </w:p>
    <w:p>
      <w:r>
        <w:t>先按英文论文逻辑写作，再逐段忠实中译，核对术语、数值、否定和不确定性。</w:t>
      </w:r>
    </w:p>
    <w:p>
      <w:r>
        <w:rPr>
          <w:sz w:val="19"/>
        </w:rPr>
        <w:t>来源：PDF p2-p3, item 6</w:t>
      </w:r>
    </w:p>
    <w:p>
      <w:pPr>
        <w:pStyle w:val="Heading2"/>
      </w:pPr>
      <w:r>
        <w:t>P7  图片清晰可见</w:t>
      </w:r>
    </w:p>
    <w:p>
      <w:r>
        <w:t>沿用真实数据图的600 dpi及矢量格式，并检查最终尺寸下文字可读；不以提高dpi掩盖模糊。</w:t>
      </w:r>
    </w:p>
    <w:p>
      <w:r>
        <w:rPr>
          <w:sz w:val="19"/>
        </w:rPr>
        <w:t>来源：PDF p3, item 7</w:t>
      </w:r>
    </w:p>
    <w:p>
      <w:pPr>
        <w:pStyle w:val="Heading2"/>
      </w:pPr>
      <w:r>
        <w:t>P8  参考文献格式和顺序一致</w:t>
      </w:r>
    </w:p>
    <w:p>
      <w:r>
        <w:t>按医学模板先采用Vancouver数字引文与出现顺序；目标期刊确定后统一具体标点。</w:t>
      </w:r>
    </w:p>
    <w:p>
      <w:r>
        <w:rPr>
          <w:sz w:val="19"/>
        </w:rPr>
        <w:t>来源：PDF p3, item 8</w:t>
      </w:r>
    </w:p>
    <w:p>
      <w:pPr>
        <w:pStyle w:val="Heading1"/>
        <w:pageBreakBefore/>
      </w:pPr>
      <w:r>
        <w:t>2  Word模板的适用规则</w:t>
      </w:r>
    </w:p>
    <w:p>
      <w:pPr>
        <w:pStyle w:val="Heading2"/>
      </w:pPr>
      <w:r>
        <w:t>T1  Title and author block</w:t>
      </w:r>
    </w:p>
    <w:p>
      <w:r>
        <w:t>题名、作者、单位、通讯信息按实际资料填写；示例作者和邮箱全部清理。</w:t>
      </w:r>
    </w:p>
    <w:p>
      <w:pPr>
        <w:pStyle w:val="Heading2"/>
      </w:pPr>
      <w:r>
        <w:t>T2  Abstract and keywords</w:t>
      </w:r>
    </w:p>
    <w:p>
      <w:r>
        <w:t>摘要不引用文献；初稿规划250词、4个逻辑单元，最终是否显示标签以目标期刊为准；关键词5至8个。</w:t>
      </w:r>
    </w:p>
    <w:p>
      <w:pPr>
        <w:pStyle w:val="Heading2"/>
      </w:pPr>
      <w:r>
        <w:t>T3  Headings and style</w:t>
      </w:r>
    </w:p>
    <w:p>
      <w:r>
        <w:t>实际投稿保留研究章节，不复制Article types等模板说明章节；英文正文Times New Roman 12 pt、单倍行距，设置页码和行号。</w:t>
      </w:r>
    </w:p>
    <w:p>
      <w:pPr>
        <w:pStyle w:val="Heading2"/>
      </w:pPr>
      <w:r>
        <w:t>T4  Figures and tables</w:t>
      </w:r>
    </w:p>
    <w:p>
      <w:r>
        <w:t>主图单独供稿，图注及可编辑表置稿件末尾，均在正文按首次出现顺序引用；补充材料独立。</w:t>
      </w:r>
    </w:p>
    <w:p>
      <w:pPr>
        <w:pStyle w:val="Heading2"/>
      </w:pPr>
      <w:r>
        <w:t>T5  Reference system</w:t>
      </w:r>
    </w:p>
    <w:p>
      <w:r>
        <w:t>本研究按医学领域采用Vancouver序号，先使用模板医学圆括号形式；若目标刊另有要求则整篇一致调整。</w:t>
      </w:r>
    </w:p>
    <w:p>
      <w:pPr>
        <w:pStyle w:val="Heading2"/>
      </w:pPr>
      <w:r>
        <w:t>T6  Declarations</w:t>
      </w:r>
    </w:p>
    <w:p>
      <w:r>
        <w:t>纳入数据可用性、利益冲突、作者贡献、资助、致谢及适用伦理说明；根据真实信息填写，不能直接套用无冲突声明。</w:t>
      </w:r>
    </w:p>
    <w:p>
      <w:pPr>
        <w:pStyle w:val="Heading2"/>
      </w:pPr>
      <w:r>
        <w:t>T7  Template cleanup</w:t>
      </w:r>
    </w:p>
    <w:p>
      <w:r>
        <w:t>删除指导语、占位文本和旧公式示例；修复示例中可见的域代码/编号残留，不将其复制进成稿。</w:t>
      </w:r>
    </w:p>
    <w:p>
      <w:r>
        <w:t>模板的图注和表格置后要求适用于投稿稿。对照审阅时可提供定位提示，但提交版会按模板组织独立图件、文末图注/表和单独补充材料。模板中的软件、动物命名等示例不自动成为本研究必需栏目。</w:t>
      </w:r>
    </w:p>
    <w:p>
      <w:pPr>
        <w:pStyle w:val="Heading1"/>
        <w:pageBreakBefore/>
      </w:pPr>
      <w:r>
        <w:t>3  篇幅与参考文献配置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2160"/>
        <w:gridCol w:w="1728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F0F2"/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Section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F0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Target words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F0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Paragraphs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Abstract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250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Introduction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1000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Methods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3000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Results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1400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Discussion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2450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Conclusion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150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Main text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8000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47</w:t>
            </w:r>
          </w:p>
        </w:tc>
      </w:tr>
    </w:tbl>
    <w:p>
      <w:r>
        <w:t>摘要250词是写作规划，不是已经选定期刊的上限。各段词数可在节内调配；若准确、充分表达后正文略少于8,000词，优先保留信息质量，不为凑字数增加新结果或未经执行的方法。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2160"/>
        <w:gridCol w:w="1728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F0F2"/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Reference category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F0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Target count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F0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Share of all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All unique references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100%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English, 2022-2026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at least 92.5%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English, 2024-2026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at least 62.5%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Older than 2022</w:t>
            </w:r>
          </w:p>
        </w:tc>
        <w:tc>
          <w:tcPr>
            <w:tcW w:type="dxa" w:w="216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at most 7.5%</w:t>
            </w:r>
          </w:p>
        </w:tc>
      </w:tr>
    </w:tbl>
    <w:p>
      <w:r>
        <w:t>近3年文献包含在近5年文献中，不能把37与25相加。比例分母为完整去重文献表；“外文”按文献发表语言判断，不按作者国籍判断。经典原始方法或较早研究最多占少量额度，不能为满足年份而改写原始文献日期。</w:t>
      </w:r>
    </w:p>
    <w:p>
      <w:r>
        <w:t>第21步的8项来源用于学习写作，并不满足正式论文的数量和年份结构。本轮确定配额，下一阶段补充检索并核验作者、年份、题名、DOI及其支持的具体陈述，达标后才进入正文引用。</w:t>
      </w:r>
    </w:p>
    <w:p>
      <w:r>
        <w:t>重点扩展证据：近期治疗后终点/评估标准、MRI计算与临床融合、阴性或外部验证、影像特征稳健性、患者分组与模型评价、报告规范及数据来源。不能用大量低相关文献凑够数量。</w:t>
      </w:r>
    </w:p>
    <w:p>
      <w:pPr>
        <w:pStyle w:val="Heading1"/>
        <w:pageBreakBefore/>
      </w:pPr>
      <w:r>
        <w:t>4  摘要与引言逐段安排</w:t>
      </w:r>
    </w:p>
    <w:p>
      <w:r>
        <w:t>以下ID仅用于V2写作管理，不是实际投稿稿的小标题。引言最终为连续段落，无小标题；正文的分节标题在后页统一安排。</w:t>
      </w:r>
    </w:p>
    <w:p>
      <w:pPr>
        <w:pStyle w:val="Heading2"/>
      </w:pPr>
      <w:r>
        <w:t>Abstract  250 words</w:t>
      </w:r>
    </w:p>
    <w:p>
      <w:r>
        <w:t>A1 Background 35词：临床鉴别问题及MRI对临床信息的增量目标。</w:t>
      </w:r>
    </w:p>
    <w:p>
      <w:r>
        <w:t>A2 Methods 85词：182扫描/135患者、固定特征及Logistic，患者分组验证和主要比较；简述敏感性。</w:t>
      </w:r>
    </w:p>
    <w:p>
      <w:r>
        <w:t>A3 Results 100词：主要AUC、增量及区间，加单扫描不确定与少数类识别不足。</w:t>
      </w:r>
    </w:p>
    <w:p>
      <w:r>
        <w:t>A4 Conclusions 30词：内部增量信号及独立验证需求。</w:t>
      </w:r>
    </w:p>
    <w:p>
      <w:pPr>
        <w:pStyle w:val="Heading1"/>
      </w:pPr>
      <w:r>
        <w:t>Introduction  1000 words</w:t>
      </w:r>
    </w:p>
    <w:p>
      <w:pPr>
        <w:pStyle w:val="Heading2"/>
      </w:pPr>
      <w:r>
        <w:t>I1  Clinical setting  160 words</w:t>
      </w:r>
    </w:p>
    <w:p>
      <w:r>
        <w:t>介绍胶质瘤治疗后复查场景与当前状态鉴别问题，迅速聚焦残余或复发肿瘤和治疗相关改变。 依据：近期临床与影像研究</w:t>
      </w:r>
    </w:p>
    <w:p>
      <w:pPr>
        <w:pStyle w:val="Heading2"/>
      </w:pPr>
      <w:r>
        <w:t>I2  Diagnostic uncertainty  170 words</w:t>
      </w:r>
    </w:p>
    <w:p>
      <w:r>
        <w:t>解释两类MRI表现重叠、混合病理和临床判断困难，区分治疗相关改变、假性进展与放射性坏死。 依据：近期终点及影像评估文献</w:t>
      </w:r>
    </w:p>
    <w:p>
      <w:pPr>
        <w:pStyle w:val="Heading2"/>
      </w:pPr>
      <w:r>
        <w:t>I3  Quantitative imaging  180 words</w:t>
      </w:r>
    </w:p>
    <w:p>
      <w:r>
        <w:t>介绍常规FLAIR、增强T1的强度和纹理计算为何可能补充视觉信息；明确本研究仅8项固定特征。 依据：近期常规MRI及影像计算研究</w:t>
      </w:r>
    </w:p>
    <w:p>
      <w:pPr>
        <w:pStyle w:val="Heading2"/>
      </w:pPr>
      <w:r>
        <w:t>I4  Clinical and imaging fusion  180 words</w:t>
      </w:r>
    </w:p>
    <w:p>
      <w:r>
        <w:t>解释临床背景与MRI描述的互补性，综述融合获益与未获益证据，不能假定增加特征必然提高性能。 依据：正向与无获益的融合研究</w:t>
      </w:r>
    </w:p>
    <w:p>
      <w:pPr>
        <w:pStyle w:val="Heading2"/>
      </w:pPr>
      <w:r>
        <w:t>I5  Gap in reproducible evaluation  180 words</w:t>
      </w:r>
    </w:p>
    <w:p>
      <w:r>
        <w:t>将缺口限定为公开派生影像中低维融合的增量与稳定性；说明同病例对照及患者隔离的重要性。 依据：近期验证方法与复现研究</w:t>
      </w:r>
    </w:p>
    <w:p>
      <w:pPr>
        <w:pStyle w:val="Heading2"/>
      </w:pPr>
      <w:r>
        <w:t>I6  Study objective  130 words</w:t>
      </w:r>
    </w:p>
    <w:p>
      <w:r>
        <w:t>提出扫描级鉴别目标、四模型和Fusion-M1主要比较；简述边界、重复分组及单扫描复核。 依据：第18至19步方案</w:t>
      </w:r>
    </w:p>
    <w:p>
      <w:pPr>
        <w:pStyle w:val="Heading1"/>
        <w:pageBreakBefore/>
      </w:pPr>
      <w:r>
        <w:t>5  方法段落一 研究资料与临床输入</w:t>
      </w:r>
    </w:p>
    <w:p>
      <w:pPr>
        <w:pStyle w:val="Heading2"/>
      </w:pPr>
      <w:r>
        <w:t>M1  Study design  150 words</w:t>
      </w:r>
    </w:p>
    <w:p>
      <w:r>
        <w:t>界定公开去标识资料的回顾性二次计算研究，说明分析单位和内部验证目的，不写成新招募研究。</w:t>
      </w:r>
    </w:p>
    <w:p>
      <w:r>
        <w:rPr>
          <w:sz w:val="19"/>
        </w:rPr>
        <w:t>依据：第18步方案与源数据论文</w:t>
      </w:r>
    </w:p>
    <w:p>
      <w:pPr>
        <w:pStyle w:val="Heading2"/>
      </w:pPr>
      <w:r>
        <w:t>M2  Public sources  150 words</w:t>
      </w:r>
    </w:p>
    <w:p>
      <w:r>
        <w:t>说明UCSD-PTGBM临床表、公开镜像、版本及来源分工；区分源采集流程与本研究实际取得的派生文件。</w:t>
      </w:r>
    </w:p>
    <w:p>
      <w:r>
        <w:rPr>
          <w:sz w:val="19"/>
        </w:rPr>
        <w:t>依据：第14至17步来源清单</w:t>
      </w:r>
    </w:p>
    <w:p>
      <w:pPr>
        <w:pStyle w:val="Heading2"/>
      </w:pPr>
      <w:r>
        <w:t>M3  Cohort linkage  150 words</w:t>
      </w:r>
    </w:p>
    <w:p>
      <w:r>
        <w:t>写明243扫描/178患者、ID冲突隔离后238/176、影像队列182/135及未覆盖56扫描；区分患者与扫描。</w:t>
      </w:r>
    </w:p>
    <w:p>
      <w:r>
        <w:rPr>
          <w:sz w:val="19"/>
        </w:rPr>
        <w:t>依据：Figure 1和Table S1</w:t>
      </w:r>
    </w:p>
    <w:p>
      <w:pPr>
        <w:pStyle w:val="Heading2"/>
      </w:pPr>
      <w:r>
        <w:t>M4  Reference labels  150 words</w:t>
      </w:r>
    </w:p>
    <w:p>
      <w:r>
        <w:t>定义1为肿瘤、0为治疗改变，说明公开阴性表与冻结总体分组补集，以及混合临床/病理参考标准。</w:t>
      </w:r>
    </w:p>
    <w:p>
      <w:r>
        <w:rPr>
          <w:sz w:val="19"/>
        </w:rPr>
        <w:t>依据：标签审计与数据描述</w:t>
      </w:r>
    </w:p>
    <w:p>
      <w:pPr>
        <w:pStyle w:val="Heading2"/>
      </w:pPr>
      <w:r>
        <w:t>M5  Clinical inputs  150 words</w:t>
      </w:r>
    </w:p>
    <w:p>
      <w:r>
        <w:t>列明年龄、性别、初始事件对数间隔、扫描前其他治疗和间隔缺失标记；解释各输入在分析中的角色。</w:t>
      </w:r>
    </w:p>
    <w:p>
      <w:r>
        <w:rPr>
          <w:sz w:val="19"/>
        </w:rPr>
        <w:t>依据：Table S2与变量字典</w:t>
      </w:r>
    </w:p>
    <w:p>
      <w:pPr>
        <w:pStyle w:val="Heading2"/>
      </w:pPr>
      <w:r>
        <w:t>M6  Time and missingness  150 words</w:t>
      </w:r>
    </w:p>
    <w:p>
      <w:r>
        <w:t>解释初始事件可能为手术/治疗/诊断；负偏移映射为正天数，其他异常按冻结规则缺失，36条间隔折内填补。</w:t>
      </w:r>
    </w:p>
    <w:p>
      <w:r>
        <w:rPr>
          <w:sz w:val="19"/>
        </w:rPr>
        <w:t>依据：临床重验证及第18步代码</w:t>
      </w:r>
    </w:p>
    <w:p>
      <w:pPr>
        <w:pStyle w:val="Heading2"/>
      </w:pPr>
      <w:r>
        <w:t>M7  MRI data quality checks  150 words</w:t>
      </w:r>
    </w:p>
    <w:p>
      <w:r>
        <w:t>说明FLAIR、增强T1和现成标注的546文件检查、uint8派生强度、256立方数组与空间单位unknown。</w:t>
      </w:r>
    </w:p>
    <w:p>
      <w:r>
        <w:rPr>
          <w:sz w:val="19"/>
        </w:rPr>
        <w:t>依据：第15至17步文件与数组QC</w:t>
      </w:r>
    </w:p>
    <w:p>
      <w:pPr>
        <w:pStyle w:val="Heading1"/>
        <w:pageBreakBefore/>
      </w:pPr>
      <w:r>
        <w:t>6  方法段落二 影像计算与模型训练</w:t>
      </w:r>
    </w:p>
    <w:p>
      <w:pPr>
        <w:pStyle w:val="Heading2"/>
      </w:pPr>
      <w:r>
        <w:t>M8  Annotation region  150 words</w:t>
      </w:r>
    </w:p>
    <w:p>
      <w:r>
        <w:t>ROI为普通BraTS全部正标签并集，保留各连通分量；说明现成标注来源及盲法未知，非本研究新训练分割。</w:t>
      </w:r>
    </w:p>
    <w:p>
      <w:r>
        <w:rPr>
          <w:sz w:val="19"/>
        </w:rPr>
        <w:t>依据：既有ROI协议</w:t>
      </w:r>
    </w:p>
    <w:p>
      <w:pPr>
        <w:pStyle w:val="Heading2"/>
      </w:pPr>
      <w:r>
        <w:t>M9  Normalization  150 words</w:t>
      </w:r>
    </w:p>
    <w:p>
      <w:r>
        <w:t>介绍有限正值支持区域的p1/p99线性变换且不截断，ROI内0保留；交代不截断为观察后的工程修订。</w:t>
      </w:r>
    </w:p>
    <w:p>
      <w:r>
        <w:rPr>
          <w:sz w:val="19"/>
        </w:rPr>
        <w:t>依据：第16步修订及第17步实现</w:t>
      </w:r>
    </w:p>
    <w:p>
      <w:pPr>
        <w:pStyle w:val="Heading2"/>
      </w:pPr>
      <w:r>
        <w:t>M10  Feature definitions  150 words</w:t>
      </w:r>
    </w:p>
    <w:p>
      <w:r>
        <w:t>定义两序列各自均值、标准差与32级直方图熵，说明ROI范围离散化及最大值分箱规则。</w:t>
      </w:r>
    </w:p>
    <w:p>
      <w:r>
        <w:rPr>
          <w:sz w:val="19"/>
        </w:rPr>
        <w:t>依据：8项固定特征字典</w:t>
      </w:r>
    </w:p>
    <w:p>
      <w:pPr>
        <w:pStyle w:val="Heading2"/>
      </w:pPr>
      <w:r>
        <w:t>M11  Three-dimensional texture  150 words</w:t>
      </w:r>
    </w:p>
    <w:p>
      <w:r>
        <w:t>解释13个无向单原生体素偏移、对称计数汇总再归一化的GLCM对比度；公式用可编辑数学对象。</w:t>
      </w:r>
    </w:p>
    <w:p>
      <w:r>
        <w:rPr>
          <w:sz w:val="19"/>
        </w:rPr>
        <w:t>依据：原GLCM代码与补充方法</w:t>
      </w:r>
    </w:p>
    <w:p>
      <w:pPr>
        <w:pStyle w:val="Heading2"/>
      </w:pPr>
      <w:r>
        <w:t>M12  Fixed models and fusion  150 words</w:t>
      </w:r>
    </w:p>
    <w:p>
      <w:r>
        <w:t>列出M0、M1、MRI、Fusion的2/5/8/13输入与特征级拼接，给出L2 Logistic核心参数及模型选择理由。</w:t>
      </w:r>
    </w:p>
    <w:p>
      <w:r>
        <w:rPr>
          <w:sz w:val="19"/>
        </w:rPr>
        <w:t>依据：第18步固定模型工厂</w:t>
      </w:r>
    </w:p>
    <w:p>
      <w:pPr>
        <w:pStyle w:val="Heading2"/>
      </w:pPr>
      <w:r>
        <w:t>M13  Training and partitions  150 words</w:t>
      </w:r>
    </w:p>
    <w:p>
      <w:r>
        <w:t>交代同病例同五折、固定种子、源/BraTS患者隔离，训练折学习填补和标准化；没有调参、筛选或类别加权。</w:t>
      </w:r>
    </w:p>
    <w:p>
      <w:r>
        <w:rPr>
          <w:sz w:val="19"/>
        </w:rPr>
        <w:t>依据：折清单与fold_audit</w:t>
      </w:r>
    </w:p>
    <w:p>
      <w:pPr>
        <w:pStyle w:val="Heading2"/>
      </w:pPr>
      <w:r>
        <w:t>M14  Discrimination and errors  150 words</w:t>
      </w:r>
    </w:p>
    <w:p>
      <w:r>
        <w:t>定义主比较AUC差及两类AP、Brier、log loss、固定0.5阈值混淆矩阵；治疗改变PR使用1-p。</w:t>
      </w:r>
    </w:p>
    <w:p>
      <w:r>
        <w:rPr>
          <w:sz w:val="19"/>
        </w:rPr>
        <w:t>依据：第18步指标定义</w:t>
      </w:r>
    </w:p>
    <w:p>
      <w:pPr>
        <w:pStyle w:val="Heading1"/>
        <w:pageBreakBefore/>
      </w:pPr>
      <w:r>
        <w:t>7  方法段落三 不确定性与稳健性</w:t>
      </w:r>
    </w:p>
    <w:p>
      <w:pPr>
        <w:pStyle w:val="Heading2"/>
      </w:pPr>
      <w:r>
        <w:t>M15  Conditional uncertainty  150 words</w:t>
      </w:r>
    </w:p>
    <w:p>
      <w:r>
        <w:t>说明患者聚类配对bootstrap 2000次及百分位区间；固定OOF概率不重拟合，不能覆盖全部训练和分折变异。</w:t>
      </w:r>
    </w:p>
    <w:p>
      <w:r>
        <w:rPr>
          <w:sz w:val="19"/>
        </w:rPr>
        <w:t>依据：bootstrap回执与抽样指标</w:t>
      </w:r>
    </w:p>
    <w:p>
      <w:pPr>
        <w:pStyle w:val="Heading2"/>
      </w:pPr>
      <w:r>
        <w:t>M16  Calibration assessment  150 words</w:t>
      </w:r>
    </w:p>
    <w:p>
      <w:r>
        <w:t>说明校准分组、斜率及offset截距的诊断定义；未据此重校准或更改阈值。</w:t>
      </w:r>
    </w:p>
    <w:p>
      <w:r>
        <w:rPr>
          <w:sz w:val="19"/>
        </w:rPr>
        <w:t>依据：原校准协议和Table S3</w:t>
      </w:r>
    </w:p>
    <w:p>
      <w:pPr>
        <w:pStyle w:val="Heading2"/>
      </w:pPr>
      <w:r>
        <w:t>M17  Boundary sensitivity  150 words</w:t>
      </w:r>
    </w:p>
    <w:p>
      <w:r>
        <w:t>一次六邻域单原生体素腐蚀，保留主归一化和分箱边界，在同病例同折复核MRI及Fusion。</w:t>
      </w:r>
    </w:p>
    <w:p>
      <w:r>
        <w:rPr>
          <w:sz w:val="19"/>
        </w:rPr>
        <w:t>依据：Table S4和Figure S1</w:t>
      </w:r>
    </w:p>
    <w:p>
      <w:pPr>
        <w:pStyle w:val="Heading2"/>
      </w:pPr>
      <w:r>
        <w:t>M18  Repeated grouped validation  150 words</w:t>
      </w:r>
    </w:p>
    <w:p>
      <w:r>
        <w:t>20套事先固定种子的患者分组五折，描述中位数、四分位和范围；不选最优重复或构建额外集成。</w:t>
      </w:r>
    </w:p>
    <w:p>
      <w:r>
        <w:rPr>
          <w:sz w:val="19"/>
        </w:rPr>
        <w:t>依据：Tables S5A及S5B和Figure 3</w:t>
      </w:r>
    </w:p>
    <w:p>
      <w:pPr>
        <w:pStyle w:val="Heading2"/>
      </w:pPr>
      <w:r>
        <w:t>M19  One scan per patient  150 words</w:t>
      </w:r>
    </w:p>
    <w:p>
      <w:r>
        <w:t>按当前可用影像内最小数字会话选135扫描，独立重建验证与bootstrap；不是整个病程的真实首次就诊。</w:t>
      </w:r>
    </w:p>
    <w:p>
      <w:r>
        <w:rPr>
          <w:sz w:val="19"/>
        </w:rPr>
        <w:t>依据：选择清单及Tables S6和S7</w:t>
      </w:r>
    </w:p>
    <w:p>
      <w:pPr>
        <w:pStyle w:val="Heading2"/>
      </w:pPr>
      <w:r>
        <w:t>M20  Reproducibility  150 words</w:t>
      </w:r>
    </w:p>
    <w:p>
      <w:r>
        <w:t>说明Python、Notebook、软件版本、逐例OOF、源文件哈希和归档恢复路径；交代样本量由可用数据决定。</w:t>
      </w:r>
    </w:p>
    <w:p>
      <w:r>
        <w:rPr>
          <w:sz w:val="19"/>
        </w:rPr>
        <w:t>依据：项目仓库及复现材料</w:t>
      </w:r>
    </w:p>
    <w:p>
      <w:r>
        <w:t>方法正式小节安排：2.1 Study design and data sources（M1-M3）；2.2 Reference standard（M4）；2.3 Clinical inputs（M5-M6）；2.4 MRI processing and features（M7-M11）；2.5 Model development and validation（M12-M13）；2.6 Performance and uncertainty（M14-M16）；2.7 Sensitivity analyses（M17-M19）；2.8 Reproducibility（M20）。</w:t>
      </w:r>
    </w:p>
    <w:p>
      <w:pPr>
        <w:pStyle w:val="Heading1"/>
        <w:pageBreakBefore/>
      </w:pPr>
      <w:r>
        <w:t>8  结果段落一 队列与主要比较</w:t>
      </w:r>
    </w:p>
    <w:p>
      <w:pPr>
        <w:pStyle w:val="Heading2"/>
      </w:pPr>
      <w:r>
        <w:t>R1  Cohort flow  200 words</w:t>
      </w:r>
    </w:p>
    <w:p>
      <w:r>
        <w:t>先写源队列、隔离与覆盖流程，分别报告扫描数、患者数和182扫描中141肿瘤/41治疗改变。</w:t>
      </w:r>
    </w:p>
    <w:p>
      <w:r>
        <w:rPr>
          <w:sz w:val="19"/>
        </w:rPr>
        <w:t>依据：Figure 1和Table 1</w:t>
      </w:r>
    </w:p>
    <w:p>
      <w:pPr>
        <w:pStyle w:val="Heading2"/>
      </w:pPr>
      <w:r>
        <w:t>R2  Clinical characteristics  150 words</w:t>
      </w:r>
    </w:p>
    <w:p>
      <w:r>
        <w:t>报告扫描口径年龄等分布、36条时间缺失和影像覆盖情况；患者可在两标签间重叠，不作未经计算的组间检验。</w:t>
      </w:r>
    </w:p>
    <w:p>
      <w:r>
        <w:rPr>
          <w:sz w:val="19"/>
        </w:rPr>
        <w:t>依据：Table 1和Table S1</w:t>
      </w:r>
    </w:p>
    <w:p>
      <w:pPr>
        <w:pStyle w:val="Heading2"/>
      </w:pPr>
      <w:r>
        <w:t>R3  Four-model discrimination  200 words</w:t>
      </w:r>
    </w:p>
    <w:p>
      <w:r>
        <w:t>按M0、M1、MRI、Fusion顺序呈现固定主五折；M1 0.672、MRI 0.762、Fusion 0.782，附准确区间。</w:t>
      </w:r>
    </w:p>
    <w:p>
      <w:r>
        <w:rPr>
          <w:sz w:val="19"/>
        </w:rPr>
        <w:t>依据：Table 2和Figure 2</w:t>
      </w:r>
    </w:p>
    <w:p>
      <w:pPr>
        <w:pStyle w:val="Heading2"/>
      </w:pPr>
      <w:r>
        <w:t>R4  Paired incremental comparison  200 words</w:t>
      </w:r>
    </w:p>
    <w:p>
      <w:r>
        <w:t>Fusion-M1 AUC差0.110，区间0.021至0.214；Brier差-0.019且区间跨0，治疗改变AP按原结果报告。</w:t>
      </w:r>
    </w:p>
    <w:p>
      <w:r>
        <w:rPr>
          <w:sz w:val="19"/>
        </w:rPr>
        <w:t>依据：Table 3</w:t>
      </w:r>
    </w:p>
    <w:p>
      <w:pPr>
        <w:pStyle w:val="Heading1"/>
        <w:pageBreakBefore/>
      </w:pPr>
      <w:r>
        <w:t>9  结果段落二 错误与敏感性</w:t>
      </w:r>
    </w:p>
    <w:p>
      <w:pPr>
        <w:pStyle w:val="Heading2"/>
      </w:pPr>
      <w:r>
        <w:t>R5  Calibration and errors  150 words</w:t>
      </w:r>
    </w:p>
    <w:p>
      <w:r>
        <w:t>写主Fusion斜率0.667，肿瘤正确130/141、治疗改变12/41；整体准确率78.0%与全判肿瘤77.5%参考并列。</w:t>
      </w:r>
    </w:p>
    <w:p>
      <w:r>
        <w:rPr>
          <w:sz w:val="19"/>
        </w:rPr>
        <w:t>依据：Figure 2和Table S3</w:t>
      </w:r>
    </w:p>
    <w:p>
      <w:pPr>
        <w:pStyle w:val="Heading2"/>
      </w:pPr>
      <w:r>
        <w:t>R6  Boundary sensitivity  150 words</w:t>
      </w:r>
    </w:p>
    <w:p>
      <w:r>
        <w:t>报告腐蚀Fusion AUC 0.788及原/腐蚀差值区间跨0，不以较高版本替换主分析。</w:t>
      </w:r>
    </w:p>
    <w:p>
      <w:r>
        <w:rPr>
          <w:sz w:val="19"/>
        </w:rPr>
        <w:t>依据：Table S4和Figure S1</w:t>
      </w:r>
    </w:p>
    <w:p>
      <w:pPr>
        <w:pStyle w:val="Heading2"/>
      </w:pPr>
      <w:r>
        <w:t>R7  Split stability  150 words</w:t>
      </w:r>
    </w:p>
    <w:p>
      <w:r>
        <w:t>20套完整，Fusion AUC中位数0.784、范围0.759至0.809；Fusion-M1差全部为正，范围不是置信区间。</w:t>
      </w:r>
    </w:p>
    <w:p>
      <w:r>
        <w:rPr>
          <w:sz w:val="19"/>
        </w:rPr>
        <w:t>依据：Figure 3和Tables S5A及S5B</w:t>
      </w:r>
    </w:p>
    <w:p>
      <w:pPr>
        <w:pStyle w:val="Heading2"/>
      </w:pPr>
      <w:r>
        <w:t>R8  Single-scan sensitivity  200 words</w:t>
      </w:r>
    </w:p>
    <w:p>
      <w:r>
        <w:t>135扫描/135患者，113肿瘤/22治疗改变；Fusion AUC 0.730，增量区间-0.015至0.252跨0，只识别2/22治疗改变。</w:t>
      </w:r>
    </w:p>
    <w:p>
      <w:r>
        <w:rPr>
          <w:sz w:val="19"/>
        </w:rPr>
        <w:t>依据：Tables S6和S7及Figure S2</w:t>
      </w:r>
    </w:p>
    <w:p>
      <w:r>
        <w:t>结果按队列、四模型主比较、概率及类别错误、敏感性组织。逐段报告实际数字与区间，不把表格逐格重述成长段，不在结果中加入未经验证的生物机制。</w:t>
      </w:r>
    </w:p>
    <w:p>
      <w:pPr>
        <w:pStyle w:val="Heading1"/>
        <w:pageBreakBefore/>
      </w:pPr>
      <w:r>
        <w:t>10  讨论段落一 证据与计算意义</w:t>
      </w:r>
    </w:p>
    <w:p>
      <w:pPr>
        <w:pStyle w:val="Heading2"/>
      </w:pPr>
      <w:r>
        <w:t>D1  Principal findings  200 words</w:t>
      </w:r>
    </w:p>
    <w:p>
      <w:r>
        <w:t>开头回答增量问题，同时交代主分析有利信号、分折方向一致与单扫描增量不确定。</w:t>
      </w:r>
    </w:p>
    <w:p>
      <w:r>
        <w:rPr>
          <w:sz w:val="19"/>
        </w:rPr>
        <w:t>依据：对应R3至R8</w:t>
      </w:r>
    </w:p>
    <w:p>
      <w:pPr>
        <w:pStyle w:val="Heading2"/>
      </w:pPr>
      <w:r>
        <w:t>D2  Comparison with fusion studies  250 words</w:t>
      </w:r>
    </w:p>
    <w:p>
      <w:r>
        <w:t>比较近期融合研究的信息类型、样本、模型和内部验证设计；解释与本研究观察的联系，不按跨论文AUC排名。</w:t>
      </w:r>
    </w:p>
    <w:p>
      <w:r>
        <w:rPr>
          <w:sz w:val="19"/>
        </w:rPr>
        <w:t>依据：近期融合原始研究</w:t>
      </w:r>
    </w:p>
    <w:p>
      <w:pPr>
        <w:pStyle w:val="Heading2"/>
      </w:pPr>
      <w:r>
        <w:t>D3  Conflicting evidence  250 words</w:t>
      </w:r>
    </w:p>
    <w:p>
      <w:r>
        <w:t>讨论未获益、较低性能及新队列验证研究，重点比较终点、参考标准、成像和抽样差异。</w:t>
      </w:r>
    </w:p>
    <w:p>
      <w:r>
        <w:rPr>
          <w:sz w:val="19"/>
        </w:rPr>
        <w:t>依据：负向及独立验证研究</w:t>
      </w:r>
    </w:p>
    <w:p>
      <w:pPr>
        <w:pStyle w:val="Heading2"/>
      </w:pPr>
      <w:r>
        <w:t>D4  Computational contribution  200 words</w:t>
      </w:r>
    </w:p>
    <w:p>
      <w:r>
        <w:t>阐明固定MRI特征、特征级融合、同条件模型比较及公开复现的贡献，准确定位为应用验证。</w:t>
      </w:r>
    </w:p>
    <w:p>
      <w:r>
        <w:rPr>
          <w:sz w:val="19"/>
        </w:rPr>
        <w:t>依据：本研究流程与近期复现文献</w:t>
      </w:r>
    </w:p>
    <w:p>
      <w:pPr>
        <w:pStyle w:val="Heading2"/>
      </w:pPr>
      <w:r>
        <w:t>D5  Interpretation of image features  200 words</w:t>
      </w:r>
    </w:p>
    <w:p>
      <w:r>
        <w:t>解释强度与空间灰度变化所描述的信息，区分统计关联与病理机制；不把系数写成独立危险因素。</w:t>
      </w:r>
    </w:p>
    <w:p>
      <w:r>
        <w:rPr>
          <w:sz w:val="19"/>
        </w:rPr>
        <w:t>依据：特征定义和有依据的近期解释文献</w:t>
      </w:r>
    </w:p>
    <w:p>
      <w:pPr>
        <w:pStyle w:val="Heading2"/>
      </w:pPr>
      <w:r>
        <w:t>D6  Boundary and split robustness  200 words</w:t>
      </w:r>
    </w:p>
    <w:p>
      <w:r>
        <w:t>解释腐蚀和重复分折分别回答的问题，说明稳定性有利但不能验证源标签或外部推广。</w:t>
      </w:r>
    </w:p>
    <w:p>
      <w:r>
        <w:rPr>
          <w:sz w:val="19"/>
        </w:rPr>
        <w:t>依据：M17至M18及对应结果</w:t>
      </w:r>
    </w:p>
    <w:p>
      <w:pPr>
        <w:pStyle w:val="Heading1"/>
        <w:pageBreakBefore/>
      </w:pPr>
      <w:r>
        <w:t>11  讨论段落二 局限与结论</w:t>
      </w:r>
    </w:p>
    <w:p>
      <w:pPr>
        <w:pStyle w:val="Heading2"/>
      </w:pPr>
      <w:r>
        <w:t>D7  Meaning of the single-scan result  200 words</w:t>
      </w:r>
    </w:p>
    <w:p>
      <w:r>
        <w:t>讨论更少治疗改变样本下区间宽及识别不足，承认人群、类别组成和训练集不同，不能直接归因于重复扫描。</w:t>
      </w:r>
    </w:p>
    <w:p>
      <w:r>
        <w:rPr>
          <w:sz w:val="19"/>
        </w:rPr>
        <w:t>依据：M19和R8</w:t>
      </w:r>
    </w:p>
    <w:p>
      <w:pPr>
        <w:pStyle w:val="Heading2"/>
      </w:pPr>
      <w:r>
        <w:t>D8  Reference-standard limitations  250 words</w:t>
      </w:r>
    </w:p>
    <w:p>
      <w:r>
        <w:t>优先讨论标签补集、混合参考、治疗改变异质性和现成标注盲法未确认；区分可能泄漏与已证实泄漏。</w:t>
      </w:r>
    </w:p>
    <w:p>
      <w:r>
        <w:rPr>
          <w:sz w:val="19"/>
        </w:rPr>
        <w:t>依据：标签审计与源数据论文</w:t>
      </w:r>
    </w:p>
    <w:p>
      <w:pPr>
        <w:pStyle w:val="Heading2"/>
      </w:pPr>
      <w:r>
        <w:t>D9  Image-processing limitations  200 words</w:t>
      </w:r>
    </w:p>
    <w:p>
      <w:r>
        <w:t>讨论uint8、unknown空间单位、全正标签ROI及工程修订的适用范围；没有形状、定量ADC或独立重画实验。</w:t>
      </w:r>
    </w:p>
    <w:p>
      <w:r>
        <w:rPr>
          <w:sz w:val="19"/>
        </w:rPr>
        <w:t>依据：原影像与特征QC</w:t>
      </w:r>
    </w:p>
    <w:p>
      <w:pPr>
        <w:pStyle w:val="Heading2"/>
      </w:pPr>
      <w:r>
        <w:t>D10  Sampling and model uncertainty  200 words</w:t>
      </w:r>
    </w:p>
    <w:p>
      <w:r>
        <w:t>说明覆盖选择、135患者、少数类有限、重复扫描及扫描权重、13输入和缺失时间变量，区间为条件bootstrap区间。</w:t>
      </w:r>
    </w:p>
    <w:p>
      <w:r>
        <w:rPr>
          <w:sz w:val="19"/>
        </w:rPr>
        <w:t>依据：队列审计与近期验证文献</w:t>
      </w:r>
    </w:p>
    <w:p>
      <w:pPr>
        <w:pStyle w:val="Heading2"/>
      </w:pPr>
      <w:r>
        <w:t>D11  Clinical interpretation  200 words</w:t>
      </w:r>
    </w:p>
    <w:p>
      <w:r>
        <w:t>将AUC排序能力、校准和阈值识别分开，解释不能据内部AUC证明临床获益；没有外部验证或决策曲线结论。</w:t>
      </w:r>
    </w:p>
    <w:p>
      <w:r>
        <w:rPr>
          <w:sz w:val="19"/>
        </w:rPr>
        <w:t>依据：R4至R5及近期临床转化研究</w:t>
      </w:r>
    </w:p>
    <w:p>
      <w:pPr>
        <w:pStyle w:val="Heading2"/>
      </w:pPr>
      <w:r>
        <w:t>D12  Next validation priorities  100 words</w:t>
      </w:r>
    </w:p>
    <w:p>
      <w:r>
        <w:t>按独立参考与标注、标准化影像、外部队列和少数类/校准评估的优先顺序提出后续方向。</w:t>
      </w:r>
    </w:p>
    <w:p>
      <w:r>
        <w:rPr>
          <w:sz w:val="19"/>
        </w:rPr>
        <w:t>依据：从本研究局限推导</w:t>
      </w:r>
    </w:p>
    <w:p>
      <w:pPr>
        <w:pStyle w:val="Heading2"/>
      </w:pPr>
      <w:r>
        <w:t>C1  Conclusion  150 words</w:t>
      </w:r>
    </w:p>
    <w:p>
      <w:r>
        <w:t>简洁回到研究目标，保留主内部验证增量信号与单扫描不确定性，并限定适用范围及独立验证需求。</w:t>
      </w:r>
    </w:p>
    <w:p>
      <w:r>
        <w:rPr>
          <w:sz w:val="19"/>
        </w:rPr>
        <w:t>依据：对应I6和D1</w:t>
      </w:r>
    </w:p>
    <w:p>
      <w:pPr>
        <w:pStyle w:val="Heading1"/>
        <w:pageBreakBefore/>
      </w:pPr>
      <w:r>
        <w:t>12  图表与后续写作顺序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4608"/>
        <w:gridCol w:w="1872"/>
      </w:tblGrid>
      <w:tr>
        <w:trPr>
          <w:cantSplit/>
          <w:tblHeader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F0F2"/>
          </w:tcPr>
          <w:p>
            <w:pPr>
              <w:spacing w:after="0" w:line="252" w:lineRule="auto"/>
              <w:jc w:val="left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F0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Main purpose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DF0F2"/>
          </w:tcPr>
          <w:p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V2 paragraphs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Table 1 / Figure 1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Cohort and baseline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M3, R1-R2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Table 2 / Figure 2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OOF model performance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M14-M16, R3-R5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Table 3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Fusion minus M1 differences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Figure 3 / Tables S5A-S5B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Repeated grouped validation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M18, R7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Table S1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Imaging coverage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M3, R2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Table S2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Input definitions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M5-M12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Table S3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Calibration and class errors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R5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Table S4 / Figure S1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Boundary sensitivity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M17, R6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left"/>
            </w:pPr>
            <w:r>
              <w:rPr>
                <w:b w:val="0"/>
                <w:sz w:val="20"/>
              </w:rPr>
              <w:t>Tables S6-S7 / Figure S2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One scan per patient</w:t>
            </w:r>
          </w:p>
        </w:tc>
        <w:tc>
          <w:tcPr>
            <w:tcW w:type="dxa" w:w="187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0" w:line="252" w:lineRule="auto"/>
              <w:jc w:val="center"/>
            </w:pPr>
            <w:r>
              <w:rPr>
                <w:b w:val="0"/>
                <w:sz w:val="20"/>
              </w:rPr>
              <w:t>M19, R8</w:t>
            </w:r>
          </w:p>
        </w:tc>
      </w:tr>
    </w:tbl>
    <w:p>
      <w:pPr>
        <w:pStyle w:val="Heading1"/>
      </w:pPr>
      <w:r>
        <w:t>下一阶段</w:t>
      </w:r>
    </w:p>
    <w:p>
      <w:r>
        <w:t>先补齐可核验的参考文献证据表并检查数量、年份、语言与主题覆盖，再从方法开始按本大纲逐段写作，英文在前、对应中译在后；每完成一个授权阶段总结问题与下一步。后续整合引言、讨论、结论与摘要，统一引文、图表顺序及声明。</w:t>
      </w:r>
    </w:p>
    <w:p>
      <w:r>
        <w:t>正文与附加材料将按Title、Author information、Abstract、Keywords、Introduction、Materials and methods、Results、Discussion、Conclusion、Declarations、References、Figure legends和Tables组织。补充材料单独，正式参考文献顺序由正文首次引用确定。</w:t>
      </w:r>
    </w:p>
    <w:p>
      <w:pPr>
        <w:pStyle w:val="Heading1"/>
      </w:pPr>
      <w:r>
        <w:t>最终核对项目</w:t>
      </w:r>
    </w:p>
    <w:p>
      <w:r>
        <w:t>分别检查英文正文/全稿词数、文献总量与两个年份窗口比例、数字引文顺序、图表首次出现、英文区中文字符、公式可编辑性、语法和双语一致性。英文稿与对照稿共享同一英文原文及相同数据结果。</w:t>
      </w:r>
    </w:p>
    <w:p>
      <w:r>
        <w:t>资料依据为合作者两份文件、2026年10月29日补充要求及模板链接的Frontiers作者指南。两份输入保留原样，文件哈希与逐条规则另存于项目核对记录。官方指南：https://www.frontiersin.org/guidelines/author-guidelines。</w:t>
      </w:r>
    </w:p>
    <w:p>
      <w:r>
        <w:t>本轮完成要求理解和V2大纲，尚未起草论文正文，也未将40篇文献目标标记为已完成。作者、单位、排序、贡献、资助及适用声明将在正式组稿时按实际资料核对。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imbus Roman" w:hAnsi="Nimbus Roman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Nimbus Roman" w:hAnsi="Nimbus Roman" w:eastAsia="Noto Serif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imbus Roman" w:hAnsi="Nimbus Roman" w:eastAsia="Noto Serif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Nimbus Roman" w:hAnsi="Nimbus Roman" w:eastAsia="Noto Serif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UCSD study writing requirements and revised outline V2</dc:title>
  <dc:subject/>
  <dc:creator>Tianyu Feng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