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胶质瘤治疗后鉴别研究数据表</w:t>
      </w:r>
    </w:p>
    <w:p>
      <w:r>
        <w:t>主影像队列包含182次扫描、135名源患者。模型性能来自患者分组的折外预测，表中保留主分析及全部预设敏感性结果。</w:t>
      </w:r>
    </w:p>
    <w:p>
      <w:pPr>
        <w:pStyle w:val="Heading1"/>
      </w:pPr>
      <w:r>
        <w:t>表1 主影像队列的临床特征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0"/>
        <w:gridCol w:w="2240"/>
        <w:gridCol w:w="2240"/>
        <w:gridCol w:w="1840"/>
      </w:tblGrid>
      <w:tr>
        <w:trPr>
          <w:cantSplit/>
          <w:tblHeader w:val="true"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全部影像扫描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肿瘤扫描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治疗改变扫描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扫描记录数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182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141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41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源患者数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135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114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29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年龄，岁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56.5 [49.0, 66.0]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58.0 [50.0, 67.0]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54.0 [48.0, 62.0]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男性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132/182 (72.5%)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105/141 (74.5%)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27/41 (65.9%)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肿瘤扫描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141/182 (77.5%)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141/141 (100.0%)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0/41 (0.0%)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治疗改变扫描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41/182 (22.5%)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0/141 (0.0%)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41/41 (100.0%)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距初始事件天数，已知记录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154.0 [40.5, 359.5]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96.0 [36.0, 261.8]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346.0 [140.5, 563.2]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间隔已知记录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146/182 (80.2%)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108/141 (76.6%)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38/41 (92.7%)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间隔缺失记录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36/182 (19.8%)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33/141 (23.4%)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3/41 (7.3%)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扫描前其他治疗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25/182 (13.7%)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20/141 (14.2%)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5/41 (12.2%)</w:t>
            </w:r>
          </w:p>
        </w:tc>
      </w:tr>
    </w:tbl>
    <w:p>
      <w:pPr>
        <w:spacing w:before="80"/>
      </w:pPr>
      <w:r>
        <w:rPr>
          <w:sz w:val="18"/>
        </w:rPr>
        <w:t>注：连续变量为中位数 [Q1, Q3]。百分比的分母为该列扫描数，不是去重患者数。</w:t>
      </w:r>
    </w:p>
    <w:p>
      <w:pPr>
        <w:spacing w:before="80"/>
      </w:pPr>
      <w:r>
        <w:rPr>
          <w:sz w:val="18"/>
        </w:rPr>
        <w:t>注：两类扫描按患者去重为114和29名，其中8名患者在不同扫描出现两类标签，因此不能相加为总患者数。</w:t>
      </w:r>
    </w:p>
    <w:p>
      <w:pPr>
        <w:spacing w:before="80"/>
      </w:pPr>
      <w:r>
        <w:rPr>
          <w:sz w:val="18"/>
        </w:rPr>
        <w:t>注：初始事件为源表记录的初始手术、治疗或诊断事件，非统一放疗日期。间隔描述仅使用已知记录，未填补。</w:t>
      </w:r>
    </w:p>
    <w:p>
      <w:r>
        <w:br w:type="page"/>
      </w:r>
    </w:p>
    <w:p>
      <w:pPr>
        <w:pStyle w:val="Heading1"/>
      </w:pPr>
      <w:r>
        <w:t>表2 主分析的患者分组OOF性能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3040"/>
        <w:gridCol w:w="1600"/>
        <w:gridCol w:w="1840"/>
        <w:gridCol w:w="1920"/>
      </w:tblGrid>
      <w:tr>
        <w:trPr>
          <w:cantSplit/>
          <w:tblHeader w:val="true"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AUC（95%区间）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Brier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治疗改变AP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治疗改变识别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年龄＋性别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0.5255</w:t>
              <w:br/>
              <w:t>(0.4040, 0.6441)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0.1767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0.2613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0/41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扩展临床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0.6721</w:t>
              <w:br/>
              <w:t>(0.5533, 0.7781)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0.1634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0.3536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2/41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MRI八项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0.7625</w:t>
              <w:br/>
              <w:t>(0.6828, 0.8385)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0.1514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0.4444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12/41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临床＋MRI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0.7819</w:t>
              <w:br/>
              <w:t>(0.6977, 0.8595)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0.1442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0.5053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12/41</w:t>
            </w:r>
          </w:p>
        </w:tc>
      </w:tr>
    </w:tbl>
    <w:p>
      <w:pPr>
        <w:spacing w:before="80"/>
      </w:pPr>
      <w:r>
        <w:rPr>
          <w:sz w:val="18"/>
        </w:rPr>
        <w:t>注：95%区间为2,000次患者配对bootstrap百分位区间，固定OOF概率，未重拟合模型，不涵盖全部训练和分折变异。</w:t>
      </w:r>
    </w:p>
    <w:p>
      <w:pPr>
        <w:spacing w:before="80"/>
      </w:pPr>
      <w:r>
        <w:rPr>
          <w:sz w:val="18"/>
        </w:rPr>
        <w:t>注：AP_TC为治疗改变的平均精确率，使用1减肿瘤概率计算。主队列治疗改变比例为41/182。</w:t>
      </w:r>
    </w:p>
    <w:p>
      <w:pPr>
        <w:pStyle w:val="Heading1"/>
      </w:pPr>
      <w:r>
        <w:t>表3 融合相对临床的预设增量比较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0"/>
        <w:gridCol w:w="1920"/>
        <w:gridCol w:w="4320"/>
      </w:tblGrid>
      <w:tr>
        <w:trPr>
          <w:cantSplit/>
          <w:tblHeader w:val="true"/>
        </w:trPr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差值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95%区间</w:t>
            </w:r>
          </w:p>
        </w:tc>
      </w:tr>
      <w:tr>
        <w:trPr>
          <w:cantSplit/>
        </w:trPr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AUC差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0.1098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(0.0214, 0.2141)</w:t>
            </w:r>
          </w:p>
        </w:tc>
      </w:tr>
      <w:tr>
        <w:trPr>
          <w:cantSplit/>
        </w:trPr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治疗改变AP差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0.1517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(0.0264, 0.2681)</w:t>
            </w:r>
          </w:p>
        </w:tc>
      </w:tr>
      <w:tr>
        <w:trPr>
          <w:cantSplit/>
        </w:trPr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Brier差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-0.0191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(-0.0398, 0.0015)</w:t>
            </w:r>
          </w:p>
        </w:tc>
      </w:tr>
      <w:tr>
        <w:trPr>
          <w:cantSplit/>
        </w:trPr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Log loss差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-0.0370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(-0.1068, 0.0391)</w:t>
            </w:r>
          </w:p>
        </w:tc>
      </w:tr>
    </w:tbl>
    <w:p>
      <w:pPr>
        <w:spacing w:before="80"/>
      </w:pPr>
      <w:r>
        <w:rPr>
          <w:sz w:val="18"/>
        </w:rPr>
        <w:t>注：差值为Fusion减M1。AUC差是唯一主要比较；其他指标辅助描述。Brier和log loss负差值较好。</w:t>
      </w:r>
    </w:p>
    <w:p>
      <w:pPr>
        <w:spacing w:before="80"/>
      </w:pPr>
      <w:r>
        <w:rPr>
          <w:sz w:val="18"/>
        </w:rPr>
        <w:t>注：95%区间为2,000次患者配对bootstrap百分位区间，固定OOF概率，未重拟合模型，不涵盖全部训练和分折变异。</w:t>
      </w:r>
    </w:p>
    <w:p>
      <w:r>
        <w:br w:type="page"/>
      </w:r>
    </w:p>
    <w:p>
      <w:pPr>
        <w:pStyle w:val="Heading1"/>
      </w:pPr>
      <w:r>
        <w:t>表S1 临床队列与当前镜像覆盖情况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0"/>
        <w:gridCol w:w="2240"/>
        <w:gridCol w:w="2240"/>
        <w:gridCol w:w="1840"/>
      </w:tblGrid>
      <w:tr>
        <w:trPr>
          <w:cantSplit/>
          <w:tblHeader w:val="true"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临床全集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影像覆盖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影像未覆盖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扫描记录数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238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182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56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源患者数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176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135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41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年龄，岁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56.0 [47.0, 64.8]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56.5 [49.0, 66.0]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53.5 [45.0, 62.0]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男性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166/238 (69.7%)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132/182 (72.5%)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34/56 (60.7%)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肿瘤扫描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187/238 (78.6%)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141/182 (77.5%)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46/56 (82.1%)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治疗改变扫描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51/238 (21.4%)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41/182 (22.5%)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10/56 (17.9%)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距初始事件天数，已知记录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153.5 [37.0, 364.2]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154.0 [40.5, 359.5]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153.0 [33.5, 439.2]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间隔已知记录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192/238 (80.7%)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146/182 (80.2%)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46/56 (82.1%)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间隔缺失记录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46/238 (19.3%)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36/182 (19.8%)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10/56 (17.9%)</w:t>
            </w:r>
          </w:p>
        </w:tc>
      </w:tr>
      <w:tr>
        <w:trPr>
          <w:cantSplit/>
        </w:trPr>
        <w:tc>
          <w:tcPr>
            <w:tcW w:type="dxa" w:w="3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扫描前其他治疗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38/238 (16.0%)</w:t>
            </w:r>
          </w:p>
        </w:tc>
        <w:tc>
          <w:tcPr>
            <w:tcW w:type="dxa" w:w="2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25/182 (13.7%)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13/56 (23.2%)</w:t>
            </w:r>
          </w:p>
        </w:tc>
      </w:tr>
    </w:tbl>
    <w:p>
      <w:pPr>
        <w:spacing w:before="80"/>
      </w:pPr>
      <w:r>
        <w:rPr>
          <w:sz w:val="18"/>
        </w:rPr>
        <w:t>注：各列按扫描记录描述，源患者数逐列去重。本数据中覆盖135名与未覆盖41名患者无交叉。未进行组间显著性检验。</w:t>
      </w:r>
    </w:p>
    <w:p>
      <w:pPr>
        <w:pStyle w:val="Heading1"/>
      </w:pPr>
      <w:r>
        <w:t>标签与数据口径</w:t>
      </w:r>
    </w:p>
    <w:p>
      <w:r>
        <w:t>治疗改变来自公开阴性病例表；肿瘤标签沿用已冻结的公开总体分组补集规则，并非全部逐例病理确证。治疗改变包含多种治疗后改变，不等同于仅放射性脑坏死。</w:t>
      </w:r>
    </w:p>
    <w:p>
      <w:r>
        <w:t>普通BraTS全部正标签并集称为源标注区域。源标注盲法未确认，图像为8位派生版本、空间单位unknown，没有外部验证。</w:t>
      </w:r>
    </w:p>
    <w:p>
      <w:r>
        <w:br w:type="page"/>
      </w:r>
    </w:p>
    <w:p>
      <w:pPr>
        <w:pStyle w:val="Heading1"/>
      </w:pPr>
      <w:r>
        <w:t>表S2 固定模型变量及处理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0"/>
        <w:gridCol w:w="1760"/>
        <w:gridCol w:w="1840"/>
        <w:gridCol w:w="3840"/>
      </w:tblGrid>
      <w:tr>
        <w:trPr>
          <w:cantSplit/>
          <w:tblHeader w:val="true"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变量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纳入模型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19"/>
              </w:rPr>
              <w:t>处理与单位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age_years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年龄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M0 M1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训练折标准化；岁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sex_male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男性标记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M0 M1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男性1，女性0；不缩放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log_initial_event_days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初始事件间隔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M1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log1p天数；折内中位数填补及标准化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other_treatment_prior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扫描前其他治疗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M1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是1，否0；不缩放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initial_event_missing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间隔缺失标记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M1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缺失1；不缩放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FLAIR_mean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FLAIR 均值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MRI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无单位；训练折标准化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FLAIR_std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FLAIR 标准差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MRI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无单位，ddof=0；训练折标准化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FLAIR_entropy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FLAIR 熵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MRI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bit，固定32箱；训练折标准化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FLAIR_glcm_contrast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FLAIR GLCM对比度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MRI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箱索引差平方，13方向对称合并；训练折标准化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T1post_mean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T1post 均值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MRI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无单位；训练折标准化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T1post_std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T1post 标准差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MRI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无单位，ddof=0；训练折标准化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T1post_entropy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T1post 熵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MRI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bit，固定32箱；训练折标准化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T1post_glcm_contrast</w:t>
            </w:r>
          </w:p>
        </w:tc>
        <w:tc>
          <w:tcPr>
            <w:tcW w:type="dxa" w:w="1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T1post GLCM对比度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MRI Fusion</w:t>
            </w:r>
          </w:p>
        </w:tc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箱索引差平方，13方向对称合并；训练折标准化</w:t>
            </w:r>
          </w:p>
        </w:tc>
      </w:tr>
    </w:tbl>
    <w:p>
      <w:pPr>
        <w:spacing w:before="80"/>
      </w:pPr>
      <w:r>
        <w:rPr>
          <w:sz w:val="18"/>
        </w:rPr>
        <w:t>注：所有Logistic固定L2、C=1、lbfgs、max_iter=2000、class_weight=None。没有调参、筛特征或优化阈值。</w:t>
      </w:r>
    </w:p>
    <w:p>
      <w:pPr>
        <w:spacing w:before="80"/>
      </w:pPr>
      <w:r>
        <w:rPr>
          <w:sz w:val="18"/>
        </w:rPr>
        <w:t>注：MRI先按每图非零正值支持区p1/p99线性缩放，不裁切；源标注全部正标签并集。图像为uint8，空间单位unknown，不计算mL体积、毫米形态或定量ADC。</w:t>
      </w:r>
    </w:p>
    <w:p>
      <w:pPr>
        <w:spacing w:before="80"/>
      </w:pPr>
      <w:r>
        <w:rPr>
          <w:sz w:val="18"/>
        </w:rPr>
        <w:t>注：源日期偏移仅负值取相反数为正间隔；源偏移为0、正值或Unknown记缺失。表中使用已冻结的正天数或缺失。</w:t>
      </w:r>
    </w:p>
    <w:p>
      <w:r>
        <w:br w:type="page"/>
      </w:r>
    </w:p>
    <w:p>
      <w:pPr>
        <w:pStyle w:val="Heading1"/>
      </w:pPr>
      <w:r>
        <w:t>表S3 固定阈值识别与描述性校准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840"/>
        <w:gridCol w:w="1840"/>
        <w:gridCol w:w="1600"/>
        <w:gridCol w:w="1600"/>
        <w:gridCol w:w="1520"/>
      </w:tblGrid>
      <w:tr>
        <w:trPr>
          <w:cantSplit/>
          <w:tblHeader w:val="true"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治疗改变</w:t>
              <w:br/>
              <w:t>正确识别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肿瘤</w:t>
              <w:br/>
              <w:t>正确识别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平衡</w:t>
              <w:br/>
              <w:t>准确率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校准</w:t>
              <w:br/>
              <w:t>截距</w:t>
            </w:r>
          </w:p>
        </w:tc>
        <w:tc>
          <w:tcPr>
            <w:tcW w:type="dxa" w:w="1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校准</w:t>
              <w:br/>
              <w:t>斜率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年龄＋性别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0/41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140/141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49.6%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-0.0232</w:t>
            </w:r>
          </w:p>
        </w:tc>
        <w:tc>
          <w:tcPr>
            <w:tcW w:type="dxa" w:w="1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0.3115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扩展临床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2/41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134/141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50.0%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-0.0232</w:t>
            </w:r>
          </w:p>
        </w:tc>
        <w:tc>
          <w:tcPr>
            <w:tcW w:type="dxa" w:w="1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0.7615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MRI八项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12/41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128/141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60.0%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-0.0576</w:t>
            </w:r>
          </w:p>
        </w:tc>
        <w:tc>
          <w:tcPr>
            <w:tcW w:type="dxa" w:w="1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0.6775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临床＋MRI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12/41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130/141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60.7%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-0.1215</w:t>
            </w:r>
          </w:p>
        </w:tc>
        <w:tc>
          <w:tcPr>
            <w:tcW w:type="dxa" w:w="1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0.6673</w:t>
            </w:r>
          </w:p>
        </w:tc>
      </w:tr>
    </w:tbl>
    <w:p>
      <w:pPr>
        <w:spacing w:before="80"/>
      </w:pPr>
      <w:r>
        <w:rPr>
          <w:sz w:val="18"/>
        </w:rPr>
        <w:t>注：固定肿瘤概率≥0.5判肿瘤，&lt;0.5判治疗改变。校准截距采用斜率1的logit概率offset；斜率来自带自由截距的未惩罚回归，仅作描述，不重新校准预测。</w:t>
      </w:r>
    </w:p>
    <w:p>
      <w:pPr>
        <w:pStyle w:val="Heading1"/>
      </w:pPr>
      <w:r>
        <w:t>表S4 原标注区域与腐蚀边界敏感性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3040"/>
        <w:gridCol w:w="1600"/>
        <w:gridCol w:w="1840"/>
        <w:gridCol w:w="1920"/>
      </w:tblGrid>
      <w:tr>
        <w:trPr>
          <w:cantSplit/>
          <w:tblHeader w:val="true"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AUC（95%区间）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Brier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治疗改变AP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治疗改变识别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MRI八项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0.7625</w:t>
              <w:br/>
              <w:t>(0.6828, 0.8385)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0.1514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0.4444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12/41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临床＋MRI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0.7819</w:t>
              <w:br/>
              <w:t>(0.6977, 0.8595)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0.1442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0.5053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12/41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腐蚀MRI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0.7654</w:t>
              <w:br/>
              <w:t>(0.6836, 0.8440)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0.1495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0.4581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11/41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腐蚀融合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0.7881</w:t>
              <w:br/>
              <w:t>(0.7059, 0.8670)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0.1410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0.5292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14/41</w:t>
            </w:r>
          </w:p>
        </w:tc>
      </w:tr>
    </w:tbl>
    <w:p>
      <w:pPr>
        <w:spacing w:before="80"/>
      </w:pPr>
      <w:r>
        <w:rPr>
          <w:sz w:val="18"/>
        </w:rPr>
        <w:t>注：同病例、同折、同参数，腐蚀版本整体替换8项MRI特征。原ROI仍为主分析，不选择较高版本。</w:t>
      </w:r>
    </w:p>
    <w:p>
      <w:pPr>
        <w:spacing w:before="80"/>
      </w:pPr>
      <w:r>
        <w:rPr>
          <w:sz w:val="18"/>
        </w:rPr>
        <w:t>注：腐蚀Fusion减原Fusion的AUC差0.0062，95%区间−0.0051至0.0183。95%区间为2,000次患者配对bootstrap百分位区间，固定OOF概率，未重拟合模型，不涵盖全部训练和分折变异。</w:t>
      </w:r>
    </w:p>
    <w:p>
      <w:r>
        <w:br w:type="page"/>
      </w:r>
    </w:p>
    <w:p>
      <w:pPr>
        <w:pStyle w:val="Heading1"/>
      </w:pPr>
      <w:r>
        <w:t>表S5A 二十套固定患者分组验证的分布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0"/>
        <w:gridCol w:w="3360"/>
        <w:gridCol w:w="2880"/>
        <w:gridCol w:w="1920"/>
      </w:tblGrid>
      <w:tr>
        <w:trPr>
          <w:cantSplit/>
          <w:tblHeader w:val="true"/>
        </w:trPr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33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AUC中位数</w:t>
              <w:br/>
              <w:t>[Q1, Q3]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AUC范围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Brier</w:t>
              <w:br/>
              <w:t>中位数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年龄＋性别</w:t>
            </w:r>
          </w:p>
        </w:tc>
        <w:tc>
          <w:tcPr>
            <w:tcW w:type="dxa" w:w="33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0.5560</w:t>
              <w:br/>
              <w:t>[0.5285, 0.5669]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0.4889–0.5942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0.1744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扩展临床</w:t>
            </w:r>
          </w:p>
        </w:tc>
        <w:tc>
          <w:tcPr>
            <w:tcW w:type="dxa" w:w="33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0.6668</w:t>
              <w:br/>
              <w:t>[0.6496, 0.6702]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0.6199–0.6854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0.1634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MRI八项</w:t>
            </w:r>
          </w:p>
        </w:tc>
        <w:tc>
          <w:tcPr>
            <w:tcW w:type="dxa" w:w="33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0.7750</w:t>
              <w:br/>
              <w:t>[0.7681, 0.7827]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0.7592–0.7916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0.1482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临床＋MRI</w:t>
            </w:r>
          </w:p>
        </w:tc>
        <w:tc>
          <w:tcPr>
            <w:tcW w:type="dxa" w:w="33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0.7840</w:t>
              <w:br/>
              <w:t>[0.7749, 0.7952]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0.7589–0.8092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0.1429</w:t>
            </w:r>
          </w:p>
        </w:tc>
      </w:tr>
    </w:tbl>
    <w:p>
      <w:pPr>
        <w:spacing w:before="80"/>
      </w:pPr>
      <w:r>
        <w:rPr>
          <w:sz w:val="18"/>
        </w:rPr>
        <w:t>注：20套全部完整，同一批182次扫描反复分折。范围和四分位数不是95%置信区间，重复不是独立研究。主分析融合AUC为0.7819。</w:t>
      </w:r>
    </w:p>
    <w:p>
      <w:pPr>
        <w:pStyle w:val="Heading1"/>
      </w:pPr>
      <w:r>
        <w:t>表S5B 重复验证中融合减临床的差值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3200"/>
        <w:gridCol w:w="2800"/>
        <w:gridCol w:w="1600"/>
      </w:tblGrid>
      <w:tr>
        <w:trPr>
          <w:cantSplit/>
          <w:tblHeader w:val="true"/>
        </w:trPr>
        <w:tc>
          <w:tcPr>
            <w:tcW w:type="dxa" w:w="2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3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差值中位数</w:t>
              <w:br/>
              <w:t>[Q1, Q3]</w:t>
            </w:r>
          </w:p>
        </w:tc>
        <w:tc>
          <w:tcPr>
            <w:tcW w:type="dxa" w:w="2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有利方向</w:t>
              <w:br/>
              <w:t>重复数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AUC差</w:t>
            </w:r>
          </w:p>
        </w:tc>
        <w:tc>
          <w:tcPr>
            <w:tcW w:type="dxa" w:w="3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0.1248</w:t>
              <w:br/>
              <w:t>[0.1179, 0.1348]</w:t>
            </w:r>
          </w:p>
        </w:tc>
        <w:tc>
          <w:tcPr>
            <w:tcW w:type="dxa" w:w="2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0.1028–0.1504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20/20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治疗改变AP差</w:t>
            </w:r>
          </w:p>
        </w:tc>
        <w:tc>
          <w:tcPr>
            <w:tcW w:type="dxa" w:w="3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0.1252</w:t>
              <w:br/>
              <w:t>[0.1077, 0.1394]</w:t>
            </w:r>
          </w:p>
        </w:tc>
        <w:tc>
          <w:tcPr>
            <w:tcW w:type="dxa" w:w="2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0.0684–0.1761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20/20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Brier差</w:t>
            </w:r>
          </w:p>
        </w:tc>
        <w:tc>
          <w:tcPr>
            <w:tcW w:type="dxa" w:w="3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-0.0191</w:t>
              <w:br/>
              <w:t>[-0.0227, -0.0176]</w:t>
            </w:r>
          </w:p>
        </w:tc>
        <w:tc>
          <w:tcPr>
            <w:tcW w:type="dxa" w:w="2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-0.0267–-0.0138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20/20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Log loss差</w:t>
            </w:r>
          </w:p>
        </w:tc>
        <w:tc>
          <w:tcPr>
            <w:tcW w:type="dxa" w:w="3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-0.0467</w:t>
              <w:br/>
              <w:t>[-0.0582, -0.0377]</w:t>
            </w:r>
          </w:p>
        </w:tc>
        <w:tc>
          <w:tcPr>
            <w:tcW w:type="dxa" w:w="2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-0.0713–-0.0216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20/20</w:t>
            </w:r>
          </w:p>
        </w:tc>
      </w:tr>
    </w:tbl>
    <w:p>
      <w:pPr>
        <w:spacing w:before="80"/>
      </w:pPr>
      <w:r>
        <w:rPr>
          <w:sz w:val="18"/>
        </w:rPr>
        <w:t>注：有利方向：AUC及AP为正，Brier及log loss为负。20/20只描述点估计方向，不构成独立重复的显著性检验。</w:t>
      </w:r>
    </w:p>
    <w:p>
      <w:r>
        <w:br w:type="page"/>
      </w:r>
    </w:p>
    <w:p>
      <w:pPr>
        <w:pStyle w:val="Heading1"/>
      </w:pPr>
      <w:r>
        <w:t>表S6 每患者单扫描敏感性性能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3040"/>
        <w:gridCol w:w="1600"/>
        <w:gridCol w:w="1840"/>
        <w:gridCol w:w="1920"/>
      </w:tblGrid>
      <w:tr>
        <w:trPr>
          <w:cantSplit/>
          <w:tblHeader w:val="true"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AUC（95%区间）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Brier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治疗改变AP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治疗改变识别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年龄＋性别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0.5012</w:t>
              <w:br/>
              <w:t>(0.3643, 0.6386)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0.1372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0.2050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0/22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扩展临床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0.6094</w:t>
              <w:br/>
              <w:t>(0.4378, 0.7764)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0.1324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0.2834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0/22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MRI八项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0.7293</w:t>
              <w:br/>
              <w:t>(0.6086, 0.8366)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0.1299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0.3162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2/22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临床＋MRI</w:t>
            </w:r>
          </w:p>
        </w:tc>
        <w:tc>
          <w:tcPr>
            <w:tcW w:type="dxa" w:w="3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0.7297</w:t>
              <w:br/>
              <w:t>(0.6060, 0.8326)</w:t>
            </w:r>
          </w:p>
        </w:tc>
        <w:tc>
          <w:tcPr>
            <w:tcW w:type="dxa" w:w="1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0.1328</w:t>
            </w:r>
          </w:p>
        </w:tc>
        <w:tc>
          <w:tcPr>
            <w:tcW w:type="dxa" w:w="1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0.3219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2/22</w:t>
            </w:r>
          </w:p>
        </w:tc>
      </w:tr>
    </w:tbl>
    <w:p>
      <w:pPr>
        <w:spacing w:before="80"/>
      </w:pPr>
      <w:r>
        <w:rPr>
          <w:sz w:val="18"/>
        </w:rPr>
        <w:t>注：135条扫描，113次肿瘤、22次治疗改变。选择当前影像中最小数字会话编号，不称首次就诊。与182条主分析人群不同，不直接比较跨人群增量。</w:t>
      </w:r>
    </w:p>
    <w:p>
      <w:pPr>
        <w:spacing w:before="80"/>
      </w:pPr>
      <w:r>
        <w:rPr>
          <w:sz w:val="18"/>
        </w:rPr>
        <w:t>注：95%区间为2,000次患者配对bootstrap百分位区间，固定OOF概率，未重拟合模型，不涵盖全部训练和分折变异。</w:t>
      </w:r>
    </w:p>
    <w:p>
      <w:pPr>
        <w:pStyle w:val="Heading1"/>
      </w:pPr>
      <w:r>
        <w:t>表S7 单扫描人群中融合减临床的差值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0"/>
        <w:gridCol w:w="1920"/>
        <w:gridCol w:w="4320"/>
      </w:tblGrid>
      <w:tr>
        <w:trPr>
          <w:cantSplit/>
          <w:tblHeader w:val="true"/>
        </w:trPr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差值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95%区间</w:t>
            </w:r>
          </w:p>
        </w:tc>
      </w:tr>
      <w:tr>
        <w:trPr>
          <w:cantSplit/>
        </w:trPr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AUC差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0.1203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(-0.0151, 0.2522)</w:t>
            </w:r>
          </w:p>
        </w:tc>
      </w:tr>
      <w:tr>
        <w:trPr>
          <w:cantSplit/>
        </w:trPr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治疗改变AP差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0.0385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(-0.0733, 0.1566)</w:t>
            </w:r>
          </w:p>
        </w:tc>
      </w:tr>
      <w:tr>
        <w:trPr>
          <w:cantSplit/>
        </w:trPr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Brier差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0.0004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(-0.0171, 0.0197)</w:t>
            </w:r>
          </w:p>
        </w:tc>
      </w:tr>
      <w:tr>
        <w:trPr>
          <w:cantSplit/>
        </w:trPr>
        <w:tc>
          <w:tcPr>
            <w:tcW w:type="dxa" w:w="3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Log loss差</w:t>
            </w:r>
          </w:p>
        </w:tc>
        <w:tc>
          <w:tcPr>
            <w:tcW w:type="dxa" w:w="1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-0.0141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(-0.0731, 0.0501)</w:t>
            </w:r>
          </w:p>
        </w:tc>
      </w:tr>
    </w:tbl>
    <w:p>
      <w:pPr>
        <w:spacing w:before="80"/>
      </w:pPr>
      <w:r>
        <w:rPr>
          <w:sz w:val="18"/>
        </w:rPr>
        <w:t>注：135条相同病例及折内模型配对。AUC、AP和Brier差的区间均跨零。</w:t>
      </w:r>
    </w:p>
    <w:p>
      <w:pPr>
        <w:spacing w:before="80"/>
      </w:pPr>
      <w:r>
        <w:rPr>
          <w:sz w:val="18"/>
        </w:rPr>
        <w:t>注：95%区间为2,000次患者配对bootstrap百分位区间，固定OOF概率，未重拟合模型，不涵盖全部训练和分折变异。</w:t>
      </w:r>
    </w:p>
    <w:p>
      <w:pPr>
        <w:pStyle w:val="Heading1"/>
      </w:pPr>
      <w:r>
        <w:t>数据来源</w:t>
      </w:r>
    </w:p>
    <w:p>
      <w:r>
        <w:t>UCSD-PTGBM，数据DOI 10.7937/fwv2-dt74；描述论文DOI 10.1038/s41597-025-06499-z。公开镜像：https://github.com/data-nih/tcia/releases。数据许可CC BY 4.0，具体文件清单及校验值保留于项目。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imbus Roman" w:hAnsi="Nimbus Roman" w:eastAsia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Nimbus Roman" w:hAnsi="Nimbus Roman" w:eastAsia="Noto Serif CJK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mbus Roman" w:hAnsi="Nimbus Roman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Nimbus Roman" w:hAnsi="Nimbus Roman" w:eastAsia="Noto Serif CJK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