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4.12 Priorities for further evaluation</w:t>
      </w:r>
    </w:p>
    <w:p>
      <w:pPr>
        <w:keepNext/>
        <w:keepLines/>
      </w:pPr>
      <w:r>
        <w:t>Further work should prioritize independently adjudicated examination diagnoses and documented annotation procedures, including the information available to annotators. Acquisition metadata and spatial scales should be verified, with preprocessing specified before evaluation. The locked clinical and fusion pipelines should be evaluated in an independent cohort representing the intended population, with sample size planned for precise performance estimation (15,16). Assessment should give particular attention to treatment-related-change recognition and calibration, alongside discrimination and probability error. Any clinical-utility study would additionally require a defined action and justified thresholds. These studies would provide evidence on whether the observed imaging increment persists beyond the present dataset.</w:t>
      </w:r>
    </w:p>
    <w:p>
      <w:pPr>
        <w:keepLines/>
      </w:pPr>
      <w:r>
        <w:rPr>
          <w:sz w:val="22"/>
        </w:rPr>
        <w:t>后续工作应优先取得经过独立裁定的检查诊断，并记录标注流程，包括标注者能够获得的信息。应核实采集元数据及空间尺度，并在评价前确定预处理流程。应在代表目标人群的独立队列中评价已锁定的临床与融合流程，并以精确估计性能为目标规划样本量（15,16）。除鉴别能力及概率误差外，评价尤其应关注治疗相关改变的识别与校准。任何临床效用研究还需要明确相应处置，并为阈值提供依据。这些研究将为所观察到的影像增量能否延续至当前数据集之外提供证据。</w:t>
      </w:r>
    </w:p>
    <w:p>
      <w:pPr>
        <w:pStyle w:val="Heading1"/>
        <w:pageBreakBefore w:val="0"/>
      </w:pPr>
      <w:r>
        <w:t>References</w:t>
      </w:r>
    </w:p>
    <w:p>
      <w:pPr>
        <w:keepLines/>
      </w:pPr>
      <w:r>
        <w:t>15. Riley RD, Archer L, Snell KIE, Ensor J, Dhiman P, Martin GP, et al. Evaluation of clinical prediction models (part 2): how to undertake an external validation study. BMJ. 2024;384:e074820. doi: 10.1136/bmj-2023-074820.</w:t>
      </w:r>
    </w:p>
    <w:p>
      <w:pPr>
        <w:keepLines/>
      </w:pPr>
      <w:r>
        <w:t>16. Riley RD, Snell KIE, Archer L, Ensor J, Debray TPA, van Calster B, et al. Evaluation of clinical prediction models (part 3): calculating the sample size required for an external validation study. BMJ. 2024;384:e074821. doi: 10.1136/bmj-2023-074821.</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4.12 Priorities for further evaluation</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