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4.6 Boundary and split robustness</w:t>
      </w:r>
    </w:p>
    <w:p>
      <w:pPr>
        <w:keepNext/>
        <w:keepLines/>
      </w:pPr>
      <w:r>
        <w:t>Boundary perturbation and repeated partitioning probe different sources of sensitivity. For Fusion, the eroded-minus-original AUC difference was 0.0062, with a conditional paired interval spanning zero. Preserving the original normalization and binning references while eroding the ROI suggests limited sensitivity to that specific boundary change under the fixed workflow. The result does not demonstrate equivalence or segmentation accuracy. Martin et al. examined scan-rescan repeatability of diffusion and perfusion radiomics (13), a measurement property that our erosion analysis does not test. Repeated patient-grouped validation instead examined sensitivity to the allocation of patients across training folds. The Fusion-minus-M1 AUC difference remained positive in all 20 partitions, supporting directional consistency within the available cohort. Because the same patients and labels were reused, the repetitions were neither independent replications nor external validation. Patient grouping addresses the dependence risk illustrated by Rosenblatt et al. using duplicated scans in connectome prediction (14), although that experiment does not quantify bias in our diagnostic task. Together, the analyses strengthen the internal sensitivity assessment while leaving uncertainty about source annotations, reference diagnoses and performance at other institutions unresolved. The original ROI and prespecified primary partition remain the basis of the main comparison.</w:t>
      </w:r>
    </w:p>
    <w:p>
      <w:pPr>
        <w:keepLines/>
      </w:pPr>
      <w:r>
        <w:rPr>
          <w:sz w:val="22"/>
        </w:rPr>
        <w:t>边界扰动和重复分折考察的是不同的敏感性来源。对于Fusion，腐蚀后减去原始ROI的AUC差值为0.0062，其条件性配对区间跨零。在保留原归一化及分箱参考的同时腐蚀ROI，提示在固定流程下，结果对这一特定边界变化的敏感性有限；该结果不能证明等价性或分割准确性。Martin等考察了扩散和灌注影像组学的扫描—重扫描可重复性（13），这是我们的腐蚀分析未检验的一种测量属性。重复患者分组验证则考察患者在训练折间分配所带来的敏感性。全部20套分折的Fusion减去M1的AUC差值均为正，支持现有队列内增量方向的一致性。由于重复使用了相同患者和标签，这些重复并非独立重复研究或外部验证。患者分组有助于应对Rosenblatt等通过连接组预测中的扫描复制实验所展示的依赖性风险（14），但该实验不能量化我们诊断任务中的偏倚。综合来看，这些分析加强了内部敏感性评价，但源标注、参考诊断以及其他机构中的表现仍存在未解决的不确定性。主要比较仍以原始ROI和预先指定的主分折为依据。</w:t>
      </w:r>
    </w:p>
    <w:p>
      <w:pPr>
        <w:pStyle w:val="Heading1"/>
        <w:pageBreakBefore/>
      </w:pPr>
      <w:r>
        <w:t>References</w:t>
      </w:r>
    </w:p>
    <w:p>
      <w:pPr>
        <w:keepLines/>
      </w:pPr>
      <w:r>
        <w:t>13. Martin P, Holloway L, Metcalfe P, Koh ES, Aly F, Chan E, et al. Repeatability of diffusion and perfusion MRI derived radiomic features in glioblastoma: a test-retest study. Phys Eng Sci Med. 2025;48(4):1691-1702. doi: 10.1007/s13246-025-01613-2.</w:t>
      </w:r>
    </w:p>
    <w:p>
      <w:pPr>
        <w:keepLines/>
      </w:pPr>
      <w:r>
        <w:t>14. Rosenblatt M, Tejavibulya L, Jiang R, Noble S, Scheinost D. Data leakage inflates prediction performance in connectome-based machine learning models. Nat Commun. 2024;15(1):1829. doi: 10.1038/s41467-024-46150-w.</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4.6 Boundary and split robustness</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