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2.4 MRI inputs and annotation region</w:t>
      </w:r>
    </w:p>
    <w:p>
      <w:pPr>
        <w:keepNext/>
        <w:keepLines/>
        <w:pageBreakBefore w:val="0"/>
      </w:pPr>
      <w:r>
        <w:t>For each of the 182 included examinations, we used a FLAIR volume, a postcontrast T1-weighted volume and the accompanying standard BraTS mask, giving 546 compressed NIfTI files. File checks covered recorded byte counts and SHA256 digests, gzip integrity, three-dimensional array decoding, finite voxel values and valid header affines. Within each examination, the images and mask were required to have matching dimensions, spatial-unit fields and coded coordinate forms. Affine corner coordinates were compared using a tolerance of 0.000001 in the supplied coordinates. This established voxel-grid consistency for computation, without independently validating anatomical alignment. All files contained 256 by 256 by 256 arrays stored as unsigned 8-bit integers, and their spatial-unit fields were unknown. We analyzed the supplied derived voxel grids without additional registration or resampling and did not infer millimeter dimensions or physical volumes from their headers. Structural MRI intensities were treated as derived values. Quantitative diffusion measurements were not included.</w:t>
      </w:r>
    </w:p>
    <w:p>
      <w:pPr>
        <w:keepLines/>
      </w:pPr>
      <w:r>
        <w:rPr>
          <w:sz w:val="22"/>
        </w:rPr>
        <w:t>对于纳入的182次检查，每次使用一份FLAIR图像、一份增强T1加权图像及其配套的标准BraTS掩膜，共546份压缩NIfTI文件。文件检查包括所记录的字节数与SHA256校验值、gzip完整性、三维数组解码、体素值有限性及头信息仿射矩阵有效性。同一次检查的图像和掩膜须具有一致的维度、空间单位字段及有编码的坐标形式。仿射矩阵所确定的角点坐标按所提供坐标数值0.000001的容差比较。这一检查用于确认计算所需的体素网格一致性，并未独立验证解剖对齐准确性。全部文件均包含256×256×256的数组，以无符号8位整数存储，空间单位字段均为未知。我们在所提供的派生体素网格上分析，没有追加配准或重采样，也未依据这些头信息推断毫米尺寸或物理体积。结构MRI强度按派生数值处理，未纳入定量弥散测量。</w:t>
      </w:r>
    </w:p>
    <w:p>
      <w:pPr>
        <w:keepNext/>
        <w:keepLines/>
        <w:pageBreakBefore/>
      </w:pPr>
      <w:r>
        <w:t>The dataset authors describe standard BraTS annotations generated by automated segmentation, followed by radiologist correction and approval (1). Our analysis used the existing masks supplied with the mirror. For each examination, the region of interest (ROI) was the union of all strictly positive integer labels in its standard BraTS mask. The same rule was applied to both diagnostic classes and retained every connected component, without selecting the largest region, filling holes or expanding boundaries. Masks containing negative, noninteger or nonfinite values, empty unions and masks covering the entire array were ineligible. All 182 included examinations yielded valid nonempty unions. The ROI was treated as the source annotation region, without assigning tissue-specific interpretations to individual numeric codes. The separate cellular tumor reference masks were not used. We did not train a segmentation model or revise the supplied contours. Our union operation did not read the diagnostic label; blinding of the upstream annotation process to reference diagnostic information could not be verified.</w:t>
      </w:r>
    </w:p>
    <w:p>
      <w:pPr>
        <w:keepLines/>
      </w:pPr>
      <w:r>
        <w:rPr>
          <w:sz w:val="22"/>
        </w:rPr>
        <w:t>数据集作者介绍，标准BraTS标注由自动分割生成，再由放射科医师修正并审核（1）。本研究使用镜像中已有的掩膜。对于每次检查，感兴趣区域（ROI）定义为其标准BraTS掩膜中全部严格正整数标签的并集。两类诊断均采用同一规则，保留全部连通分量，不选择最大区域、不填洞，也不扩展边界。含负值、非整数或非有限值的掩膜、空并集及覆盖整个数组的掩膜不符合纳入条件。纳入的182次检查均得到有效的非空并集。ROI按源标注区域解释，不为各个数字代码指定特定组织含义。独立提供的细胞性肿瘤参考掩膜未被使用。本研究未训练分割模型，也未修订已有轮廓。并集运算不读取诊断标签；对于上游标注过程是否对参考诊断信息设盲，尚无法确认。</w:t>
      </w:r>
    </w:p>
    <w:p>
      <w:pPr>
        <w:pStyle w:val="Heading1"/>
      </w:pPr>
      <w:r>
        <w:t>References</w:t>
      </w:r>
    </w:p>
    <w:p>
      <w:pPr>
        <w:keepLines/>
      </w:pPr>
      <w:r>
        <w:rPr>
          <w:sz w:val="22"/>
        </w:rPr>
        <w:t>1. Gagnon L, Gupta D, Nguyen U, Correia de Verdier M, Saluja R, Mastorakos G, et al. The University of California San Diego Post-Treatment Glioblastoma (UCSD-PTGBM) annotated multimodal MRI Dataset. Sci Data. 2026;13(1):183. doi: 10.1038/s41597-025-06499-z.</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0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2.4 MRI inputs and annotation region</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