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2.8 Calibration assessment</w:t>
      </w:r>
    </w:p>
    <w:p>
      <w:pPr>
        <w:keepNext/>
        <w:keepLines/>
        <w:pageBreakBefore w:val="0"/>
      </w:pPr>
      <w:r>
        <w:t>Calibration was assessed descriptively using the pooled OOF tumor probabilities. For each model, we requested five probability quantile groups, dropping duplicate boundaries and retaining the actual nonempty groups. Each group was summarized by its examination count, mean predicted probability, observed tumor proportion and tumor count. Calibration-in-the-large was estimated as an intercept with the coefficient of the predicted log odds fixed at one (Equation 9). A separate unpenalized logistic diagnostic regression estimated a free intercept and calibration slope jointly (Equation 10). Here, p denotes the saved OOF probability and q the fitted diagnostic probability. For logit calculations only, p was clipped to machine epsilon and one minus machine epsilon. The offset intercept was distinguished from the joint intercept accompanying the slope. Failed or separated fits were retained as missing estimates with their recorded errors. These diagnostics used the same OOF predictions being evaluated and did not constitute independent validation. We did not use them to recalibrate predictions, alter the fixed classification threshold or replace any evaluated OOF probabilities.</w:t>
      </w:r>
    </w:p>
    <w:p>
      <w:pPr>
        <w:keepLines/>
      </w:pPr>
      <w:r>
        <w:rPr>
          <w:sz w:val="22"/>
        </w:rPr>
        <w:t>使用汇总的OOF肿瘤概率进行描述性校准评估。对每个模型，设定五个概率分位组，删除重复边界并保留实际非空组。每组汇总检查数、平均预测概率、实际肿瘤比例和肿瘤数。总体校准偏差通过固定预测对数优势系数为1的截距估计（Equation 9）。另以未惩罚的Logistic诊断回归联合估计自由截距与校准斜率（Equation 10）。其中，p表示已保存的OOF概率，q表示诊断拟合概率。仅在计算logit时，将p限制在机器精度epsilon与1减epsilon之间。固定offset的截距与伴随斜率联合估计的截距分别记录。拟合失败或发生分离时，估计值保留为缺失，并记录错误原因。这些诊断使用正在评价的同一批OOF预测，不构成独立验证。我们未据此重新校准预测、改变固定分类阈值或替换任何被评价的OOF概率。</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offset</m:t>
            </m:r>
          </m:sub>
        </m:sSub>
        <m:r>
          <w:rPr>
            <w:rFonts w:ascii="Cambria Math" w:hAnsi="Cambria Math"/>
            <w:sz w:val="24"/>
          </w:rPr>
          <m:t xml:space="preserve"> +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(9)</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joint</m:t>
            </m:r>
          </m:sub>
        </m:sSub>
        <m:r>
          <w:rPr>
            <w:rFonts w:ascii="Cambria Math" w:hAnsi="Cambria Math"/>
            <w:sz w:val="24"/>
          </w:rPr>
          <m:t xml:space="preserve"> + b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(10)</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2.8 Calibration assessment</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