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c6b75"/>
          <w:sz w:val="16"/>
          <w:szCs w:val="16"/>
          <w:u w:val="none"/>
          <w:shd w:fill="auto" w:val="clear"/>
          <w:vertAlign w:val="baseline"/>
          <w:rtl w:val="0"/>
        </w:rPr>
        <w:t xml:space="preserve">DOCUMENTO DE INVESTIGACIÓN</w:t>
      </w:r>
    </w:p>
    <w:p w:rsidR="00000000" w:rsidDel="00000000" w:rsidP="00000000" w:rsidRDefault="00000000" w:rsidRPr="00000000" w14:paraId="00000002">
      <w:pPr>
        <w:rPr/>
      </w:pPr>
      <w:r w:rsidDel="00000000" w:rsidR="00000000" w:rsidRPr="00000000">
        <w:rPr>
          <w:rtl w:val="0"/>
        </w:rPr>
        <w:br w:type="textWrapping"/>
      </w:r>
    </w:p>
    <w:p w:rsidR="00000000" w:rsidDel="00000000" w:rsidP="00000000" w:rsidRDefault="00000000" w:rsidRPr="00000000" w14:paraId="00000003">
      <w:pPr>
        <w:pStyle w:val="Title"/>
        <w:rPr/>
      </w:pPr>
      <w:r w:rsidDel="00000000" w:rsidR="00000000" w:rsidRPr="00000000">
        <w:rPr>
          <w:rtl w:val="0"/>
        </w:rPr>
        <w:t xml:space="preserve">PUCARÁ</w:t>
      </w:r>
    </w:p>
    <w:p w:rsidR="00000000" w:rsidDel="00000000" w:rsidP="00000000" w:rsidRDefault="00000000" w:rsidRPr="00000000" w14:paraId="00000004">
      <w:pPr>
        <w:rPr/>
      </w:pPr>
      <w:r w:rsidDel="00000000" w:rsidR="00000000" w:rsidRPr="00000000">
        <w:rPr>
          <w:rFonts w:ascii="Play" w:cs="Play" w:eastAsia="Play" w:hAnsi="Play"/>
          <w:b w:val="1"/>
          <w:bCs w:val="1"/>
          <w:color w:val="1d537f"/>
          <w:sz w:val="40"/>
          <w:szCs w:val="40"/>
          <w:rtl w:val="0"/>
        </w:rPr>
        <w:t xml:space="preserve">Evidencia de validación del problema</w:t>
        <w:br w:type="textWrapping"/>
        <w:t xml:space="preserve">y reporte ejecutivo de oportunidad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Autocustodia institucional sobre Stellar · Multisig 2-de-3 · Passkeys/WebAuthn</w:t>
      </w:r>
    </w:p>
    <w:p w:rsidR="00000000" w:rsidDel="00000000" w:rsidP="00000000" w:rsidRDefault="00000000" w:rsidRPr="00000000" w14:paraId="00000006">
      <w:pPr>
        <w:rPr/>
      </w:pPr>
      <w:r w:rsidDel="00000000" w:rsidR="00000000" w:rsidRPr="00000000">
        <w:rPr>
          <w:rtl w:val="0"/>
        </w:rPr>
        <w:br w:type="textWrapping"/>
      </w:r>
    </w:p>
    <w:tbl>
      <w:tblPr>
        <w:tblStyle w:val="Table1"/>
        <w:tblW w:w="9764.0" w:type="dxa"/>
        <w:jc w:val="left"/>
        <w:tblInd w:w="-115.0" w:type="dxa"/>
        <w:tblLayout w:type="fixed"/>
        <w:tblLook w:val="0400"/>
      </w:tblPr>
      <w:tblGrid>
        <w:gridCol w:w="9764"/>
        <w:tblGridChange w:id="0">
          <w:tblGrid>
            <w:gridCol w:w="9764"/>
          </w:tblGrid>
        </w:tblGridChange>
      </w:tblGrid>
      <w:tr>
        <w:trPr>
          <w:cantSplit w:val="0"/>
          <w:tblHeader w:val="0"/>
        </w:trPr>
        <w:tc>
          <w:tcPr>
            <w:shd w:fill="eaf2f4" w:val="clear"/>
          </w:tcPr>
          <w:p w:rsidR="00000000" w:rsidDel="00000000" w:rsidP="00000000" w:rsidRDefault="00000000" w:rsidRPr="00000000" w14:paraId="00000007">
            <w:pPr>
              <w:spacing w:after="100" w:lineRule="auto"/>
              <w:rPr/>
            </w:pPr>
            <w:r w:rsidDel="00000000" w:rsidR="00000000" w:rsidRPr="00000000">
              <w:rPr>
                <w:b w:val="1"/>
                <w:bCs w:val="1"/>
                <w:color w:val="226e70"/>
                <w:sz w:val="16"/>
                <w:szCs w:val="16"/>
                <w:rtl w:val="0"/>
              </w:rPr>
              <w:t xml:space="preserve">TESIS DE INVERSIÓN / PROBLEMA</w:t>
              <w:br w:type="textWrapping"/>
            </w:r>
            <w:r w:rsidDel="00000000" w:rsidR="00000000" w:rsidRPr="00000000">
              <w:rPr>
                <w:b w:val="1"/>
                <w:bCs w:val="1"/>
                <w:color w:val="19283a"/>
                <w:sz w:val="20"/>
                <w:szCs w:val="20"/>
                <w:rtl w:val="0"/>
              </w:rPr>
              <w:t xml:space="preserve">La autorización de activos digitales es un proceso organizacional: requiere control compartido, baja fricción de uso y evidencias verificables, no solamente una wallet con una clave.</w:t>
            </w:r>
            <w:r w:rsidDel="00000000" w:rsidR="00000000" w:rsidRPr="00000000">
              <w:rPr>
                <w:rtl w:val="0"/>
              </w:rPr>
            </w:r>
          </w:p>
        </w:tc>
      </w:tr>
    </w:tbl>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rPr>
          <w:rFonts w:ascii="Arial" w:cs="Arial" w:eastAsia="Arial" w:hAnsi="Arial"/>
          <w:sz w:val="22"/>
          <w:szCs w:val="22"/>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5c6b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c6b75"/>
          <w:sz w:val="22"/>
          <w:szCs w:val="22"/>
          <w:u w:val="none"/>
          <w:shd w:fill="auto" w:val="clear"/>
          <w:vertAlign w:val="baseline"/>
          <w:rtl w:val="0"/>
        </w:rPr>
        <w:t xml:space="preserve">17 de octubre de 2026</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color w:val="5c6b75"/>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i w:val="0"/>
          <w:iCs w:val="0"/>
          <w:smallCaps w:val="0"/>
          <w:strike w:val="0"/>
          <w:color w:val="5c6b75"/>
          <w:sz w:val="22"/>
          <w:szCs w:val="22"/>
          <w:u w:val="none"/>
          <w:shd w:fill="auto" w:val="clear"/>
          <w:vertAlign w:val="baseline"/>
        </w:rPr>
      </w:pPr>
      <w:r w:rsidDel="00000000" w:rsidR="00000000" w:rsidRPr="00000000">
        <w:rPr>
          <w:rFonts w:ascii="Arial" w:cs="Arial" w:eastAsia="Arial" w:hAnsi="Arial"/>
          <w:i w:val="0"/>
          <w:iCs w:val="0"/>
          <w:smallCaps w:val="0"/>
          <w:strike w:val="0"/>
          <w:color w:val="5c6b75"/>
          <w:sz w:val="22"/>
          <w:szCs w:val="22"/>
          <w:u w:val="none"/>
          <w:shd w:fill="auto" w:val="clear"/>
          <w:vertAlign w:val="baseline"/>
          <w:rtl w:val="0"/>
        </w:rPr>
        <w:t xml:space="preserve">Investigación documental y fuentes públicas; sin entrevistas primarias atribuidas a Pucará</w:t>
      </w:r>
    </w:p>
    <w:p w:rsidR="00000000" w:rsidDel="00000000" w:rsidP="00000000" w:rsidRDefault="00000000" w:rsidRPr="00000000" w14:paraId="0000000D">
      <w:pPr>
        <w:rPr>
          <w:rFonts w:ascii="Arial" w:cs="Arial" w:eastAsia="Arial" w:hAnsi="Arial"/>
          <w:i w:val="0"/>
          <w:iCs w:val="0"/>
          <w:smallCaps w:val="0"/>
          <w:strike w:val="0"/>
          <w:color w:val="5c6b7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Resumen ejecutivo</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Pucará propone una smart account institucional nativa de Stellar que permite custodiar activos bajo control compartido: actualmente en la v1 utilizando un quorum 2 de 3, con autenticación por passkeys/WebAuthn. Su enfoque es evitar que una decisión de tesorería dependa de una única persona o de la administración manual de seed phrases. [S17, S18, S22]</w:t>
      </w:r>
    </w:p>
    <w:tbl>
      <w:tblPr>
        <w:tblStyle w:val="Table2"/>
        <w:tblW w:w="9764.0" w:type="dxa"/>
        <w:jc w:val="left"/>
        <w:tblInd w:w="-115.0" w:type="dxa"/>
        <w:tblLayout w:type="fixed"/>
        <w:tblLook w:val="0400"/>
      </w:tblPr>
      <w:tblGrid>
        <w:gridCol w:w="9764"/>
        <w:tblGridChange w:id="0">
          <w:tblGrid>
            <w:gridCol w:w="9764"/>
          </w:tblGrid>
        </w:tblGridChange>
      </w:tblGrid>
      <w:tr>
        <w:trPr>
          <w:cantSplit w:val="0"/>
          <w:tblHeader w:val="0"/>
        </w:trPr>
        <w:tc>
          <w:tcPr>
            <w:shd w:fill="eaf2f4" w:val="clear"/>
          </w:tcPr>
          <w:p w:rsidR="00000000" w:rsidDel="00000000" w:rsidP="00000000" w:rsidRDefault="00000000" w:rsidRPr="00000000" w14:paraId="00000011">
            <w:pPr>
              <w:spacing w:after="100" w:lineRule="auto"/>
              <w:rPr>
                <w:rFonts w:ascii="Arial" w:cs="Arial" w:eastAsia="Arial" w:hAnsi="Arial"/>
              </w:rPr>
            </w:pPr>
            <w:r w:rsidDel="00000000" w:rsidR="00000000" w:rsidRPr="00000000">
              <w:rPr>
                <w:rFonts w:ascii="Arial" w:cs="Arial" w:eastAsia="Arial" w:hAnsi="Arial"/>
                <w:b w:val="1"/>
                <w:bCs w:val="1"/>
                <w:color w:val="226e70"/>
                <w:sz w:val="16"/>
                <w:szCs w:val="16"/>
                <w:rtl w:val="0"/>
              </w:rPr>
              <w:t xml:space="preserve">DICTAMEN DE LA INVESTIGACIÓN</w:t>
              <w:br w:type="textWrapping"/>
            </w:r>
            <w:r w:rsidDel="00000000" w:rsidR="00000000" w:rsidRPr="00000000">
              <w:rPr>
                <w:rFonts w:ascii="Arial" w:cs="Arial" w:eastAsia="Arial" w:hAnsi="Arial"/>
                <w:b w:val="1"/>
                <w:bCs w:val="1"/>
                <w:color w:val="19283a"/>
                <w:sz w:val="20"/>
                <w:szCs w:val="20"/>
                <w:rtl w:val="0"/>
              </w:rPr>
              <w:t xml:space="preserve">Oportunidad </w:t>
            </w:r>
            <w:r w:rsidDel="00000000" w:rsidR="00000000" w:rsidRPr="00000000">
              <w:rPr>
                <w:rFonts w:ascii="Arial" w:cs="Arial" w:eastAsia="Arial" w:hAnsi="Arial"/>
                <w:b w:val="1"/>
                <w:bCs w:val="1"/>
                <w:sz w:val="20"/>
                <w:szCs w:val="20"/>
                <w:rtl w:val="0"/>
              </w:rPr>
              <w:t xml:space="preserve">real</w:t>
            </w:r>
            <w:r w:rsidDel="00000000" w:rsidR="00000000" w:rsidRPr="00000000">
              <w:rPr>
                <w:rFonts w:ascii="Arial" w:cs="Arial" w:eastAsia="Arial" w:hAnsi="Arial"/>
                <w:b w:val="1"/>
                <w:bCs w:val="1"/>
                <w:color w:val="19283a"/>
                <w:sz w:val="20"/>
                <w:szCs w:val="20"/>
                <w:rtl w:val="0"/>
              </w:rPr>
              <w:t xml:space="preserve"> y bien fundamentada, con evidencia externa fuerte del riesgo, validación de mercado por precios de incumbentes y evidencia de mejor UX para passkeys.</w:t>
            </w:r>
            <w:r w:rsidDel="00000000" w:rsidR="00000000" w:rsidRPr="00000000">
              <w:rPr>
                <w:rtl w:val="0"/>
              </w:rPr>
            </w:r>
          </w:p>
        </w:tc>
      </w:tr>
    </w:tbl>
    <w:p w:rsidR="00000000" w:rsidDel="00000000" w:rsidP="00000000" w:rsidRDefault="00000000" w:rsidRPr="00000000" w14:paraId="00000012">
      <w:pPr>
        <w:pStyle w:val="Heading2"/>
        <w:rPr/>
      </w:pPr>
      <w:r w:rsidDel="00000000" w:rsidR="00000000" w:rsidRPr="00000000">
        <w:rPr>
          <w:rtl w:val="0"/>
        </w:rPr>
      </w:r>
    </w:p>
    <w:tbl>
      <w:tblPr>
        <w:tblStyle w:val="Table3"/>
        <w:tblW w:w="9765.0" w:type="dxa"/>
        <w:jc w:val="center"/>
        <w:tblBorders>
          <w:top w:color="4f81bd" w:space="0" w:sz="8" w:val="single"/>
          <w:bottom w:color="4f81bd" w:space="0" w:sz="8" w:val="single"/>
        </w:tblBorders>
        <w:tblLayout w:type="fixed"/>
        <w:tblLook w:val="04A0"/>
      </w:tblPr>
      <w:tblGrid>
        <w:gridCol w:w="3255"/>
        <w:gridCol w:w="3255"/>
        <w:gridCol w:w="3255"/>
        <w:tblGridChange w:id="0">
          <w:tblGrid>
            <w:gridCol w:w="3255"/>
            <w:gridCol w:w="3255"/>
            <w:gridCol w:w="3255"/>
          </w:tblGrid>
        </w:tblGridChange>
      </w:tblGrid>
      <w:tr>
        <w:trPr>
          <w:cantSplit w:val="0"/>
          <w:tblHeader w:val="1"/>
        </w:trPr>
        <w:tc>
          <w:tcPr>
            <w:shd w:fill="e4eff2" w:val="clear"/>
          </w:tcPr>
          <w:p w:rsidR="00000000" w:rsidDel="00000000" w:rsidP="00000000" w:rsidRDefault="00000000" w:rsidRPr="00000000" w14:paraId="00000013">
            <w:pPr>
              <w:rPr/>
            </w:pPr>
            <w:r w:rsidDel="00000000" w:rsidR="00000000" w:rsidRPr="00000000">
              <w:rPr>
                <w:b w:val="1"/>
                <w:bCs w:val="1"/>
                <w:color w:val="1d537f"/>
                <w:sz w:val="16"/>
                <w:szCs w:val="16"/>
                <w:rtl w:val="0"/>
              </w:rPr>
              <w:t xml:space="preserve">HECHO VERIFICADO</w:t>
            </w:r>
            <w:r w:rsidDel="00000000" w:rsidR="00000000" w:rsidRPr="00000000">
              <w:rPr>
                <w:rtl w:val="0"/>
              </w:rPr>
            </w:r>
          </w:p>
        </w:tc>
        <w:tc>
          <w:tcPr>
            <w:shd w:fill="e4eff2" w:val="clear"/>
          </w:tcPr>
          <w:p w:rsidR="00000000" w:rsidDel="00000000" w:rsidP="00000000" w:rsidRDefault="00000000" w:rsidRPr="00000000" w14:paraId="00000014">
            <w:pPr>
              <w:rPr/>
            </w:pPr>
            <w:r w:rsidDel="00000000" w:rsidR="00000000" w:rsidRPr="00000000">
              <w:rPr>
                <w:b w:val="1"/>
                <w:bCs w:val="1"/>
                <w:color w:val="1d537f"/>
                <w:sz w:val="16"/>
                <w:szCs w:val="16"/>
                <w:rtl w:val="0"/>
              </w:rPr>
              <w:t xml:space="preserve">DATO</w:t>
            </w:r>
            <w:r w:rsidDel="00000000" w:rsidR="00000000" w:rsidRPr="00000000">
              <w:rPr>
                <w:rtl w:val="0"/>
              </w:rPr>
            </w:r>
          </w:p>
        </w:tc>
        <w:tc>
          <w:tcPr>
            <w:shd w:fill="e4eff2" w:val="clear"/>
          </w:tcPr>
          <w:p w:rsidR="00000000" w:rsidDel="00000000" w:rsidP="00000000" w:rsidRDefault="00000000" w:rsidRPr="00000000" w14:paraId="00000015">
            <w:pPr>
              <w:rPr/>
            </w:pPr>
            <w:r w:rsidDel="00000000" w:rsidR="00000000" w:rsidRPr="00000000">
              <w:rPr>
                <w:b w:val="1"/>
                <w:bCs w:val="1"/>
                <w:color w:val="1d537f"/>
                <w:sz w:val="16"/>
                <w:szCs w:val="16"/>
                <w:rtl w:val="0"/>
              </w:rPr>
              <w:t xml:space="preserve">LECTURA PARA PUCARÁ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60" w:before="60" w:lineRule="auto"/>
              <w:rPr/>
            </w:pPr>
            <w:r w:rsidDel="00000000" w:rsidR="00000000" w:rsidRPr="00000000">
              <w:rPr>
                <w:sz w:val="15"/>
                <w:szCs w:val="15"/>
                <w:rtl w:val="0"/>
              </w:rPr>
              <w:t xml:space="preserve">Pérdidas por ataques 2025</w:t>
            </w:r>
            <w:r w:rsidDel="00000000" w:rsidR="00000000" w:rsidRPr="00000000">
              <w:rPr>
                <w:rtl w:val="0"/>
              </w:rPr>
            </w:r>
          </w:p>
        </w:tc>
        <w:tc>
          <w:tcPr>
            <w:vAlign w:val="center"/>
          </w:tcPr>
          <w:p w:rsidR="00000000" w:rsidDel="00000000" w:rsidP="00000000" w:rsidRDefault="00000000" w:rsidRPr="00000000" w14:paraId="00000017">
            <w:pPr>
              <w:spacing w:after="60" w:before="60" w:lineRule="auto"/>
              <w:rPr/>
            </w:pPr>
            <w:r w:rsidDel="00000000" w:rsidR="00000000" w:rsidRPr="00000000">
              <w:rPr>
                <w:sz w:val="15"/>
                <w:szCs w:val="15"/>
                <w:rtl w:val="0"/>
              </w:rPr>
              <w:t xml:space="preserve">&gt; USD 3.400 M robados (hasta inicios de diciembre)</w:t>
            </w:r>
            <w:r w:rsidDel="00000000" w:rsidR="00000000" w:rsidRPr="00000000">
              <w:rPr>
                <w:rtl w:val="0"/>
              </w:rPr>
            </w:r>
          </w:p>
        </w:tc>
        <w:tc>
          <w:tcPr>
            <w:vAlign w:val="center"/>
          </w:tcPr>
          <w:p w:rsidR="00000000" w:rsidDel="00000000" w:rsidP="00000000" w:rsidRDefault="00000000" w:rsidRPr="00000000" w14:paraId="00000018">
            <w:pPr>
              <w:spacing w:after="60" w:before="60" w:lineRule="auto"/>
              <w:rPr/>
            </w:pPr>
            <w:r w:rsidDel="00000000" w:rsidR="00000000" w:rsidRPr="00000000">
              <w:rPr>
                <w:sz w:val="15"/>
                <w:szCs w:val="15"/>
                <w:rtl w:val="0"/>
              </w:rPr>
              <w:t xml:space="preserve">La seguridad de autorización no es un problema marginal. [S13]</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19">
            <w:pPr>
              <w:spacing w:after="60" w:before="60" w:lineRule="auto"/>
              <w:rPr/>
            </w:pPr>
            <w:r w:rsidDel="00000000" w:rsidR="00000000" w:rsidRPr="00000000">
              <w:rPr>
                <w:sz w:val="15"/>
                <w:szCs w:val="15"/>
                <w:rtl w:val="0"/>
              </w:rPr>
              <w:t xml:space="preserve">Passkeys 2026</w:t>
            </w:r>
            <w:r w:rsidDel="00000000" w:rsidR="00000000" w:rsidRPr="00000000">
              <w:rPr>
                <w:rtl w:val="0"/>
              </w:rPr>
            </w:r>
          </w:p>
        </w:tc>
        <w:tc>
          <w:tcPr>
            <w:shd w:fill="f7fafb" w:val="clear"/>
            <w:vAlign w:val="center"/>
          </w:tcPr>
          <w:p w:rsidR="00000000" w:rsidDel="00000000" w:rsidP="00000000" w:rsidRDefault="00000000" w:rsidRPr="00000000" w14:paraId="0000001A">
            <w:pPr>
              <w:spacing w:after="60" w:before="60" w:lineRule="auto"/>
              <w:rPr/>
            </w:pPr>
            <w:r w:rsidDel="00000000" w:rsidR="00000000" w:rsidRPr="00000000">
              <w:rPr>
                <w:sz w:val="15"/>
                <w:szCs w:val="15"/>
                <w:rtl w:val="0"/>
              </w:rPr>
              <w:t xml:space="preserve">93% éxito vs 78% MFA tradicional; ~27 s menos</w:t>
            </w:r>
            <w:r w:rsidDel="00000000" w:rsidR="00000000" w:rsidRPr="00000000">
              <w:rPr>
                <w:rtl w:val="0"/>
              </w:rPr>
            </w:r>
          </w:p>
        </w:tc>
        <w:tc>
          <w:tcPr>
            <w:shd w:fill="f7fafb" w:val="clear"/>
            <w:vAlign w:val="center"/>
          </w:tcPr>
          <w:p w:rsidR="00000000" w:rsidDel="00000000" w:rsidP="00000000" w:rsidRDefault="00000000" w:rsidRPr="00000000" w14:paraId="0000001B">
            <w:pPr>
              <w:spacing w:after="60" w:before="60" w:lineRule="auto"/>
              <w:rPr/>
            </w:pPr>
            <w:r w:rsidDel="00000000" w:rsidR="00000000" w:rsidRPr="00000000">
              <w:rPr>
                <w:sz w:val="15"/>
                <w:szCs w:val="15"/>
                <w:rtl w:val="0"/>
              </w:rPr>
              <w:t xml:space="preserve">Potencial reducción de fricción de autenticación. [S09]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60" w:before="60" w:lineRule="auto"/>
              <w:rPr/>
            </w:pPr>
            <w:r w:rsidDel="00000000" w:rsidR="00000000" w:rsidRPr="00000000">
              <w:rPr>
                <w:sz w:val="15"/>
                <w:szCs w:val="15"/>
                <w:rtl w:val="0"/>
              </w:rPr>
              <w:t xml:space="preserve">Demanda LATAM 2026</w:t>
            </w:r>
            <w:r w:rsidDel="00000000" w:rsidR="00000000" w:rsidRPr="00000000">
              <w:rPr>
                <w:rtl w:val="0"/>
              </w:rPr>
            </w:r>
          </w:p>
        </w:tc>
        <w:tc>
          <w:tcPr>
            <w:vAlign w:val="center"/>
          </w:tcPr>
          <w:p w:rsidR="00000000" w:rsidDel="00000000" w:rsidP="00000000" w:rsidRDefault="00000000" w:rsidRPr="00000000" w14:paraId="0000001D">
            <w:pPr>
              <w:spacing w:after="60" w:before="60" w:lineRule="auto"/>
              <w:rPr/>
            </w:pPr>
            <w:r w:rsidDel="00000000" w:rsidR="00000000" w:rsidRPr="00000000">
              <w:rPr>
                <w:sz w:val="15"/>
                <w:szCs w:val="15"/>
                <w:rtl w:val="0"/>
              </w:rPr>
              <w:t xml:space="preserve">USD 593.800 M de actividad; Argentina USD 88.500 M</w:t>
            </w:r>
            <w:r w:rsidDel="00000000" w:rsidR="00000000" w:rsidRPr="00000000">
              <w:rPr>
                <w:rtl w:val="0"/>
              </w:rPr>
            </w:r>
          </w:p>
        </w:tc>
        <w:tc>
          <w:tcPr>
            <w:vAlign w:val="center"/>
          </w:tcPr>
          <w:p w:rsidR="00000000" w:rsidDel="00000000" w:rsidP="00000000" w:rsidRDefault="00000000" w:rsidRPr="00000000" w14:paraId="0000001E">
            <w:pPr>
              <w:spacing w:after="60" w:before="60" w:lineRule="auto"/>
              <w:rPr/>
            </w:pPr>
            <w:r w:rsidDel="00000000" w:rsidR="00000000" w:rsidRPr="00000000">
              <w:rPr>
                <w:sz w:val="15"/>
                <w:szCs w:val="15"/>
                <w:rtl w:val="0"/>
              </w:rPr>
              <w:t xml:space="preserve">Contexto de uso de activos digitales, no TAM de Pucará. [S16]</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1F">
            <w:pPr>
              <w:spacing w:after="60" w:before="60" w:lineRule="auto"/>
              <w:rPr/>
            </w:pPr>
            <w:r w:rsidDel="00000000" w:rsidR="00000000" w:rsidRPr="00000000">
              <w:rPr>
                <w:sz w:val="15"/>
                <w:szCs w:val="15"/>
                <w:rtl w:val="0"/>
              </w:rPr>
              <w:t xml:space="preserve">Fireblocks B2B</w:t>
            </w:r>
            <w:r w:rsidDel="00000000" w:rsidR="00000000" w:rsidRPr="00000000">
              <w:rPr>
                <w:rtl w:val="0"/>
              </w:rPr>
            </w:r>
          </w:p>
        </w:tc>
        <w:tc>
          <w:tcPr>
            <w:shd w:fill="f7fafb" w:val="clear"/>
            <w:vAlign w:val="center"/>
          </w:tcPr>
          <w:p w:rsidR="00000000" w:rsidDel="00000000" w:rsidP="00000000" w:rsidRDefault="00000000" w:rsidRPr="00000000" w14:paraId="00000020">
            <w:pPr>
              <w:spacing w:after="60" w:before="60" w:lineRule="auto"/>
              <w:rPr/>
            </w:pPr>
            <w:r w:rsidDel="00000000" w:rsidR="00000000" w:rsidRPr="00000000">
              <w:rPr>
                <w:sz w:val="15"/>
                <w:szCs w:val="15"/>
                <w:rtl w:val="0"/>
              </w:rPr>
              <w:t xml:space="preserve">USD 999/mes por hasta 6 meses; Custom desde USD 36.000/año</w:t>
            </w:r>
            <w:r w:rsidDel="00000000" w:rsidR="00000000" w:rsidRPr="00000000">
              <w:rPr>
                <w:rtl w:val="0"/>
              </w:rPr>
            </w:r>
          </w:p>
        </w:tc>
        <w:tc>
          <w:tcPr>
            <w:shd w:fill="f7fafb" w:val="clear"/>
            <w:vAlign w:val="center"/>
          </w:tcPr>
          <w:p w:rsidR="00000000" w:rsidDel="00000000" w:rsidP="00000000" w:rsidRDefault="00000000" w:rsidRPr="00000000" w14:paraId="00000021">
            <w:pPr>
              <w:spacing w:after="60" w:before="60" w:lineRule="auto"/>
              <w:rPr/>
            </w:pPr>
            <w:r w:rsidDel="00000000" w:rsidR="00000000" w:rsidRPr="00000000">
              <w:rPr>
                <w:sz w:val="15"/>
                <w:szCs w:val="15"/>
                <w:rtl w:val="0"/>
              </w:rPr>
              <w:t xml:space="preserve">Referente de disposición de mercado por infraestructura institucional. [S01]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60" w:before="60" w:lineRule="auto"/>
              <w:rPr/>
            </w:pPr>
            <w:r w:rsidDel="00000000" w:rsidR="00000000" w:rsidRPr="00000000">
              <w:rPr>
                <w:sz w:val="15"/>
                <w:szCs w:val="15"/>
                <w:rtl w:val="0"/>
              </w:rPr>
              <w:t xml:space="preserve">Safe Pro recién lanzado</w:t>
            </w:r>
            <w:r w:rsidDel="00000000" w:rsidR="00000000" w:rsidRPr="00000000">
              <w:rPr>
                <w:rtl w:val="0"/>
              </w:rPr>
            </w:r>
          </w:p>
        </w:tc>
        <w:tc>
          <w:tcPr>
            <w:vAlign w:val="center"/>
          </w:tcPr>
          <w:p w:rsidR="00000000" w:rsidDel="00000000" w:rsidP="00000000" w:rsidRDefault="00000000" w:rsidRPr="00000000" w14:paraId="00000023">
            <w:pPr>
              <w:spacing w:after="60" w:before="60" w:lineRule="auto"/>
              <w:rPr/>
            </w:pPr>
            <w:r w:rsidDel="00000000" w:rsidR="00000000" w:rsidRPr="00000000">
              <w:rPr>
                <w:sz w:val="15"/>
                <w:szCs w:val="15"/>
                <w:rtl w:val="0"/>
              </w:rPr>
              <w:t xml:space="preserve">€189/mes Starter; €669/mes Business</w:t>
            </w:r>
            <w:r w:rsidDel="00000000" w:rsidR="00000000" w:rsidRPr="00000000">
              <w:rPr>
                <w:rtl w:val="0"/>
              </w:rPr>
            </w:r>
          </w:p>
        </w:tc>
        <w:tc>
          <w:tcPr>
            <w:vAlign w:val="center"/>
          </w:tcPr>
          <w:p w:rsidR="00000000" w:rsidDel="00000000" w:rsidP="00000000" w:rsidRDefault="00000000" w:rsidRPr="00000000" w14:paraId="00000024">
            <w:pPr>
              <w:spacing w:after="60" w:before="60" w:lineRule="auto"/>
              <w:rPr/>
            </w:pPr>
            <w:r w:rsidDel="00000000" w:rsidR="00000000" w:rsidRPr="00000000">
              <w:rPr>
                <w:sz w:val="15"/>
                <w:szCs w:val="15"/>
                <w:rtl w:val="0"/>
              </w:rPr>
              <w:t xml:space="preserve">Precedente de monetización de operaciones con autocustodia. [S03, S04]</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25">
            <w:pPr>
              <w:spacing w:after="60" w:before="60" w:lineRule="auto"/>
              <w:rPr/>
            </w:pPr>
            <w:r w:rsidDel="00000000" w:rsidR="00000000" w:rsidRPr="00000000">
              <w:rPr>
                <w:rtl w:val="0"/>
              </w:rPr>
            </w:r>
          </w:p>
        </w:tc>
        <w:tc>
          <w:tcPr>
            <w:shd w:fill="f7fafb" w:val="clear"/>
            <w:vAlign w:val="center"/>
          </w:tcPr>
          <w:p w:rsidR="00000000" w:rsidDel="00000000" w:rsidP="00000000" w:rsidRDefault="00000000" w:rsidRPr="00000000" w14:paraId="00000026">
            <w:pPr>
              <w:spacing w:after="60" w:before="60" w:lineRule="auto"/>
              <w:rPr/>
            </w:pPr>
            <w:r w:rsidDel="00000000" w:rsidR="00000000" w:rsidRPr="00000000">
              <w:rPr>
                <w:rtl w:val="0"/>
              </w:rPr>
            </w:r>
          </w:p>
        </w:tc>
        <w:tc>
          <w:tcPr>
            <w:shd w:fill="f7fafb" w:val="clear"/>
            <w:vAlign w:val="center"/>
          </w:tcPr>
          <w:p w:rsidR="00000000" w:rsidDel="00000000" w:rsidP="00000000" w:rsidRDefault="00000000" w:rsidRPr="00000000" w14:paraId="00000027">
            <w:pPr>
              <w:spacing w:after="60" w:before="60" w:lineRule="auto"/>
              <w:rPr/>
            </w:pPr>
            <w:r w:rsidDel="00000000" w:rsidR="00000000" w:rsidRPr="00000000">
              <w:rPr>
                <w:rtl w:val="0"/>
              </w:rPr>
            </w:r>
          </w:p>
        </w:tc>
      </w:tr>
    </w:tbl>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Conclusión estratégica</w:t>
      </w:r>
    </w:p>
    <w:p w:rsidR="00000000" w:rsidDel="00000000" w:rsidP="00000000" w:rsidRDefault="00000000" w:rsidRPr="00000000" w14:paraId="0000002A">
      <w:pPr>
        <w:rPr/>
      </w:pPr>
      <w:r w:rsidDel="00000000" w:rsidR="00000000" w:rsidRPr="00000000">
        <w:rPr>
          <w:rtl w:val="0"/>
        </w:rPr>
        <w:t xml:space="preserve">Pucará combina smart accounts nativas de Stellar, autorizaciones por roles y una experiencia enfocada en pequeñas y medianas tesorerías que requieren control compartido sin adoptar una suite institucional completa. La comparación no supone paridad funcional con Fireblocks o Safe Pro. [S07, S08, S17]</w:t>
      </w:r>
    </w:p>
    <w:p w:rsidR="00000000" w:rsidDel="00000000" w:rsidP="00000000" w:rsidRDefault="00000000" w:rsidRPr="00000000" w14:paraId="0000002B">
      <w:pPr>
        <w:rPr/>
      </w:pPr>
      <w:r w:rsidDel="00000000" w:rsidR="00000000" w:rsidRPr="00000000">
        <w:rPr>
          <w:rtl w:val="0"/>
        </w:rPr>
        <w:t xml:space="preserve">Nivel de madurez de validación: problema = alto (evidencia secundaria); factibilidad técnica del MVP = preliminar (Testnet); atractivo económico = indicativo (precios públicos); demanda y willingness-to-pay para Pucará = sin validación primaria.</w:t>
      </w:r>
    </w:p>
    <w:p w:rsidR="00000000" w:rsidDel="00000000" w:rsidP="00000000" w:rsidRDefault="00000000" w:rsidRPr="00000000" w14:paraId="0000002C">
      <w:pPr>
        <w:pStyle w:val="Heading1"/>
        <w:rPr/>
      </w:pPr>
      <w:r w:rsidDel="00000000" w:rsidR="00000000" w:rsidRPr="00000000">
        <w:rPr>
          <w:rtl w:val="0"/>
        </w:rPr>
        <w:t xml:space="preserve">Metodología y estándares de evidencia</w:t>
      </w:r>
    </w:p>
    <w:p w:rsidR="00000000" w:rsidDel="00000000" w:rsidP="00000000" w:rsidRDefault="00000000" w:rsidRPr="00000000" w14:paraId="0000002D">
      <w:pPr>
        <w:rPr/>
      </w:pPr>
      <w:r w:rsidDel="00000000" w:rsidR="00000000" w:rsidRPr="00000000">
        <w:rPr>
          <w:rtl w:val="0"/>
        </w:rPr>
        <w:t xml:space="preserve">Corte documental: 17/10/2026. Se priorizaron precios oficiales, documentación técnica de fabricantes, FIDO/NIST, análisis de incidentes por firmas de seguridad y estudios de mercado. Las cifras se muestran con su período y ámbito de referencia; no se extrapolan automáticamente a clientes institucionales argentinos.</w:t>
      </w:r>
    </w:p>
    <w:tbl>
      <w:tblPr>
        <w:tblStyle w:val="Table4"/>
        <w:tblW w:w="9765.0" w:type="dxa"/>
        <w:jc w:val="center"/>
        <w:tblBorders>
          <w:top w:color="4f81bd" w:space="0" w:sz="8" w:val="single"/>
          <w:bottom w:color="4f81bd" w:space="0" w:sz="8" w:val="single"/>
        </w:tblBorders>
        <w:tblLayout w:type="fixed"/>
        <w:tblLook w:val="04A0"/>
      </w:tblPr>
      <w:tblGrid>
        <w:gridCol w:w="3255"/>
        <w:gridCol w:w="3255"/>
        <w:gridCol w:w="3255"/>
        <w:tblGridChange w:id="0">
          <w:tblGrid>
            <w:gridCol w:w="3255"/>
            <w:gridCol w:w="3255"/>
            <w:gridCol w:w="3255"/>
          </w:tblGrid>
        </w:tblGridChange>
      </w:tblGrid>
      <w:tr>
        <w:trPr>
          <w:cantSplit w:val="0"/>
          <w:tblHeader w:val="1"/>
        </w:trPr>
        <w:tc>
          <w:tcPr>
            <w:shd w:fill="e4eff2" w:val="clear"/>
          </w:tcPr>
          <w:p w:rsidR="00000000" w:rsidDel="00000000" w:rsidP="00000000" w:rsidRDefault="00000000" w:rsidRPr="00000000" w14:paraId="0000002E">
            <w:pPr>
              <w:rPr/>
            </w:pPr>
            <w:r w:rsidDel="00000000" w:rsidR="00000000" w:rsidRPr="00000000">
              <w:rPr>
                <w:b w:val="1"/>
                <w:bCs w:val="1"/>
                <w:color w:val="1d537f"/>
                <w:sz w:val="16"/>
                <w:szCs w:val="16"/>
                <w:rtl w:val="0"/>
              </w:rPr>
              <w:t xml:space="preserve">CATEGORÍA</w:t>
            </w:r>
            <w:r w:rsidDel="00000000" w:rsidR="00000000" w:rsidRPr="00000000">
              <w:rPr>
                <w:rtl w:val="0"/>
              </w:rPr>
            </w:r>
          </w:p>
        </w:tc>
        <w:tc>
          <w:tcPr>
            <w:shd w:fill="e4eff2" w:val="clear"/>
          </w:tcPr>
          <w:p w:rsidR="00000000" w:rsidDel="00000000" w:rsidP="00000000" w:rsidRDefault="00000000" w:rsidRPr="00000000" w14:paraId="0000002F">
            <w:pPr>
              <w:rPr/>
            </w:pPr>
            <w:r w:rsidDel="00000000" w:rsidR="00000000" w:rsidRPr="00000000">
              <w:rPr>
                <w:b w:val="1"/>
                <w:bCs w:val="1"/>
                <w:color w:val="1d537f"/>
                <w:sz w:val="16"/>
                <w:szCs w:val="16"/>
                <w:rtl w:val="0"/>
              </w:rPr>
              <w:t xml:space="preserve">QUÉ PERMITE SOSTENER</w:t>
            </w:r>
            <w:r w:rsidDel="00000000" w:rsidR="00000000" w:rsidRPr="00000000">
              <w:rPr>
                <w:rtl w:val="0"/>
              </w:rPr>
            </w:r>
          </w:p>
        </w:tc>
        <w:tc>
          <w:tcPr>
            <w:shd w:fill="e4eff2" w:val="clear"/>
          </w:tcPr>
          <w:p w:rsidR="00000000" w:rsidDel="00000000" w:rsidP="00000000" w:rsidRDefault="00000000" w:rsidRPr="00000000" w14:paraId="00000030">
            <w:pPr>
              <w:rPr/>
            </w:pPr>
            <w:r w:rsidDel="00000000" w:rsidR="00000000" w:rsidRPr="00000000">
              <w:rPr>
                <w:b w:val="1"/>
                <w:bCs w:val="1"/>
                <w:color w:val="1d537f"/>
                <w:sz w:val="16"/>
                <w:szCs w:val="16"/>
                <w:rtl w:val="0"/>
              </w:rPr>
              <w:t xml:space="preserve">QUÉ NO DEMUESTRA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after="60" w:before="60" w:lineRule="auto"/>
              <w:rPr/>
            </w:pPr>
            <w:r w:rsidDel="00000000" w:rsidR="00000000" w:rsidRPr="00000000">
              <w:rPr>
                <w:sz w:val="15"/>
                <w:szCs w:val="15"/>
                <w:rtl w:val="0"/>
              </w:rPr>
              <w:t xml:space="preserve">E1 · Fuente primaria pública</w:t>
            </w:r>
            <w:r w:rsidDel="00000000" w:rsidR="00000000" w:rsidRPr="00000000">
              <w:rPr>
                <w:rtl w:val="0"/>
              </w:rPr>
            </w:r>
          </w:p>
        </w:tc>
        <w:tc>
          <w:tcPr>
            <w:vAlign w:val="center"/>
          </w:tcPr>
          <w:p w:rsidR="00000000" w:rsidDel="00000000" w:rsidP="00000000" w:rsidRDefault="00000000" w:rsidRPr="00000000" w14:paraId="00000032">
            <w:pPr>
              <w:spacing w:after="60" w:before="60" w:lineRule="auto"/>
              <w:rPr/>
            </w:pPr>
            <w:r w:rsidDel="00000000" w:rsidR="00000000" w:rsidRPr="00000000">
              <w:rPr>
                <w:sz w:val="15"/>
                <w:szCs w:val="15"/>
                <w:rtl w:val="0"/>
              </w:rPr>
              <w:t xml:space="preserve">Precio publicado, especificación técnica, incidente reconocido</w:t>
            </w:r>
            <w:r w:rsidDel="00000000" w:rsidR="00000000" w:rsidRPr="00000000">
              <w:rPr>
                <w:rtl w:val="0"/>
              </w:rPr>
            </w:r>
          </w:p>
        </w:tc>
        <w:tc>
          <w:tcPr>
            <w:vAlign w:val="center"/>
          </w:tcPr>
          <w:p w:rsidR="00000000" w:rsidDel="00000000" w:rsidP="00000000" w:rsidRDefault="00000000" w:rsidRPr="00000000" w14:paraId="00000033">
            <w:pPr>
              <w:spacing w:after="60" w:before="60" w:lineRule="auto"/>
              <w:rPr/>
            </w:pPr>
            <w:r w:rsidDel="00000000" w:rsidR="00000000" w:rsidRPr="00000000">
              <w:rPr>
                <w:sz w:val="15"/>
                <w:szCs w:val="15"/>
                <w:rtl w:val="0"/>
              </w:rPr>
              <w:t xml:space="preserve">Contrato comercial efectivamente pagado por un cliente</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34">
            <w:pPr>
              <w:spacing w:after="60" w:before="60" w:lineRule="auto"/>
              <w:rPr/>
            </w:pPr>
            <w:r w:rsidDel="00000000" w:rsidR="00000000" w:rsidRPr="00000000">
              <w:rPr>
                <w:sz w:val="15"/>
                <w:szCs w:val="15"/>
                <w:rtl w:val="0"/>
              </w:rPr>
              <w:t xml:space="preserve">E2 · Estudio sectorial</w:t>
            </w:r>
            <w:r w:rsidDel="00000000" w:rsidR="00000000" w:rsidRPr="00000000">
              <w:rPr>
                <w:rtl w:val="0"/>
              </w:rPr>
            </w:r>
          </w:p>
        </w:tc>
        <w:tc>
          <w:tcPr>
            <w:shd w:fill="f7fafb" w:val="clear"/>
            <w:vAlign w:val="center"/>
          </w:tcPr>
          <w:p w:rsidR="00000000" w:rsidDel="00000000" w:rsidP="00000000" w:rsidRDefault="00000000" w:rsidRPr="00000000" w14:paraId="00000035">
            <w:pPr>
              <w:spacing w:after="60" w:before="60" w:lineRule="auto"/>
              <w:rPr/>
            </w:pPr>
            <w:r w:rsidDel="00000000" w:rsidR="00000000" w:rsidRPr="00000000">
              <w:rPr>
                <w:sz w:val="15"/>
                <w:szCs w:val="15"/>
                <w:rtl w:val="0"/>
              </w:rPr>
              <w:t xml:space="preserve">Magnitud del riesgo o patrones de adopción de su muestra</w:t>
            </w:r>
            <w:r w:rsidDel="00000000" w:rsidR="00000000" w:rsidRPr="00000000">
              <w:rPr>
                <w:rtl w:val="0"/>
              </w:rPr>
            </w:r>
          </w:p>
        </w:tc>
        <w:tc>
          <w:tcPr>
            <w:shd w:fill="f7fafb" w:val="clear"/>
            <w:vAlign w:val="center"/>
          </w:tcPr>
          <w:p w:rsidR="00000000" w:rsidDel="00000000" w:rsidP="00000000" w:rsidRDefault="00000000" w:rsidRPr="00000000" w14:paraId="00000036">
            <w:pPr>
              <w:spacing w:after="60" w:before="60" w:lineRule="auto"/>
              <w:rPr/>
            </w:pPr>
            <w:r w:rsidDel="00000000" w:rsidR="00000000" w:rsidRPr="00000000">
              <w:rPr>
                <w:sz w:val="15"/>
                <w:szCs w:val="15"/>
                <w:rtl w:val="0"/>
              </w:rPr>
              <w:t xml:space="preserve">Demanda específica para Pucará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60" w:before="60" w:lineRule="auto"/>
              <w:rPr/>
            </w:pPr>
            <w:r w:rsidDel="00000000" w:rsidR="00000000" w:rsidRPr="00000000">
              <w:rPr>
                <w:sz w:val="15"/>
                <w:szCs w:val="15"/>
                <w:rtl w:val="0"/>
              </w:rPr>
              <w:t xml:space="preserve">E3 · Evidencia de proyecto</w:t>
            </w:r>
            <w:r w:rsidDel="00000000" w:rsidR="00000000" w:rsidRPr="00000000">
              <w:rPr>
                <w:rtl w:val="0"/>
              </w:rPr>
            </w:r>
          </w:p>
        </w:tc>
        <w:tc>
          <w:tcPr>
            <w:vAlign w:val="center"/>
          </w:tcPr>
          <w:p w:rsidR="00000000" w:rsidDel="00000000" w:rsidP="00000000" w:rsidRDefault="00000000" w:rsidRPr="00000000" w14:paraId="00000038">
            <w:pPr>
              <w:spacing w:after="60" w:before="60" w:lineRule="auto"/>
              <w:rPr/>
            </w:pPr>
            <w:r w:rsidDel="00000000" w:rsidR="00000000" w:rsidRPr="00000000">
              <w:rPr>
                <w:sz w:val="15"/>
                <w:szCs w:val="15"/>
                <w:rtl w:val="0"/>
              </w:rPr>
              <w:t xml:space="preserve">MVP, arquitectura y pruebas de desarrollo</w:t>
            </w:r>
            <w:r w:rsidDel="00000000" w:rsidR="00000000" w:rsidRPr="00000000">
              <w:rPr>
                <w:rtl w:val="0"/>
              </w:rPr>
            </w:r>
          </w:p>
        </w:tc>
        <w:tc>
          <w:tcPr>
            <w:vAlign w:val="center"/>
          </w:tcPr>
          <w:p w:rsidR="00000000" w:rsidDel="00000000" w:rsidP="00000000" w:rsidRDefault="00000000" w:rsidRPr="00000000" w14:paraId="00000039">
            <w:pPr>
              <w:spacing w:after="60" w:before="60" w:lineRule="auto"/>
              <w:rPr/>
            </w:pPr>
            <w:r w:rsidDel="00000000" w:rsidR="00000000" w:rsidRPr="00000000">
              <w:rPr>
                <w:sz w:val="15"/>
                <w:szCs w:val="15"/>
                <w:rtl w:val="0"/>
              </w:rPr>
              <w:t xml:space="preserve">Auditoría independiente, seguridad productiva, uso por terceros</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3A">
            <w:pPr>
              <w:spacing w:after="60" w:before="60" w:lineRule="auto"/>
              <w:rPr/>
            </w:pPr>
            <w:r w:rsidDel="00000000" w:rsidR="00000000" w:rsidRPr="00000000">
              <w:rPr>
                <w:sz w:val="15"/>
                <w:szCs w:val="15"/>
                <w:rtl w:val="0"/>
              </w:rPr>
              <w:t xml:space="preserve">H · Hipótesis</w:t>
            </w:r>
            <w:r w:rsidDel="00000000" w:rsidR="00000000" w:rsidRPr="00000000">
              <w:rPr>
                <w:rtl w:val="0"/>
              </w:rPr>
            </w:r>
          </w:p>
        </w:tc>
        <w:tc>
          <w:tcPr>
            <w:shd w:fill="f7fafb" w:val="clear"/>
            <w:vAlign w:val="center"/>
          </w:tcPr>
          <w:p w:rsidR="00000000" w:rsidDel="00000000" w:rsidP="00000000" w:rsidRDefault="00000000" w:rsidRPr="00000000" w14:paraId="0000003B">
            <w:pPr>
              <w:spacing w:after="60" w:before="60" w:lineRule="auto"/>
              <w:rPr/>
            </w:pPr>
            <w:r w:rsidDel="00000000" w:rsidR="00000000" w:rsidRPr="00000000">
              <w:rPr>
                <w:sz w:val="15"/>
                <w:szCs w:val="15"/>
                <w:rtl w:val="0"/>
              </w:rPr>
              <w:t xml:space="preserve">Oferta, pricing y cliente objetivo para experimentar</w:t>
            </w:r>
            <w:r w:rsidDel="00000000" w:rsidR="00000000" w:rsidRPr="00000000">
              <w:rPr>
                <w:rtl w:val="0"/>
              </w:rPr>
            </w:r>
          </w:p>
        </w:tc>
        <w:tc>
          <w:tcPr>
            <w:shd w:fill="f7fafb" w:val="clear"/>
            <w:vAlign w:val="center"/>
          </w:tcPr>
          <w:p w:rsidR="00000000" w:rsidDel="00000000" w:rsidP="00000000" w:rsidRDefault="00000000" w:rsidRPr="00000000" w14:paraId="0000003C">
            <w:pPr>
              <w:spacing w:after="60" w:before="60" w:lineRule="auto"/>
              <w:rPr/>
            </w:pPr>
            <w:r w:rsidDel="00000000" w:rsidR="00000000" w:rsidRPr="00000000">
              <w:rPr>
                <w:sz w:val="15"/>
                <w:szCs w:val="15"/>
                <w:rtl w:val="0"/>
              </w:rPr>
              <w:t xml:space="preserve">Entrevistas, conversiones, ingresos o usuarios existentes</w:t>
            </w:r>
            <w:r w:rsidDel="00000000" w:rsidR="00000000" w:rsidRPr="00000000">
              <w:rPr>
                <w:rtl w:val="0"/>
              </w:rPr>
            </w:r>
          </w:p>
        </w:tc>
      </w:tr>
    </w:tbl>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Cuatro fricciones institucionales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9283a"/>
          <w:sz w:val="18"/>
          <w:szCs w:val="18"/>
          <w:u w:val="none"/>
          <w:shd w:fill="auto" w:val="clear"/>
          <w:vertAlign w:val="baseline"/>
          <w:rtl w:val="0"/>
        </w:rPr>
        <w:t xml:space="preserve">Riesgo de autorización concentrada. Una clave o dispositivo bajo una sola persona crea dependencia operativa; un esquema de aprobación corporativa requiere varias voluntades y responsabilidades explícitas.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9283a"/>
          <w:sz w:val="18"/>
          <w:szCs w:val="18"/>
          <w:u w:val="none"/>
          <w:shd w:fill="auto" w:val="clear"/>
          <w:vertAlign w:val="baseline"/>
          <w:rtl w:val="0"/>
        </w:rPr>
        <w:t xml:space="preserve">Sobrecarga de credenciales. Seed phrases, backups físicos, rotación de personas, políticas de acceso y dispositivos son difíciles de integrar en un flujo comprensible para finanzas, dirección y auditoría.</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9283a"/>
          <w:sz w:val="18"/>
          <w:szCs w:val="18"/>
          <w:u w:val="none"/>
          <w:shd w:fill="auto" w:val="clear"/>
          <w:vertAlign w:val="baseline"/>
          <w:rtl w:val="0"/>
        </w:rPr>
        <w:t xml:space="preserve">Brecha entre firmar y comprender. Aunque un quorum firme una transacción, la interfaz puede mostrar información distinta del payload realmente autorizado. El caso Bybit es una advertencia documentada.</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9283a"/>
          <w:sz w:val="18"/>
          <w:szCs w:val="18"/>
          <w:u w:val="none"/>
          <w:shd w:fill="auto" w:val="clear"/>
          <w:vertAlign w:val="baseline"/>
          <w:rtl w:val="0"/>
        </w:rPr>
        <w:t xml:space="preserve">Costo y complejidad de una suite completa. Bancos y grandes custodios pueden justificar infraestructura enterprise; tesorerías más pequeñas pueden necesitar un subconjunto específico, con una implementación simple y soporte local.</w:t>
      </w:r>
    </w:p>
    <w:p w:rsidR="00000000" w:rsidDel="00000000" w:rsidP="00000000" w:rsidRDefault="00000000" w:rsidRPr="00000000" w14:paraId="00000045">
      <w:pPr>
        <w:pStyle w:val="Heading2"/>
        <w:rPr/>
      </w:pPr>
      <w:r w:rsidDel="00000000" w:rsidR="00000000" w:rsidRPr="00000000">
        <w:rPr>
          <w:rtl w:val="0"/>
        </w:rPr>
        <w:t xml:space="preserve">Personas prioritarias y «job to be done»</w:t>
      </w:r>
    </w:p>
    <w:tbl>
      <w:tblPr>
        <w:tblStyle w:val="Table5"/>
        <w:tblW w:w="9765.0" w:type="dxa"/>
        <w:jc w:val="center"/>
        <w:tblBorders>
          <w:top w:color="4f81bd" w:space="0" w:sz="8" w:val="single"/>
          <w:bottom w:color="4f81bd" w:space="0" w:sz="8" w:val="single"/>
        </w:tblBorders>
        <w:tblLayout w:type="fixed"/>
        <w:tblLook w:val="04A0"/>
      </w:tblPr>
      <w:tblGrid>
        <w:gridCol w:w="3255"/>
        <w:gridCol w:w="3255"/>
        <w:gridCol w:w="3255"/>
        <w:tblGridChange w:id="0">
          <w:tblGrid>
            <w:gridCol w:w="3255"/>
            <w:gridCol w:w="3255"/>
            <w:gridCol w:w="3255"/>
          </w:tblGrid>
        </w:tblGridChange>
      </w:tblGrid>
      <w:tr>
        <w:trPr>
          <w:cantSplit w:val="0"/>
          <w:tblHeader w:val="1"/>
        </w:trPr>
        <w:tc>
          <w:tcPr>
            <w:shd w:fill="e4eff2" w:val="clear"/>
          </w:tcPr>
          <w:p w:rsidR="00000000" w:rsidDel="00000000" w:rsidP="00000000" w:rsidRDefault="00000000" w:rsidRPr="00000000" w14:paraId="00000046">
            <w:pPr>
              <w:rPr/>
            </w:pPr>
            <w:r w:rsidDel="00000000" w:rsidR="00000000" w:rsidRPr="00000000">
              <w:rPr>
                <w:b w:val="1"/>
                <w:bCs w:val="1"/>
                <w:color w:val="1d537f"/>
                <w:sz w:val="16"/>
                <w:szCs w:val="16"/>
                <w:rtl w:val="0"/>
              </w:rPr>
              <w:t xml:space="preserve">ROL</w:t>
            </w:r>
            <w:r w:rsidDel="00000000" w:rsidR="00000000" w:rsidRPr="00000000">
              <w:rPr>
                <w:rtl w:val="0"/>
              </w:rPr>
            </w:r>
          </w:p>
        </w:tc>
        <w:tc>
          <w:tcPr>
            <w:shd w:fill="e4eff2" w:val="clear"/>
          </w:tcPr>
          <w:p w:rsidR="00000000" w:rsidDel="00000000" w:rsidP="00000000" w:rsidRDefault="00000000" w:rsidRPr="00000000" w14:paraId="00000047">
            <w:pPr>
              <w:rPr/>
            </w:pPr>
            <w:r w:rsidDel="00000000" w:rsidR="00000000" w:rsidRPr="00000000">
              <w:rPr>
                <w:b w:val="1"/>
                <w:bCs w:val="1"/>
                <w:color w:val="1d537f"/>
                <w:sz w:val="16"/>
                <w:szCs w:val="16"/>
                <w:rtl w:val="0"/>
              </w:rPr>
              <w:t xml:space="preserve">NECESIDAD / RIESGO</w:t>
            </w:r>
            <w:r w:rsidDel="00000000" w:rsidR="00000000" w:rsidRPr="00000000">
              <w:rPr>
                <w:rtl w:val="0"/>
              </w:rPr>
            </w:r>
          </w:p>
        </w:tc>
        <w:tc>
          <w:tcPr>
            <w:shd w:fill="e4eff2" w:val="clear"/>
          </w:tcPr>
          <w:p w:rsidR="00000000" w:rsidDel="00000000" w:rsidP="00000000" w:rsidRDefault="00000000" w:rsidRPr="00000000" w14:paraId="00000048">
            <w:pPr>
              <w:rPr/>
            </w:pPr>
            <w:r w:rsidDel="00000000" w:rsidR="00000000" w:rsidRPr="00000000">
              <w:rPr>
                <w:b w:val="1"/>
                <w:bCs w:val="1"/>
                <w:color w:val="1d537f"/>
                <w:sz w:val="16"/>
                <w:szCs w:val="16"/>
                <w:rtl w:val="0"/>
              </w:rPr>
              <w:t xml:space="preserve">RESULTADO BUSCADO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60" w:before="60" w:lineRule="auto"/>
              <w:rPr/>
            </w:pPr>
            <w:r w:rsidDel="00000000" w:rsidR="00000000" w:rsidRPr="00000000">
              <w:rPr>
                <w:sz w:val="15"/>
                <w:szCs w:val="15"/>
                <w:rtl w:val="0"/>
              </w:rPr>
              <w:t xml:space="preserve">CFO / finanzas</w:t>
            </w:r>
            <w:r w:rsidDel="00000000" w:rsidR="00000000" w:rsidRPr="00000000">
              <w:rPr>
                <w:rtl w:val="0"/>
              </w:rPr>
            </w:r>
          </w:p>
        </w:tc>
        <w:tc>
          <w:tcPr>
            <w:vAlign w:val="center"/>
          </w:tcPr>
          <w:p w:rsidR="00000000" w:rsidDel="00000000" w:rsidP="00000000" w:rsidRDefault="00000000" w:rsidRPr="00000000" w14:paraId="0000004A">
            <w:pPr>
              <w:spacing w:after="60" w:before="60" w:lineRule="auto"/>
              <w:rPr/>
            </w:pPr>
            <w:r w:rsidDel="00000000" w:rsidR="00000000" w:rsidRPr="00000000">
              <w:rPr>
                <w:sz w:val="15"/>
                <w:szCs w:val="15"/>
                <w:rtl w:val="0"/>
              </w:rPr>
              <w:t xml:space="preserve">No depender del operador técnico para autorizar cada movimiento</w:t>
            </w:r>
            <w:r w:rsidDel="00000000" w:rsidR="00000000" w:rsidRPr="00000000">
              <w:rPr>
                <w:rtl w:val="0"/>
              </w:rPr>
            </w:r>
          </w:p>
        </w:tc>
        <w:tc>
          <w:tcPr>
            <w:vAlign w:val="center"/>
          </w:tcPr>
          <w:p w:rsidR="00000000" w:rsidDel="00000000" w:rsidP="00000000" w:rsidRDefault="00000000" w:rsidRPr="00000000" w14:paraId="0000004B">
            <w:pPr>
              <w:spacing w:after="60" w:before="60" w:lineRule="auto"/>
              <w:rPr/>
            </w:pPr>
            <w:r w:rsidDel="00000000" w:rsidR="00000000" w:rsidRPr="00000000">
              <w:rPr>
                <w:sz w:val="15"/>
                <w:szCs w:val="15"/>
                <w:rtl w:val="0"/>
              </w:rPr>
              <w:t xml:space="preserve">Ver monto, destino y regla de quorum en lenguaje financiero</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4C">
            <w:pPr>
              <w:spacing w:after="60" w:before="60" w:lineRule="auto"/>
              <w:rPr/>
            </w:pPr>
            <w:r w:rsidDel="00000000" w:rsidR="00000000" w:rsidRPr="00000000">
              <w:rPr>
                <w:sz w:val="15"/>
                <w:szCs w:val="15"/>
                <w:rtl w:val="0"/>
              </w:rPr>
              <w:t xml:space="preserve">Tesorería</w:t>
            </w:r>
            <w:r w:rsidDel="00000000" w:rsidR="00000000" w:rsidRPr="00000000">
              <w:rPr>
                <w:rtl w:val="0"/>
              </w:rPr>
            </w:r>
          </w:p>
        </w:tc>
        <w:tc>
          <w:tcPr>
            <w:shd w:fill="f7fafb" w:val="clear"/>
            <w:vAlign w:val="center"/>
          </w:tcPr>
          <w:p w:rsidR="00000000" w:rsidDel="00000000" w:rsidP="00000000" w:rsidRDefault="00000000" w:rsidRPr="00000000" w14:paraId="0000004D">
            <w:pPr>
              <w:spacing w:after="60" w:before="60" w:lineRule="auto"/>
              <w:rPr/>
            </w:pPr>
            <w:r w:rsidDel="00000000" w:rsidR="00000000" w:rsidRPr="00000000">
              <w:rPr>
                <w:sz w:val="15"/>
                <w:szCs w:val="15"/>
                <w:rtl w:val="0"/>
              </w:rPr>
              <w:t xml:space="preserve">Preparar pagos repetibles y coordinarlos con superiores</w:t>
            </w:r>
            <w:r w:rsidDel="00000000" w:rsidR="00000000" w:rsidRPr="00000000">
              <w:rPr>
                <w:rtl w:val="0"/>
              </w:rPr>
            </w:r>
          </w:p>
        </w:tc>
        <w:tc>
          <w:tcPr>
            <w:shd w:fill="f7fafb" w:val="clear"/>
            <w:vAlign w:val="center"/>
          </w:tcPr>
          <w:p w:rsidR="00000000" w:rsidDel="00000000" w:rsidP="00000000" w:rsidRDefault="00000000" w:rsidRPr="00000000" w14:paraId="0000004E">
            <w:pPr>
              <w:spacing w:after="60" w:before="60" w:lineRule="auto"/>
              <w:rPr/>
            </w:pPr>
            <w:r w:rsidDel="00000000" w:rsidR="00000000" w:rsidRPr="00000000">
              <w:rPr>
                <w:sz w:val="15"/>
                <w:szCs w:val="15"/>
                <w:rtl w:val="0"/>
              </w:rPr>
              <w:t xml:space="preserve">Menos pasos y estado claro de aprobaciones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spacing w:after="60" w:before="60" w:lineRule="auto"/>
              <w:rPr/>
            </w:pPr>
            <w:r w:rsidDel="00000000" w:rsidR="00000000" w:rsidRPr="00000000">
              <w:rPr>
                <w:sz w:val="15"/>
                <w:szCs w:val="15"/>
                <w:rtl w:val="0"/>
              </w:rPr>
              <w:t xml:space="preserve">CEO / dirección</w:t>
            </w:r>
            <w:r w:rsidDel="00000000" w:rsidR="00000000" w:rsidRPr="00000000">
              <w:rPr>
                <w:rtl w:val="0"/>
              </w:rPr>
            </w:r>
          </w:p>
        </w:tc>
        <w:tc>
          <w:tcPr>
            <w:vAlign w:val="center"/>
          </w:tcPr>
          <w:p w:rsidR="00000000" w:rsidDel="00000000" w:rsidP="00000000" w:rsidRDefault="00000000" w:rsidRPr="00000000" w14:paraId="00000050">
            <w:pPr>
              <w:spacing w:after="60" w:before="60" w:lineRule="auto"/>
              <w:rPr/>
            </w:pPr>
            <w:r w:rsidDel="00000000" w:rsidR="00000000" w:rsidRPr="00000000">
              <w:rPr>
                <w:sz w:val="15"/>
                <w:szCs w:val="15"/>
                <w:rtl w:val="0"/>
              </w:rPr>
              <w:t xml:space="preserve">Gobernanza y delegación sin compartir claves</w:t>
            </w:r>
            <w:r w:rsidDel="00000000" w:rsidR="00000000" w:rsidRPr="00000000">
              <w:rPr>
                <w:rtl w:val="0"/>
              </w:rPr>
            </w:r>
          </w:p>
        </w:tc>
        <w:tc>
          <w:tcPr>
            <w:vAlign w:val="center"/>
          </w:tcPr>
          <w:p w:rsidR="00000000" w:rsidDel="00000000" w:rsidP="00000000" w:rsidRDefault="00000000" w:rsidRPr="00000000" w14:paraId="00000051">
            <w:pPr>
              <w:spacing w:after="60" w:before="60" w:lineRule="auto"/>
              <w:rPr/>
            </w:pPr>
            <w:r w:rsidDel="00000000" w:rsidR="00000000" w:rsidRPr="00000000">
              <w:rPr>
                <w:sz w:val="15"/>
                <w:szCs w:val="15"/>
                <w:rtl w:val="0"/>
              </w:rPr>
              <w:t xml:space="preserve">Veto / aprobación conforme a política</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52">
            <w:pPr>
              <w:spacing w:after="60" w:before="60" w:lineRule="auto"/>
              <w:rPr/>
            </w:pPr>
            <w:r w:rsidDel="00000000" w:rsidR="00000000" w:rsidRPr="00000000">
              <w:rPr>
                <w:sz w:val="15"/>
                <w:szCs w:val="15"/>
                <w:rtl w:val="0"/>
              </w:rPr>
              <w:t xml:space="preserve">Riesgos / auditoría</w:t>
            </w:r>
            <w:r w:rsidDel="00000000" w:rsidR="00000000" w:rsidRPr="00000000">
              <w:rPr>
                <w:rtl w:val="0"/>
              </w:rPr>
            </w:r>
          </w:p>
        </w:tc>
        <w:tc>
          <w:tcPr>
            <w:shd w:fill="f7fafb" w:val="clear"/>
            <w:vAlign w:val="center"/>
          </w:tcPr>
          <w:p w:rsidR="00000000" w:rsidDel="00000000" w:rsidP="00000000" w:rsidRDefault="00000000" w:rsidRPr="00000000" w14:paraId="00000053">
            <w:pPr>
              <w:spacing w:after="60" w:before="60" w:lineRule="auto"/>
              <w:rPr/>
            </w:pPr>
            <w:r w:rsidDel="00000000" w:rsidR="00000000" w:rsidRPr="00000000">
              <w:rPr>
                <w:sz w:val="15"/>
                <w:szCs w:val="15"/>
                <w:rtl w:val="0"/>
              </w:rPr>
              <w:t xml:space="preserve">Reconstrucción de decisiones y cambios</w:t>
            </w:r>
            <w:r w:rsidDel="00000000" w:rsidR="00000000" w:rsidRPr="00000000">
              <w:rPr>
                <w:rtl w:val="0"/>
              </w:rPr>
            </w:r>
          </w:p>
        </w:tc>
        <w:tc>
          <w:tcPr>
            <w:shd w:fill="f7fafb" w:val="clear"/>
            <w:vAlign w:val="center"/>
          </w:tcPr>
          <w:p w:rsidR="00000000" w:rsidDel="00000000" w:rsidP="00000000" w:rsidRDefault="00000000" w:rsidRPr="00000000" w14:paraId="00000054">
            <w:pPr>
              <w:spacing w:after="60" w:before="60" w:lineRule="auto"/>
              <w:rPr/>
            </w:pPr>
            <w:r w:rsidDel="00000000" w:rsidR="00000000" w:rsidRPr="00000000">
              <w:rPr>
                <w:sz w:val="15"/>
                <w:szCs w:val="15"/>
                <w:rtl w:val="0"/>
              </w:rPr>
              <w:t xml:space="preserve">Trazabilidad de quién revisó y bajo qué política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60" w:before="60" w:lineRule="auto"/>
              <w:rPr/>
            </w:pPr>
            <w:r w:rsidDel="00000000" w:rsidR="00000000" w:rsidRPr="00000000">
              <w:rPr>
                <w:sz w:val="15"/>
                <w:szCs w:val="15"/>
                <w:rtl w:val="0"/>
              </w:rPr>
              <w:t xml:space="preserve">Integrador fintech</w:t>
            </w:r>
            <w:r w:rsidDel="00000000" w:rsidR="00000000" w:rsidRPr="00000000">
              <w:rPr>
                <w:rtl w:val="0"/>
              </w:rPr>
            </w:r>
          </w:p>
        </w:tc>
        <w:tc>
          <w:tcPr>
            <w:vAlign w:val="center"/>
          </w:tcPr>
          <w:p w:rsidR="00000000" w:rsidDel="00000000" w:rsidP="00000000" w:rsidRDefault="00000000" w:rsidRPr="00000000" w14:paraId="00000056">
            <w:pPr>
              <w:spacing w:after="60" w:before="60" w:lineRule="auto"/>
              <w:rPr/>
            </w:pPr>
            <w:r w:rsidDel="00000000" w:rsidR="00000000" w:rsidRPr="00000000">
              <w:rPr>
                <w:sz w:val="15"/>
                <w:szCs w:val="15"/>
                <w:rtl w:val="0"/>
              </w:rPr>
              <w:t xml:space="preserve">Desplegar tesorerías Stellar para terceros</w:t>
            </w:r>
            <w:r w:rsidDel="00000000" w:rsidR="00000000" w:rsidRPr="00000000">
              <w:rPr>
                <w:rtl w:val="0"/>
              </w:rPr>
            </w:r>
          </w:p>
        </w:tc>
        <w:tc>
          <w:tcPr>
            <w:vAlign w:val="center"/>
          </w:tcPr>
          <w:p w:rsidR="00000000" w:rsidDel="00000000" w:rsidP="00000000" w:rsidRDefault="00000000" w:rsidRPr="00000000" w14:paraId="00000057">
            <w:pPr>
              <w:spacing w:after="60" w:before="60" w:lineRule="auto"/>
              <w:rPr/>
            </w:pPr>
            <w:r w:rsidDel="00000000" w:rsidR="00000000" w:rsidRPr="00000000">
              <w:rPr>
                <w:sz w:val="15"/>
                <w:szCs w:val="15"/>
                <w:rtl w:val="0"/>
              </w:rPr>
              <w:t xml:space="preserve">API, onboarding reproducible y soporte</w:t>
            </w:r>
            <w:r w:rsidDel="00000000" w:rsidR="00000000" w:rsidRPr="00000000">
              <w:rPr>
                <w:rtl w:val="0"/>
              </w:rPr>
            </w:r>
          </w:p>
        </w:tc>
      </w:tr>
    </w:tbl>
    <w:p w:rsidR="00000000" w:rsidDel="00000000" w:rsidP="00000000" w:rsidRDefault="00000000" w:rsidRPr="00000000" w14:paraId="00000058">
      <w:pPr>
        <w:spacing w:after="0" w:lineRule="auto"/>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Evidencias de riesgo y casos documentados</w:t>
      </w:r>
    </w:p>
    <w:p w:rsidR="00000000" w:rsidDel="00000000" w:rsidP="00000000" w:rsidRDefault="00000000" w:rsidRPr="00000000" w14:paraId="0000005A">
      <w:pPr>
        <w:pStyle w:val="Heading2"/>
        <w:rPr/>
      </w:pPr>
      <w:r w:rsidDel="00000000" w:rsidR="00000000" w:rsidRPr="00000000">
        <w:rPr>
          <w:rtl w:val="0"/>
        </w:rPr>
        <w:t xml:space="preserve">Ecosistema de criptoactivos: robo de fondos, 2025</w:t>
      </w:r>
    </w:p>
    <w:p w:rsidR="00000000" w:rsidDel="00000000" w:rsidP="00000000" w:rsidRDefault="00000000" w:rsidRPr="00000000" w14:paraId="0000005B">
      <w:pPr>
        <w:rPr/>
      </w:pPr>
      <w:r w:rsidDel="00000000" w:rsidR="00000000" w:rsidRPr="00000000">
        <w:rPr>
          <w:rtl w:val="0"/>
        </w:rPr>
        <w:t xml:space="preserve">Chainalysis estimó más de USD 3.400 millones robados durante 2025 hasta principios de diciembre. La publicación destaca ataques a servicios centralizados y 158.000 incidentes de compromiso de wallets personales que afectaron a unas 80.000 víctimas. Son cifras globales, no pérdidas de empresas clientes de Pucará ni atribuibles a seed phrases específicamente. [S13]</w:t>
      </w:r>
    </w:p>
    <w:p w:rsidR="00000000" w:rsidDel="00000000" w:rsidP="00000000" w:rsidRDefault="00000000" w:rsidRPr="00000000" w14:paraId="0000005C">
      <w:pPr>
        <w:rPr/>
      </w:pPr>
      <w:r w:rsidDel="00000000" w:rsidR="00000000" w:rsidRPr="00000000">
        <w:rPr>
          <w:rtl w:val="0"/>
        </w:rPr>
        <w:t xml:space="preserve">NCC Group describe una alteración de la interfaz que hizo que aprobadores de una wallet multisig en Ethereum validaran una operación maliciosa presentada como transferencia rutinaria. Según su análisis, el problema fue la cadena de revisión/visualización, no una demostración de que los umbrales criptográficos fueran quebrados. Implicación: Pucará debe reforzar la correspondencia entre datos mostrados, datos firmados y políticas efectivamente aplicadas. [S15, S24]</w:t>
      </w:r>
    </w:p>
    <w:p w:rsidR="00000000" w:rsidDel="00000000" w:rsidP="00000000" w:rsidRDefault="00000000" w:rsidRPr="00000000" w14:paraId="0000005D">
      <w:pPr>
        <w:rPr/>
      </w:pPr>
      <w:r w:rsidDel="00000000" w:rsidR="00000000" w:rsidRPr="00000000">
        <w:rPr>
          <w:rtl w:val="0"/>
        </w:rPr>
        <w:t xml:space="preserve">El FBI informó que en 2025 recibió 181.565 denuncias que involucraban criptomonedas con pérdidas reportadas de más de USD 11.000 millones. Esta cifra es fraude denunciado en EE. UU., NO pérdidas por hackeo de smart wallets; se incluye como contexto de confianza, fraude y educación de usuarios. [S14]</w:t>
      </w:r>
    </w:p>
    <w:p w:rsidR="00000000" w:rsidDel="00000000" w:rsidP="00000000" w:rsidRDefault="00000000" w:rsidRPr="00000000" w14:paraId="0000005E">
      <w:pPr>
        <w:pStyle w:val="Heading2"/>
        <w:rPr/>
      </w:pPr>
      <w:r w:rsidDel="00000000" w:rsidR="00000000" w:rsidRPr="00000000">
        <w:rPr>
          <w:rtl w:val="0"/>
        </w:rPr>
        <w:t xml:space="preserve">Qué validan y qué no</w:t>
      </w:r>
    </w:p>
    <w:p w:rsidR="00000000" w:rsidDel="00000000" w:rsidP="00000000" w:rsidRDefault="00000000" w:rsidRPr="00000000" w14:paraId="0000005F">
      <w:pPr>
        <w:rPr/>
      </w:pPr>
      <w:r w:rsidDel="00000000" w:rsidR="00000000" w:rsidRPr="00000000">
        <w:rPr>
          <w:rtl w:val="0"/>
        </w:rPr>
        <w:t xml:space="preserve">Validan que existen amenazas reales, que las aprobaciones humanas pueden fallar y que seguridad + claridad operativa son una necesidad significativa. No prueban que un modelo multisig per se y passkeys eliminen esos ataques, ni que Pucará prevenga específicamente el incidente Bybit. No es una promesa de inmunidad al phishing de transacciones.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Mercado regional y oportunidad sobre Stellar</w:t>
      </w:r>
    </w:p>
    <w:p w:rsidR="00000000" w:rsidDel="00000000" w:rsidP="00000000" w:rsidRDefault="00000000" w:rsidRPr="00000000" w14:paraId="00000062">
      <w:pPr>
        <w:pStyle w:val="Heading2"/>
        <w:rPr/>
      </w:pPr>
      <w:r w:rsidDel="00000000" w:rsidR="00000000" w:rsidRPr="00000000">
        <w:rPr>
          <w:rtl w:val="0"/>
        </w:rPr>
        <w:t xml:space="preserve">América Latina y Argentina</w:t>
      </w:r>
    </w:p>
    <w:p w:rsidR="00000000" w:rsidDel="00000000" w:rsidP="00000000" w:rsidRDefault="00000000" w:rsidRPr="00000000" w14:paraId="00000063">
      <w:pPr>
        <w:rPr/>
      </w:pPr>
      <w:r w:rsidDel="00000000" w:rsidR="00000000" w:rsidRPr="00000000">
        <w:rPr>
          <w:rtl w:val="0"/>
        </w:rPr>
        <w:t xml:space="preserve">El análisis 2026 de Chainalysis describe USD 593.800 millones de actividad regional en julio de 2025–junio de 2026 (+9,8% interanual). Argentina fue el segundo mercado por volumen con USD 88.500 millones. Las stablecoins representaron aproximadamente 32% del valor transfronterizo observado a junio de 2026. La participación de saldos mantenidos en servicios llegó a 71,2%, una señal de preferencia por experiencias gestionadas que debe leerse también como reto para el modelo auto custodial. [S16]</w:t>
      </w:r>
    </w:p>
    <w:p w:rsidR="00000000" w:rsidDel="00000000" w:rsidP="00000000" w:rsidRDefault="00000000" w:rsidRPr="00000000" w14:paraId="00000064">
      <w:pPr>
        <w:pStyle w:val="Heading2"/>
        <w:rPr/>
      </w:pPr>
      <w:r w:rsidDel="00000000" w:rsidR="00000000" w:rsidRPr="00000000">
        <w:rPr>
          <w:rtl w:val="0"/>
        </w:rPr>
        <w:t xml:space="preserve">Stellar: mercado habilitador, no diferenciación automática</w:t>
      </w:r>
    </w:p>
    <w:p w:rsidR="00000000" w:rsidDel="00000000" w:rsidP="00000000" w:rsidRDefault="00000000" w:rsidRPr="00000000" w14:paraId="00000065">
      <w:pPr>
        <w:rPr/>
      </w:pPr>
      <w:r w:rsidDel="00000000" w:rsidR="00000000" w:rsidRPr="00000000">
        <w:rPr>
          <w:rtl w:val="0"/>
        </w:rPr>
        <w:t xml:space="preserve">Stellar reportó más de USD 3.000 millones en activos del mundo real (RWA) en Q2 2026 y USD 11.400 millones de transferencias con stablecoins durante ese trimestre. Stellar permite verificar firmas P-256/WebAuthn en smart contracts y diseñar reglas de autorización mediante cuentas de contrato. Esto habilita una solución específica para tesorerías que operan sobre Stellar. [S17, S20]</w:t>
      </w:r>
    </w:p>
    <w:p w:rsidR="00000000" w:rsidDel="00000000" w:rsidP="00000000" w:rsidRDefault="00000000" w:rsidRPr="00000000" w14:paraId="00000066">
      <w:pPr>
        <w:rPr/>
      </w:pPr>
      <w:r w:rsidDel="00000000" w:rsidR="00000000" w:rsidRPr="00000000">
        <w:rPr>
          <w:rtl w:val="0"/>
        </w:rPr>
        <w:t xml:space="preserve">El multisig clásico de Stellar ya permite firmas y umbrales m-de-n. Pucará otorga el valor incremental de políticas programables, experiencia integrada, firmas passkey y gestión de roles frente a configurar una cuenta clásica manualmente. [S19]</w:t>
      </w:r>
    </w:p>
    <w:p w:rsidR="00000000" w:rsidDel="00000000" w:rsidP="00000000" w:rsidRDefault="00000000" w:rsidRPr="00000000" w14:paraId="00000067">
      <w:pPr>
        <w:pStyle w:val="Heading2"/>
        <w:rPr/>
      </w:pPr>
      <w:r w:rsidDel="00000000" w:rsidR="00000000" w:rsidRPr="00000000">
        <w:rPr>
          <w:rtl w:val="0"/>
        </w:rPr>
        <w:t xml:space="preserve">Segmentación de clientes iniciales (hipótesis)</w:t>
      </w:r>
    </w:p>
    <w:tbl>
      <w:tblPr>
        <w:tblStyle w:val="Table6"/>
        <w:tblW w:w="9765.0" w:type="dxa"/>
        <w:jc w:val="center"/>
        <w:tblBorders>
          <w:top w:color="4f81bd" w:space="0" w:sz="8" w:val="single"/>
          <w:bottom w:color="4f81bd" w:space="0" w:sz="8" w:val="single"/>
        </w:tblBorders>
        <w:tblLayout w:type="fixed"/>
        <w:tblLook w:val="04A0"/>
      </w:tblPr>
      <w:tblGrid>
        <w:gridCol w:w="3255"/>
        <w:gridCol w:w="3255"/>
        <w:gridCol w:w="3255"/>
        <w:tblGridChange w:id="0">
          <w:tblGrid>
            <w:gridCol w:w="3255"/>
            <w:gridCol w:w="3255"/>
            <w:gridCol w:w="3255"/>
          </w:tblGrid>
        </w:tblGridChange>
      </w:tblGrid>
      <w:tr>
        <w:trPr>
          <w:cantSplit w:val="0"/>
          <w:tblHeader w:val="1"/>
        </w:trPr>
        <w:tc>
          <w:tcPr>
            <w:shd w:fill="e4eff2" w:val="clear"/>
          </w:tcPr>
          <w:p w:rsidR="00000000" w:rsidDel="00000000" w:rsidP="00000000" w:rsidRDefault="00000000" w:rsidRPr="00000000" w14:paraId="00000068">
            <w:pPr>
              <w:rPr/>
            </w:pPr>
            <w:r w:rsidDel="00000000" w:rsidR="00000000" w:rsidRPr="00000000">
              <w:rPr>
                <w:b w:val="1"/>
                <w:bCs w:val="1"/>
                <w:color w:val="1d537f"/>
                <w:sz w:val="16"/>
                <w:szCs w:val="16"/>
                <w:rtl w:val="0"/>
              </w:rPr>
              <w:t xml:space="preserve">PRIORIDAD</w:t>
            </w:r>
            <w:r w:rsidDel="00000000" w:rsidR="00000000" w:rsidRPr="00000000">
              <w:rPr>
                <w:rtl w:val="0"/>
              </w:rPr>
            </w:r>
          </w:p>
        </w:tc>
        <w:tc>
          <w:tcPr>
            <w:shd w:fill="e4eff2" w:val="clear"/>
          </w:tcPr>
          <w:p w:rsidR="00000000" w:rsidDel="00000000" w:rsidP="00000000" w:rsidRDefault="00000000" w:rsidRPr="00000000" w14:paraId="00000069">
            <w:pPr>
              <w:rPr/>
            </w:pPr>
            <w:r w:rsidDel="00000000" w:rsidR="00000000" w:rsidRPr="00000000">
              <w:rPr>
                <w:b w:val="1"/>
                <w:bCs w:val="1"/>
                <w:color w:val="1d537f"/>
                <w:sz w:val="16"/>
                <w:szCs w:val="16"/>
                <w:rtl w:val="0"/>
              </w:rPr>
              <w:t xml:space="preserve">SEGMENTO</w:t>
            </w:r>
            <w:r w:rsidDel="00000000" w:rsidR="00000000" w:rsidRPr="00000000">
              <w:rPr>
                <w:rtl w:val="0"/>
              </w:rPr>
            </w:r>
          </w:p>
        </w:tc>
        <w:tc>
          <w:tcPr>
            <w:shd w:fill="e4eff2" w:val="clear"/>
          </w:tcPr>
          <w:p w:rsidR="00000000" w:rsidDel="00000000" w:rsidP="00000000" w:rsidRDefault="00000000" w:rsidRPr="00000000" w14:paraId="0000006A">
            <w:pPr>
              <w:rPr/>
            </w:pPr>
            <w:r w:rsidDel="00000000" w:rsidR="00000000" w:rsidRPr="00000000">
              <w:rPr>
                <w:b w:val="1"/>
                <w:bCs w:val="1"/>
                <w:color w:val="1d537f"/>
                <w:sz w:val="16"/>
                <w:szCs w:val="16"/>
                <w:rtl w:val="0"/>
              </w:rPr>
              <w:t xml:space="preserve">MOTIVO DE SELECCIÓN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60" w:before="60" w:lineRule="auto"/>
              <w:rPr/>
            </w:pPr>
            <w:r w:rsidDel="00000000" w:rsidR="00000000" w:rsidRPr="00000000">
              <w:rPr>
                <w:sz w:val="15"/>
                <w:szCs w:val="15"/>
                <w:rtl w:val="0"/>
              </w:rPr>
              <w:t xml:space="preserve">P0 · 1er piloto</w:t>
            </w:r>
            <w:r w:rsidDel="00000000" w:rsidR="00000000" w:rsidRPr="00000000">
              <w:rPr>
                <w:rtl w:val="0"/>
              </w:rPr>
            </w:r>
          </w:p>
        </w:tc>
        <w:tc>
          <w:tcPr>
            <w:vAlign w:val="center"/>
          </w:tcPr>
          <w:p w:rsidR="00000000" w:rsidDel="00000000" w:rsidP="00000000" w:rsidRDefault="00000000" w:rsidRPr="00000000" w14:paraId="0000006C">
            <w:pPr>
              <w:spacing w:after="60" w:before="60" w:lineRule="auto"/>
              <w:rPr/>
            </w:pPr>
            <w:r w:rsidDel="00000000" w:rsidR="00000000" w:rsidRPr="00000000">
              <w:rPr>
                <w:sz w:val="15"/>
                <w:szCs w:val="15"/>
                <w:rtl w:val="0"/>
              </w:rPr>
              <w:t xml:space="preserve">Startups fintech / empresas Web3 que ya usan Stellar</w:t>
            </w:r>
            <w:r w:rsidDel="00000000" w:rsidR="00000000" w:rsidRPr="00000000">
              <w:rPr>
                <w:rtl w:val="0"/>
              </w:rPr>
            </w:r>
          </w:p>
        </w:tc>
        <w:tc>
          <w:tcPr>
            <w:vAlign w:val="center"/>
          </w:tcPr>
          <w:p w:rsidR="00000000" w:rsidDel="00000000" w:rsidP="00000000" w:rsidRDefault="00000000" w:rsidRPr="00000000" w14:paraId="0000006D">
            <w:pPr>
              <w:spacing w:after="60" w:before="60" w:lineRule="auto"/>
              <w:rPr/>
            </w:pPr>
            <w:r w:rsidDel="00000000" w:rsidR="00000000" w:rsidRPr="00000000">
              <w:rPr>
                <w:sz w:val="15"/>
                <w:szCs w:val="15"/>
                <w:rtl w:val="0"/>
              </w:rPr>
              <w:t xml:space="preserve">Necesidad inmediata, menor complejidad de compras, test rápido</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6E">
            <w:pPr>
              <w:spacing w:after="60" w:before="60" w:lineRule="auto"/>
              <w:rPr/>
            </w:pPr>
            <w:r w:rsidDel="00000000" w:rsidR="00000000" w:rsidRPr="00000000">
              <w:rPr>
                <w:sz w:val="15"/>
                <w:szCs w:val="15"/>
                <w:rtl w:val="0"/>
              </w:rPr>
              <w:t xml:space="preserve">P1</w:t>
            </w:r>
            <w:r w:rsidDel="00000000" w:rsidR="00000000" w:rsidRPr="00000000">
              <w:rPr>
                <w:rtl w:val="0"/>
              </w:rPr>
            </w:r>
          </w:p>
        </w:tc>
        <w:tc>
          <w:tcPr>
            <w:shd w:fill="f7fafb" w:val="clear"/>
            <w:vAlign w:val="center"/>
          </w:tcPr>
          <w:p w:rsidR="00000000" w:rsidDel="00000000" w:rsidP="00000000" w:rsidRDefault="00000000" w:rsidRPr="00000000" w14:paraId="0000006F">
            <w:pPr>
              <w:spacing w:after="60" w:before="60" w:lineRule="auto"/>
              <w:rPr/>
            </w:pPr>
            <w:r w:rsidDel="00000000" w:rsidR="00000000" w:rsidRPr="00000000">
              <w:rPr>
                <w:sz w:val="15"/>
                <w:szCs w:val="15"/>
                <w:rtl w:val="0"/>
              </w:rPr>
              <w:t xml:space="preserve">Pymes exportadoras / tesorerías con stablecoins</w:t>
            </w:r>
            <w:r w:rsidDel="00000000" w:rsidR="00000000" w:rsidRPr="00000000">
              <w:rPr>
                <w:rtl w:val="0"/>
              </w:rPr>
            </w:r>
          </w:p>
        </w:tc>
        <w:tc>
          <w:tcPr>
            <w:shd w:fill="f7fafb" w:val="clear"/>
            <w:vAlign w:val="center"/>
          </w:tcPr>
          <w:p w:rsidR="00000000" w:rsidDel="00000000" w:rsidP="00000000" w:rsidRDefault="00000000" w:rsidRPr="00000000" w14:paraId="00000070">
            <w:pPr>
              <w:spacing w:after="60" w:before="60" w:lineRule="auto"/>
              <w:rPr/>
            </w:pPr>
            <w:r w:rsidDel="00000000" w:rsidR="00000000" w:rsidRPr="00000000">
              <w:rPr>
                <w:sz w:val="15"/>
                <w:szCs w:val="15"/>
                <w:rtl w:val="0"/>
              </w:rPr>
              <w:t xml:space="preserve">Dolor de aprobaciones, requiere validar operación y regulación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spacing w:after="60" w:before="60" w:lineRule="auto"/>
              <w:rPr/>
            </w:pPr>
            <w:r w:rsidDel="00000000" w:rsidR="00000000" w:rsidRPr="00000000">
              <w:rPr>
                <w:sz w:val="15"/>
                <w:szCs w:val="15"/>
                <w:rtl w:val="0"/>
              </w:rPr>
              <w:t xml:space="preserve">P1</w:t>
            </w:r>
            <w:r w:rsidDel="00000000" w:rsidR="00000000" w:rsidRPr="00000000">
              <w:rPr>
                <w:rtl w:val="0"/>
              </w:rPr>
            </w:r>
          </w:p>
        </w:tc>
        <w:tc>
          <w:tcPr>
            <w:vAlign w:val="center"/>
          </w:tcPr>
          <w:p w:rsidR="00000000" w:rsidDel="00000000" w:rsidP="00000000" w:rsidRDefault="00000000" w:rsidRPr="00000000" w14:paraId="00000072">
            <w:pPr>
              <w:spacing w:after="60" w:before="60" w:lineRule="auto"/>
              <w:rPr/>
            </w:pPr>
            <w:r w:rsidDel="00000000" w:rsidR="00000000" w:rsidRPr="00000000">
              <w:rPr>
                <w:sz w:val="15"/>
                <w:szCs w:val="15"/>
                <w:rtl w:val="0"/>
              </w:rPr>
              <w:t xml:space="preserve">Emisores e integradores de activos Stellar</w:t>
            </w:r>
            <w:r w:rsidDel="00000000" w:rsidR="00000000" w:rsidRPr="00000000">
              <w:rPr>
                <w:rtl w:val="0"/>
              </w:rPr>
            </w:r>
          </w:p>
        </w:tc>
        <w:tc>
          <w:tcPr>
            <w:vAlign w:val="center"/>
          </w:tcPr>
          <w:p w:rsidR="00000000" w:rsidDel="00000000" w:rsidP="00000000" w:rsidRDefault="00000000" w:rsidRPr="00000000" w14:paraId="00000073">
            <w:pPr>
              <w:spacing w:after="60" w:before="60" w:lineRule="auto"/>
              <w:rPr/>
            </w:pPr>
            <w:r w:rsidDel="00000000" w:rsidR="00000000" w:rsidRPr="00000000">
              <w:rPr>
                <w:sz w:val="15"/>
                <w:szCs w:val="15"/>
                <w:rtl w:val="0"/>
              </w:rPr>
              <w:t xml:space="preserve">Interés potencial en wallets como capa integrada</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74">
            <w:pPr>
              <w:spacing w:after="60" w:before="60" w:lineRule="auto"/>
              <w:rPr/>
            </w:pPr>
            <w:r w:rsidDel="00000000" w:rsidR="00000000" w:rsidRPr="00000000">
              <w:rPr>
                <w:sz w:val="15"/>
                <w:szCs w:val="15"/>
                <w:rtl w:val="0"/>
              </w:rPr>
              <w:t xml:space="preserve">P2</w:t>
            </w:r>
            <w:r w:rsidDel="00000000" w:rsidR="00000000" w:rsidRPr="00000000">
              <w:rPr>
                <w:rtl w:val="0"/>
              </w:rPr>
            </w:r>
          </w:p>
        </w:tc>
        <w:tc>
          <w:tcPr>
            <w:shd w:fill="f7fafb" w:val="clear"/>
            <w:vAlign w:val="center"/>
          </w:tcPr>
          <w:p w:rsidR="00000000" w:rsidDel="00000000" w:rsidP="00000000" w:rsidRDefault="00000000" w:rsidRPr="00000000" w14:paraId="00000075">
            <w:pPr>
              <w:spacing w:after="60" w:before="60" w:lineRule="auto"/>
              <w:rPr/>
            </w:pPr>
            <w:r w:rsidDel="00000000" w:rsidR="00000000" w:rsidRPr="00000000">
              <w:rPr>
                <w:sz w:val="15"/>
                <w:szCs w:val="15"/>
                <w:rtl w:val="0"/>
              </w:rPr>
              <w:t xml:space="preserve">Bancos y entidades reguladas</w:t>
            </w:r>
            <w:r w:rsidDel="00000000" w:rsidR="00000000" w:rsidRPr="00000000">
              <w:rPr>
                <w:rtl w:val="0"/>
              </w:rPr>
            </w:r>
          </w:p>
        </w:tc>
        <w:tc>
          <w:tcPr>
            <w:shd w:fill="f7fafb" w:val="clear"/>
            <w:vAlign w:val="center"/>
          </w:tcPr>
          <w:p w:rsidR="00000000" w:rsidDel="00000000" w:rsidP="00000000" w:rsidRDefault="00000000" w:rsidRPr="00000000" w14:paraId="00000076">
            <w:pPr>
              <w:spacing w:after="60" w:before="60" w:lineRule="auto"/>
              <w:rPr/>
            </w:pPr>
            <w:r w:rsidDel="00000000" w:rsidR="00000000" w:rsidRPr="00000000">
              <w:rPr>
                <w:sz w:val="15"/>
                <w:szCs w:val="15"/>
                <w:rtl w:val="0"/>
              </w:rPr>
              <w:t xml:space="preserve">Mayor ticket potencial, pero auditorías, riesgos y procurement largos</w:t>
            </w:r>
            <w:r w:rsidDel="00000000" w:rsidR="00000000" w:rsidRPr="00000000">
              <w:rPr>
                <w:rtl w:val="0"/>
              </w:rPr>
            </w:r>
          </w:p>
        </w:tc>
      </w:tr>
    </w:tbl>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Benchmark de precios públicos: Safe y Fireblocks</w:t>
      </w:r>
    </w:p>
    <w:p w:rsidR="00000000" w:rsidDel="00000000" w:rsidP="00000000" w:rsidRDefault="00000000" w:rsidRPr="00000000" w14:paraId="00000079">
      <w:pPr>
        <w:pStyle w:val="Heading2"/>
        <w:rPr/>
      </w:pPr>
      <w:r w:rsidDel="00000000" w:rsidR="00000000" w:rsidRPr="00000000">
        <w:rPr>
          <w:rtl w:val="0"/>
        </w:rPr>
        <w:t xml:space="preserve">Fireblocks · MPC como infraestructura de custodia y operación</w:t>
      </w:r>
    </w:p>
    <w:p w:rsidR="00000000" w:rsidDel="00000000" w:rsidP="00000000" w:rsidRDefault="00000000" w:rsidRPr="00000000" w14:paraId="0000007A">
      <w:pPr>
        <w:rPr/>
      </w:pPr>
      <w:r w:rsidDel="00000000" w:rsidR="00000000" w:rsidRPr="00000000">
        <w:rPr>
          <w:rtl w:val="0"/>
        </w:rPr>
        <w:t xml:space="preserve">Tarifario oficial consultado: Essentials USD 999/mes, ofrecido por «hasta 6 meses»; incluye entorno productivo, USD 1 millón de volumen de salida trimestral, 5.000 wallets embebidas, acceso API/SDK, 2 workspaces, hasta 5 usuarios y soporte básico 8×5. Publica un overage de 0,20% para Essentials sobre los límites de volumen declarados. La familia Custom (Pro / Enterprise / Enterprise+) se cotiza y comienza desde USD 36.000 por año. Se deben confirmar condiciones vigentes, continuidad tras el período inicial, volumen, módulos y acuerdos al contratar. [S01]</w:t>
      </w:r>
    </w:p>
    <w:p w:rsidR="00000000" w:rsidDel="00000000" w:rsidP="00000000" w:rsidRDefault="00000000" w:rsidRPr="00000000" w14:paraId="0000007B">
      <w:pPr>
        <w:rPr/>
      </w:pPr>
      <w:r w:rsidDel="00000000" w:rsidR="00000000" w:rsidRPr="00000000">
        <w:rPr>
          <w:rtl w:val="0"/>
        </w:rPr>
        <w:t xml:space="preserve">Fireblocks implementa soluciones basadas en MPC y política de autorización; su oferta también contempla modalidades de custodia calificadas opcionales. No se debe simplificar como «custodia de terceros» obligatoria. Su cobertura multired, automatización, red de contrapartes y compliance excede ampliamente el MVP de Pucará. [S02]</w:t>
      </w:r>
    </w:p>
    <w:p w:rsidR="00000000" w:rsidDel="00000000" w:rsidP="00000000" w:rsidRDefault="00000000" w:rsidRPr="00000000" w14:paraId="0000007C">
      <w:pPr>
        <w:pStyle w:val="Heading2"/>
        <w:rPr/>
      </w:pPr>
      <w:r w:rsidDel="00000000" w:rsidR="00000000" w:rsidRPr="00000000">
        <w:rPr>
          <w:rtl w:val="0"/>
        </w:rPr>
        <w:t xml:space="preserve">Safe Core y Safe Pro · gobierno de smart accounts EVM</w:t>
      </w:r>
    </w:p>
    <w:p w:rsidR="00000000" w:rsidDel="00000000" w:rsidP="00000000" w:rsidRDefault="00000000" w:rsidRPr="00000000" w14:paraId="0000007D">
      <w:pPr>
        <w:rPr/>
      </w:pPr>
      <w:r w:rsidDel="00000000" w:rsidR="00000000" w:rsidRPr="00000000">
        <w:rPr>
          <w:rtl w:val="0"/>
        </w:rPr>
        <w:t xml:space="preserve">El 6/10/2026 Safe anunció Safe Pro como capa organizativa paga, manteniendo Safe Core gratuito para cuentas individuales. Tarifas anunciadas el 12/10: Starter €189/mes o €1.990/año (2 cuentas Safe); Business desde €669/mes o €7.190/año (capacidad desde 5 cuentas, variantes hasta 20); Enterprise a medida. Los valores excluyen IVA y nuevos workspaces pueden obtener 30 días de prueba. Safe indica miembros y firmantes ilimitados y que las cuentas individuales siguen accesibles si cesa la suscripción al Workspace. [S03, S04, S05, S06]</w:t>
      </w:r>
    </w:p>
    <w:p w:rsidR="00000000" w:rsidDel="00000000" w:rsidP="00000000" w:rsidRDefault="00000000" w:rsidRPr="00000000" w14:paraId="0000007E">
      <w:pPr>
        <w:rPr/>
      </w:pPr>
      <w:r w:rsidDel="00000000" w:rsidR="00000000" w:rsidRPr="00000000">
        <w:rPr>
          <w:rtl w:val="0"/>
        </w:rPr>
        <w:t xml:space="preserve">Starter y Business incorporan funciones distintas: los controles/policies y proposers figuran en Business, no en Starter. Hay patrocinios de gas con límites. Algunas mejoras, entre ellas capacidades relacionadas con Safenet, se anuncian como próximas; no se cuentan como disponibilidad productiva. Safe está enfocado en cadenas EVM y dispone de soporte técnico para firmantes passkey, por lo que no corresponde vender esa capacidad como exclusiva de Pucará. [S03, S07, S08]</w:t>
      </w:r>
    </w:p>
    <w:p w:rsidR="00000000" w:rsidDel="00000000" w:rsidP="00000000" w:rsidRDefault="00000000" w:rsidRPr="00000000" w14:paraId="0000007F">
      <w:pPr>
        <w:pStyle w:val="Heading2"/>
        <w:rPr/>
      </w:pPr>
      <w:r w:rsidDel="00000000" w:rsidR="00000000" w:rsidRPr="00000000">
        <w:rPr>
          <w:rtl w:val="0"/>
        </w:rPr>
        <w:t xml:space="preserve">Cuadro de referencia comercial</w:t>
      </w:r>
    </w:p>
    <w:tbl>
      <w:tblPr>
        <w:tblStyle w:val="Table7"/>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1"/>
        </w:trPr>
        <w:tc>
          <w:tcPr>
            <w:shd w:fill="e4eff2" w:val="clear"/>
          </w:tcPr>
          <w:p w:rsidR="00000000" w:rsidDel="00000000" w:rsidP="00000000" w:rsidRDefault="00000000" w:rsidRPr="00000000" w14:paraId="00000080">
            <w:pPr>
              <w:rPr/>
            </w:pPr>
            <w:r w:rsidDel="00000000" w:rsidR="00000000" w:rsidRPr="00000000">
              <w:rPr>
                <w:b w:val="1"/>
                <w:bCs w:val="1"/>
                <w:color w:val="1d537f"/>
                <w:sz w:val="16"/>
                <w:szCs w:val="16"/>
                <w:rtl w:val="0"/>
              </w:rPr>
              <w:t xml:space="preserve">PROVEEDOR / NIVEL</w:t>
            </w:r>
            <w:r w:rsidDel="00000000" w:rsidR="00000000" w:rsidRPr="00000000">
              <w:rPr>
                <w:rtl w:val="0"/>
              </w:rPr>
            </w:r>
          </w:p>
        </w:tc>
        <w:tc>
          <w:tcPr>
            <w:shd w:fill="e4eff2" w:val="clear"/>
          </w:tcPr>
          <w:p w:rsidR="00000000" w:rsidDel="00000000" w:rsidP="00000000" w:rsidRDefault="00000000" w:rsidRPr="00000000" w14:paraId="00000081">
            <w:pPr>
              <w:rPr/>
            </w:pPr>
            <w:r w:rsidDel="00000000" w:rsidR="00000000" w:rsidRPr="00000000">
              <w:rPr>
                <w:b w:val="1"/>
                <w:bCs w:val="1"/>
                <w:color w:val="1d537f"/>
                <w:sz w:val="16"/>
                <w:szCs w:val="16"/>
                <w:rtl w:val="0"/>
              </w:rPr>
              <w:t xml:space="preserve">PRECIO PÚBLICO</w:t>
            </w:r>
            <w:r w:rsidDel="00000000" w:rsidR="00000000" w:rsidRPr="00000000">
              <w:rPr>
                <w:rtl w:val="0"/>
              </w:rPr>
            </w:r>
          </w:p>
        </w:tc>
        <w:tc>
          <w:tcPr>
            <w:shd w:fill="e4eff2" w:val="clear"/>
          </w:tcPr>
          <w:p w:rsidR="00000000" w:rsidDel="00000000" w:rsidP="00000000" w:rsidRDefault="00000000" w:rsidRPr="00000000" w14:paraId="00000082">
            <w:pPr>
              <w:rPr/>
            </w:pPr>
            <w:r w:rsidDel="00000000" w:rsidR="00000000" w:rsidRPr="00000000">
              <w:rPr>
                <w:b w:val="1"/>
                <w:bCs w:val="1"/>
                <w:color w:val="1d537f"/>
                <w:sz w:val="16"/>
                <w:szCs w:val="16"/>
                <w:rtl w:val="0"/>
              </w:rPr>
              <w:t xml:space="preserve">ALCANCE RELEVANTE</w:t>
            </w:r>
            <w:r w:rsidDel="00000000" w:rsidR="00000000" w:rsidRPr="00000000">
              <w:rPr>
                <w:rtl w:val="0"/>
              </w:rPr>
            </w:r>
          </w:p>
        </w:tc>
        <w:tc>
          <w:tcPr>
            <w:shd w:fill="e4eff2" w:val="clear"/>
          </w:tcPr>
          <w:p w:rsidR="00000000" w:rsidDel="00000000" w:rsidP="00000000" w:rsidRDefault="00000000" w:rsidRPr="00000000" w14:paraId="00000083">
            <w:pPr>
              <w:rPr/>
            </w:pPr>
            <w:r w:rsidDel="00000000" w:rsidR="00000000" w:rsidRPr="00000000">
              <w:rPr>
                <w:b w:val="1"/>
                <w:bCs w:val="1"/>
                <w:color w:val="1d537f"/>
                <w:sz w:val="16"/>
                <w:szCs w:val="16"/>
                <w:rtl w:val="0"/>
              </w:rPr>
              <w:t xml:space="preserve">CONDICIONES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after="60" w:before="60" w:lineRule="auto"/>
              <w:rPr/>
            </w:pPr>
            <w:r w:rsidDel="00000000" w:rsidR="00000000" w:rsidRPr="00000000">
              <w:rPr>
                <w:sz w:val="14"/>
                <w:szCs w:val="14"/>
                <w:rtl w:val="0"/>
              </w:rPr>
              <w:t xml:space="preserve">Fireblocks · Essentials</w:t>
            </w:r>
            <w:r w:rsidDel="00000000" w:rsidR="00000000" w:rsidRPr="00000000">
              <w:rPr>
                <w:rtl w:val="0"/>
              </w:rPr>
            </w:r>
          </w:p>
        </w:tc>
        <w:tc>
          <w:tcPr>
            <w:vAlign w:val="center"/>
          </w:tcPr>
          <w:p w:rsidR="00000000" w:rsidDel="00000000" w:rsidP="00000000" w:rsidRDefault="00000000" w:rsidRPr="00000000" w14:paraId="00000085">
            <w:pPr>
              <w:spacing w:after="60" w:before="60" w:lineRule="auto"/>
              <w:rPr/>
            </w:pPr>
            <w:r w:rsidDel="00000000" w:rsidR="00000000" w:rsidRPr="00000000">
              <w:rPr>
                <w:sz w:val="14"/>
                <w:szCs w:val="14"/>
                <w:rtl w:val="0"/>
              </w:rPr>
              <w:t xml:space="preserve">USD 999 / mes</w:t>
            </w:r>
            <w:r w:rsidDel="00000000" w:rsidR="00000000" w:rsidRPr="00000000">
              <w:rPr>
                <w:rtl w:val="0"/>
              </w:rPr>
            </w:r>
          </w:p>
        </w:tc>
        <w:tc>
          <w:tcPr>
            <w:vAlign w:val="center"/>
          </w:tcPr>
          <w:p w:rsidR="00000000" w:rsidDel="00000000" w:rsidP="00000000" w:rsidRDefault="00000000" w:rsidRPr="00000000" w14:paraId="00000086">
            <w:pPr>
              <w:spacing w:after="60" w:before="60" w:lineRule="auto"/>
              <w:rPr/>
            </w:pPr>
            <w:r w:rsidDel="00000000" w:rsidR="00000000" w:rsidRPr="00000000">
              <w:rPr>
                <w:sz w:val="14"/>
                <w:szCs w:val="14"/>
                <w:rtl w:val="0"/>
              </w:rPr>
              <w:t xml:space="preserve">MPC, API, wallets, políticas / seguridad</w:t>
            </w:r>
            <w:r w:rsidDel="00000000" w:rsidR="00000000" w:rsidRPr="00000000">
              <w:rPr>
                <w:rtl w:val="0"/>
              </w:rPr>
            </w:r>
          </w:p>
        </w:tc>
        <w:tc>
          <w:tcPr>
            <w:vAlign w:val="center"/>
          </w:tcPr>
          <w:p w:rsidR="00000000" w:rsidDel="00000000" w:rsidP="00000000" w:rsidRDefault="00000000" w:rsidRPr="00000000" w14:paraId="00000087">
            <w:pPr>
              <w:spacing w:after="60" w:before="60" w:lineRule="auto"/>
              <w:rPr/>
            </w:pPr>
            <w:r w:rsidDel="00000000" w:rsidR="00000000" w:rsidRPr="00000000">
              <w:rPr>
                <w:sz w:val="14"/>
                <w:szCs w:val="14"/>
                <w:rtl w:val="0"/>
              </w:rPr>
              <w:t xml:space="preserve">Máx. 6 meses según web; overage 0,20%; validar renovación [S01]</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88">
            <w:pPr>
              <w:spacing w:after="60" w:before="60" w:lineRule="auto"/>
              <w:rPr/>
            </w:pPr>
            <w:r w:rsidDel="00000000" w:rsidR="00000000" w:rsidRPr="00000000">
              <w:rPr>
                <w:sz w:val="14"/>
                <w:szCs w:val="14"/>
                <w:rtl w:val="0"/>
              </w:rPr>
              <w:t xml:space="preserve">Fireblocks · Custom</w:t>
            </w:r>
            <w:r w:rsidDel="00000000" w:rsidR="00000000" w:rsidRPr="00000000">
              <w:rPr>
                <w:rtl w:val="0"/>
              </w:rPr>
            </w:r>
          </w:p>
        </w:tc>
        <w:tc>
          <w:tcPr>
            <w:shd w:fill="f7fafb" w:val="clear"/>
            <w:vAlign w:val="center"/>
          </w:tcPr>
          <w:p w:rsidR="00000000" w:rsidDel="00000000" w:rsidP="00000000" w:rsidRDefault="00000000" w:rsidRPr="00000000" w14:paraId="00000089">
            <w:pPr>
              <w:spacing w:after="60" w:before="60" w:lineRule="auto"/>
              <w:rPr/>
            </w:pPr>
            <w:r w:rsidDel="00000000" w:rsidR="00000000" w:rsidRPr="00000000">
              <w:rPr>
                <w:sz w:val="14"/>
                <w:szCs w:val="14"/>
                <w:rtl w:val="0"/>
              </w:rPr>
              <w:t xml:space="preserve">Desde USD 36.000 / año</w:t>
            </w:r>
            <w:r w:rsidDel="00000000" w:rsidR="00000000" w:rsidRPr="00000000">
              <w:rPr>
                <w:rtl w:val="0"/>
              </w:rPr>
            </w:r>
          </w:p>
        </w:tc>
        <w:tc>
          <w:tcPr>
            <w:shd w:fill="f7fafb" w:val="clear"/>
            <w:vAlign w:val="center"/>
          </w:tcPr>
          <w:p w:rsidR="00000000" w:rsidDel="00000000" w:rsidP="00000000" w:rsidRDefault="00000000" w:rsidRPr="00000000" w14:paraId="0000008A">
            <w:pPr>
              <w:spacing w:after="60" w:before="60" w:lineRule="auto"/>
              <w:rPr/>
            </w:pPr>
            <w:r w:rsidDel="00000000" w:rsidR="00000000" w:rsidRPr="00000000">
              <w:rPr>
                <w:sz w:val="14"/>
                <w:szCs w:val="14"/>
                <w:rtl w:val="0"/>
              </w:rPr>
              <w:t xml:space="preserve">Plataforma institucional, SLA y módulos custom</w:t>
            </w:r>
            <w:r w:rsidDel="00000000" w:rsidR="00000000" w:rsidRPr="00000000">
              <w:rPr>
                <w:rtl w:val="0"/>
              </w:rPr>
            </w:r>
          </w:p>
        </w:tc>
        <w:tc>
          <w:tcPr>
            <w:shd w:fill="f7fafb" w:val="clear"/>
            <w:vAlign w:val="center"/>
          </w:tcPr>
          <w:p w:rsidR="00000000" w:rsidDel="00000000" w:rsidP="00000000" w:rsidRDefault="00000000" w:rsidRPr="00000000" w14:paraId="0000008B">
            <w:pPr>
              <w:spacing w:after="60" w:before="60" w:lineRule="auto"/>
              <w:rPr/>
            </w:pPr>
            <w:r w:rsidDel="00000000" w:rsidR="00000000" w:rsidRPr="00000000">
              <w:rPr>
                <w:sz w:val="14"/>
                <w:szCs w:val="14"/>
                <w:rtl w:val="0"/>
              </w:rPr>
              <w:t xml:space="preserve">Cotización y alcance contractuales [S01]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60" w:before="60" w:lineRule="auto"/>
              <w:rPr/>
            </w:pPr>
            <w:r w:rsidDel="00000000" w:rsidR="00000000" w:rsidRPr="00000000">
              <w:rPr>
                <w:sz w:val="14"/>
                <w:szCs w:val="14"/>
                <w:rtl w:val="0"/>
              </w:rPr>
              <w:t xml:space="preserve">Safe · Core</w:t>
            </w:r>
            <w:r w:rsidDel="00000000" w:rsidR="00000000" w:rsidRPr="00000000">
              <w:rPr>
                <w:rtl w:val="0"/>
              </w:rPr>
            </w:r>
          </w:p>
        </w:tc>
        <w:tc>
          <w:tcPr>
            <w:vAlign w:val="center"/>
          </w:tcPr>
          <w:p w:rsidR="00000000" w:rsidDel="00000000" w:rsidP="00000000" w:rsidRDefault="00000000" w:rsidRPr="00000000" w14:paraId="0000008D">
            <w:pPr>
              <w:spacing w:after="60" w:before="60" w:lineRule="auto"/>
              <w:rPr/>
            </w:pPr>
            <w:r w:rsidDel="00000000" w:rsidR="00000000" w:rsidRPr="00000000">
              <w:rPr>
                <w:sz w:val="14"/>
                <w:szCs w:val="14"/>
                <w:rtl w:val="0"/>
              </w:rPr>
              <w:t xml:space="preserve">Gratis (más gas / costos aplicables)</w:t>
            </w:r>
            <w:r w:rsidDel="00000000" w:rsidR="00000000" w:rsidRPr="00000000">
              <w:rPr>
                <w:rtl w:val="0"/>
              </w:rPr>
            </w:r>
          </w:p>
        </w:tc>
        <w:tc>
          <w:tcPr>
            <w:vAlign w:val="center"/>
          </w:tcPr>
          <w:p w:rsidR="00000000" w:rsidDel="00000000" w:rsidP="00000000" w:rsidRDefault="00000000" w:rsidRPr="00000000" w14:paraId="0000008E">
            <w:pPr>
              <w:spacing w:after="60" w:before="60" w:lineRule="auto"/>
              <w:rPr/>
            </w:pPr>
            <w:r w:rsidDel="00000000" w:rsidR="00000000" w:rsidRPr="00000000">
              <w:rPr>
                <w:sz w:val="14"/>
                <w:szCs w:val="14"/>
                <w:rtl w:val="0"/>
              </w:rPr>
              <w:t xml:space="preserve">Safe Account independiente en EVM</w:t>
            </w:r>
            <w:r w:rsidDel="00000000" w:rsidR="00000000" w:rsidRPr="00000000">
              <w:rPr>
                <w:rtl w:val="0"/>
              </w:rPr>
            </w:r>
          </w:p>
        </w:tc>
        <w:tc>
          <w:tcPr>
            <w:vAlign w:val="center"/>
          </w:tcPr>
          <w:p w:rsidR="00000000" w:rsidDel="00000000" w:rsidP="00000000" w:rsidRDefault="00000000" w:rsidRPr="00000000" w14:paraId="0000008F">
            <w:pPr>
              <w:spacing w:after="60" w:before="60" w:lineRule="auto"/>
              <w:rPr/>
            </w:pPr>
            <w:r w:rsidDel="00000000" w:rsidR="00000000" w:rsidRPr="00000000">
              <w:rPr>
                <w:sz w:val="14"/>
                <w:szCs w:val="14"/>
                <w:rtl w:val="0"/>
              </w:rPr>
              <w:t xml:space="preserve">No incluye Workspace Pro [S06]</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90">
            <w:pPr>
              <w:spacing w:after="60" w:before="60" w:lineRule="auto"/>
              <w:rPr/>
            </w:pPr>
            <w:r w:rsidDel="00000000" w:rsidR="00000000" w:rsidRPr="00000000">
              <w:rPr>
                <w:sz w:val="14"/>
                <w:szCs w:val="14"/>
                <w:rtl w:val="0"/>
              </w:rPr>
              <w:t xml:space="preserve">Safe Pro · Starter</w:t>
            </w:r>
            <w:r w:rsidDel="00000000" w:rsidR="00000000" w:rsidRPr="00000000">
              <w:rPr>
                <w:rtl w:val="0"/>
              </w:rPr>
            </w:r>
          </w:p>
        </w:tc>
        <w:tc>
          <w:tcPr>
            <w:shd w:fill="f7fafb" w:val="clear"/>
            <w:vAlign w:val="center"/>
          </w:tcPr>
          <w:p w:rsidR="00000000" w:rsidDel="00000000" w:rsidP="00000000" w:rsidRDefault="00000000" w:rsidRPr="00000000" w14:paraId="00000091">
            <w:pPr>
              <w:spacing w:after="60" w:before="60" w:lineRule="auto"/>
              <w:rPr/>
            </w:pPr>
            <w:r w:rsidDel="00000000" w:rsidR="00000000" w:rsidRPr="00000000">
              <w:rPr>
                <w:sz w:val="14"/>
                <w:szCs w:val="14"/>
                <w:rtl w:val="0"/>
              </w:rPr>
              <w:t xml:space="preserve">€189/mes o €1.990/año</w:t>
            </w:r>
            <w:r w:rsidDel="00000000" w:rsidR="00000000" w:rsidRPr="00000000">
              <w:rPr>
                <w:rtl w:val="0"/>
              </w:rPr>
            </w:r>
          </w:p>
        </w:tc>
        <w:tc>
          <w:tcPr>
            <w:shd w:fill="f7fafb" w:val="clear"/>
            <w:vAlign w:val="center"/>
          </w:tcPr>
          <w:p w:rsidR="00000000" w:rsidDel="00000000" w:rsidP="00000000" w:rsidRDefault="00000000" w:rsidRPr="00000000" w14:paraId="00000092">
            <w:pPr>
              <w:spacing w:after="60" w:before="60" w:lineRule="auto"/>
              <w:rPr/>
            </w:pPr>
            <w:r w:rsidDel="00000000" w:rsidR="00000000" w:rsidRPr="00000000">
              <w:rPr>
                <w:sz w:val="14"/>
                <w:szCs w:val="14"/>
                <w:rtl w:val="0"/>
              </w:rPr>
              <w:t xml:space="preserve">2 Safe Accounts / Workspace</w:t>
            </w:r>
            <w:r w:rsidDel="00000000" w:rsidR="00000000" w:rsidRPr="00000000">
              <w:rPr>
                <w:rtl w:val="0"/>
              </w:rPr>
            </w:r>
          </w:p>
        </w:tc>
        <w:tc>
          <w:tcPr>
            <w:shd w:fill="f7fafb" w:val="clear"/>
            <w:vAlign w:val="center"/>
          </w:tcPr>
          <w:p w:rsidR="00000000" w:rsidDel="00000000" w:rsidP="00000000" w:rsidRDefault="00000000" w:rsidRPr="00000000" w14:paraId="00000093">
            <w:pPr>
              <w:spacing w:after="60" w:before="60" w:lineRule="auto"/>
              <w:rPr/>
            </w:pPr>
            <w:r w:rsidDel="00000000" w:rsidR="00000000" w:rsidRPr="00000000">
              <w:rPr>
                <w:sz w:val="14"/>
                <w:szCs w:val="14"/>
                <w:rtl w:val="0"/>
              </w:rPr>
              <w:t xml:space="preserve">Sin IVA; prueba 30 días [S03, S04]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spacing w:after="60" w:before="60" w:lineRule="auto"/>
              <w:rPr/>
            </w:pPr>
            <w:r w:rsidDel="00000000" w:rsidR="00000000" w:rsidRPr="00000000">
              <w:rPr>
                <w:sz w:val="14"/>
                <w:szCs w:val="14"/>
                <w:rtl w:val="0"/>
              </w:rPr>
              <w:t xml:space="preserve">Safe Pro · Business</w:t>
            </w:r>
            <w:r w:rsidDel="00000000" w:rsidR="00000000" w:rsidRPr="00000000">
              <w:rPr>
                <w:rtl w:val="0"/>
              </w:rPr>
            </w:r>
          </w:p>
        </w:tc>
        <w:tc>
          <w:tcPr>
            <w:vAlign w:val="center"/>
          </w:tcPr>
          <w:p w:rsidR="00000000" w:rsidDel="00000000" w:rsidP="00000000" w:rsidRDefault="00000000" w:rsidRPr="00000000" w14:paraId="00000095">
            <w:pPr>
              <w:spacing w:after="60" w:before="60" w:lineRule="auto"/>
              <w:rPr/>
            </w:pPr>
            <w:r w:rsidDel="00000000" w:rsidR="00000000" w:rsidRPr="00000000">
              <w:rPr>
                <w:sz w:val="14"/>
                <w:szCs w:val="14"/>
                <w:rtl w:val="0"/>
              </w:rPr>
              <w:t xml:space="preserve">Desde €669/mes o €7.190/año</w:t>
            </w:r>
            <w:r w:rsidDel="00000000" w:rsidR="00000000" w:rsidRPr="00000000">
              <w:rPr>
                <w:rtl w:val="0"/>
              </w:rPr>
            </w:r>
          </w:p>
        </w:tc>
        <w:tc>
          <w:tcPr>
            <w:vAlign w:val="center"/>
          </w:tcPr>
          <w:p w:rsidR="00000000" w:rsidDel="00000000" w:rsidP="00000000" w:rsidRDefault="00000000" w:rsidRPr="00000000" w14:paraId="00000096">
            <w:pPr>
              <w:spacing w:after="60" w:before="60" w:lineRule="auto"/>
              <w:rPr/>
            </w:pPr>
            <w:r w:rsidDel="00000000" w:rsidR="00000000" w:rsidRPr="00000000">
              <w:rPr>
                <w:sz w:val="14"/>
                <w:szCs w:val="14"/>
                <w:rtl w:val="0"/>
              </w:rPr>
              <w:t xml:space="preserve">5–20 Safe Accounts, policies</w:t>
            </w:r>
            <w:r w:rsidDel="00000000" w:rsidR="00000000" w:rsidRPr="00000000">
              <w:rPr>
                <w:rtl w:val="0"/>
              </w:rPr>
            </w:r>
          </w:p>
        </w:tc>
        <w:tc>
          <w:tcPr>
            <w:vAlign w:val="center"/>
          </w:tcPr>
          <w:p w:rsidR="00000000" w:rsidDel="00000000" w:rsidP="00000000" w:rsidRDefault="00000000" w:rsidRPr="00000000" w14:paraId="00000097">
            <w:pPr>
              <w:spacing w:after="60" w:before="60" w:lineRule="auto"/>
              <w:rPr/>
            </w:pPr>
            <w:r w:rsidDel="00000000" w:rsidR="00000000" w:rsidRPr="00000000">
              <w:rPr>
                <w:sz w:val="14"/>
                <w:szCs w:val="14"/>
                <w:rtl w:val="0"/>
              </w:rPr>
              <w:t xml:space="preserve">Sin IVA; variables por seats [S03, S04]</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98">
            <w:pPr>
              <w:spacing w:after="60" w:before="60" w:lineRule="auto"/>
              <w:rPr/>
            </w:pPr>
            <w:r w:rsidDel="00000000" w:rsidR="00000000" w:rsidRPr="00000000">
              <w:rPr>
                <w:sz w:val="14"/>
                <w:szCs w:val="14"/>
                <w:rtl w:val="0"/>
              </w:rPr>
              <w:t xml:space="preserve">Safe Pro · Enterprise</w:t>
            </w:r>
            <w:r w:rsidDel="00000000" w:rsidR="00000000" w:rsidRPr="00000000">
              <w:rPr>
                <w:rtl w:val="0"/>
              </w:rPr>
            </w:r>
          </w:p>
        </w:tc>
        <w:tc>
          <w:tcPr>
            <w:shd w:fill="f7fafb" w:val="clear"/>
            <w:vAlign w:val="center"/>
          </w:tcPr>
          <w:p w:rsidR="00000000" w:rsidDel="00000000" w:rsidP="00000000" w:rsidRDefault="00000000" w:rsidRPr="00000000" w14:paraId="00000099">
            <w:pPr>
              <w:spacing w:after="60" w:before="60" w:lineRule="auto"/>
              <w:rPr/>
            </w:pPr>
            <w:r w:rsidDel="00000000" w:rsidR="00000000" w:rsidRPr="00000000">
              <w:rPr>
                <w:sz w:val="14"/>
                <w:szCs w:val="14"/>
                <w:rtl w:val="0"/>
              </w:rPr>
              <w:t xml:space="preserve">A cotizar</w:t>
            </w:r>
            <w:r w:rsidDel="00000000" w:rsidR="00000000" w:rsidRPr="00000000">
              <w:rPr>
                <w:rtl w:val="0"/>
              </w:rPr>
            </w:r>
          </w:p>
        </w:tc>
        <w:tc>
          <w:tcPr>
            <w:shd w:fill="f7fafb" w:val="clear"/>
            <w:vAlign w:val="center"/>
          </w:tcPr>
          <w:p w:rsidR="00000000" w:rsidDel="00000000" w:rsidP="00000000" w:rsidRDefault="00000000" w:rsidRPr="00000000" w14:paraId="0000009A">
            <w:pPr>
              <w:spacing w:after="60" w:before="60" w:lineRule="auto"/>
              <w:rPr/>
            </w:pPr>
            <w:r w:rsidDel="00000000" w:rsidR="00000000" w:rsidRPr="00000000">
              <w:rPr>
                <w:sz w:val="14"/>
                <w:szCs w:val="14"/>
                <w:rtl w:val="0"/>
              </w:rPr>
              <w:t xml:space="preserve">Más de 20 Safe Accounts / capacidad custom</w:t>
            </w:r>
            <w:r w:rsidDel="00000000" w:rsidR="00000000" w:rsidRPr="00000000">
              <w:rPr>
                <w:rtl w:val="0"/>
              </w:rPr>
            </w:r>
          </w:p>
        </w:tc>
        <w:tc>
          <w:tcPr>
            <w:shd w:fill="f7fafb" w:val="clear"/>
            <w:vAlign w:val="center"/>
          </w:tcPr>
          <w:p w:rsidR="00000000" w:rsidDel="00000000" w:rsidP="00000000" w:rsidRDefault="00000000" w:rsidRPr="00000000" w14:paraId="0000009B">
            <w:pPr>
              <w:spacing w:after="60" w:before="60" w:lineRule="auto"/>
              <w:rPr/>
            </w:pPr>
            <w:r w:rsidDel="00000000" w:rsidR="00000000" w:rsidRPr="00000000">
              <w:rPr>
                <w:sz w:val="14"/>
                <w:szCs w:val="14"/>
                <w:rtl w:val="0"/>
              </w:rPr>
              <w:t xml:space="preserve">Contrato a medida [S03]</w:t>
            </w:r>
            <w:r w:rsidDel="00000000" w:rsidR="00000000" w:rsidRPr="00000000">
              <w:rPr>
                <w:rtl w:val="0"/>
              </w:rPr>
            </w:r>
          </w:p>
        </w:tc>
      </w:tr>
    </w:tbl>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c6b75"/>
          <w:sz w:val="16"/>
          <w:szCs w:val="16"/>
          <w:u w:val="none"/>
          <w:shd w:fill="auto" w:val="clear"/>
          <w:vertAlign w:val="baseline"/>
          <w:rtl w:val="0"/>
        </w:rPr>
        <w:t xml:space="preserve">Notas de comparación: no convertir EUR a USD sin fecha de tipo de cambio; no equiparar módulos ni costos totales. No se dispone de contratos negociados ni de una cotización privada de Fireblocks.</w:t>
      </w:r>
    </w:p>
    <w:p w:rsidR="00000000" w:rsidDel="00000000" w:rsidP="00000000" w:rsidRDefault="00000000" w:rsidRPr="00000000" w14:paraId="0000009E">
      <w:pPr>
        <w:pStyle w:val="Heading1"/>
        <w:rPr/>
      </w:pPr>
      <w:r w:rsidDel="00000000" w:rsidR="00000000" w:rsidRPr="00000000">
        <w:rPr>
          <w:rtl w:val="0"/>
        </w:rPr>
        <w:t xml:space="preserve">Matriz competitiva y espacio de posicionamiento</w:t>
      </w:r>
    </w:p>
    <w:tbl>
      <w:tblPr>
        <w:tblStyle w:val="Table8"/>
        <w:tblW w:w="9765.0" w:type="dxa"/>
        <w:jc w:val="center"/>
        <w:tblBorders>
          <w:top w:color="4f81bd" w:space="0" w:sz="8" w:val="single"/>
          <w:bottom w:color="4f81bd" w:space="0" w:sz="8" w:val="single"/>
        </w:tblBorders>
        <w:tblLayout w:type="fixed"/>
        <w:tblLook w:val="04A0"/>
      </w:tblPr>
      <w:tblGrid>
        <w:gridCol w:w="1953"/>
        <w:gridCol w:w="1953"/>
        <w:gridCol w:w="1953"/>
        <w:gridCol w:w="1953"/>
        <w:gridCol w:w="1953"/>
        <w:tblGridChange w:id="0">
          <w:tblGrid>
            <w:gridCol w:w="1953"/>
            <w:gridCol w:w="1953"/>
            <w:gridCol w:w="1953"/>
            <w:gridCol w:w="1953"/>
            <w:gridCol w:w="1953"/>
          </w:tblGrid>
        </w:tblGridChange>
      </w:tblGrid>
      <w:tr>
        <w:trPr>
          <w:cantSplit w:val="0"/>
          <w:tblHeader w:val="1"/>
        </w:trPr>
        <w:tc>
          <w:tcPr>
            <w:shd w:fill="e4eff2" w:val="clear"/>
          </w:tcPr>
          <w:p w:rsidR="00000000" w:rsidDel="00000000" w:rsidP="00000000" w:rsidRDefault="00000000" w:rsidRPr="00000000" w14:paraId="0000009F">
            <w:pPr>
              <w:rPr/>
            </w:pPr>
            <w:r w:rsidDel="00000000" w:rsidR="00000000" w:rsidRPr="00000000">
              <w:rPr>
                <w:b w:val="1"/>
                <w:bCs w:val="1"/>
                <w:color w:val="1d537f"/>
                <w:sz w:val="16"/>
                <w:szCs w:val="16"/>
                <w:rtl w:val="0"/>
              </w:rPr>
              <w:t xml:space="preserve">EJE</w:t>
            </w:r>
            <w:r w:rsidDel="00000000" w:rsidR="00000000" w:rsidRPr="00000000">
              <w:rPr>
                <w:rtl w:val="0"/>
              </w:rPr>
            </w:r>
          </w:p>
        </w:tc>
        <w:tc>
          <w:tcPr>
            <w:shd w:fill="e4eff2" w:val="clear"/>
          </w:tcPr>
          <w:p w:rsidR="00000000" w:rsidDel="00000000" w:rsidP="00000000" w:rsidRDefault="00000000" w:rsidRPr="00000000" w14:paraId="000000A0">
            <w:pPr>
              <w:rPr/>
            </w:pPr>
            <w:r w:rsidDel="00000000" w:rsidR="00000000" w:rsidRPr="00000000">
              <w:rPr>
                <w:b w:val="1"/>
                <w:bCs w:val="1"/>
                <w:color w:val="1d537f"/>
                <w:sz w:val="16"/>
                <w:szCs w:val="16"/>
                <w:rtl w:val="0"/>
              </w:rPr>
              <w:t xml:space="preserve">PUCARÁ · MVP</w:t>
            </w:r>
            <w:r w:rsidDel="00000000" w:rsidR="00000000" w:rsidRPr="00000000">
              <w:rPr>
                <w:rtl w:val="0"/>
              </w:rPr>
            </w:r>
          </w:p>
        </w:tc>
        <w:tc>
          <w:tcPr>
            <w:shd w:fill="e4eff2" w:val="clear"/>
          </w:tcPr>
          <w:p w:rsidR="00000000" w:rsidDel="00000000" w:rsidP="00000000" w:rsidRDefault="00000000" w:rsidRPr="00000000" w14:paraId="000000A1">
            <w:pPr>
              <w:rPr/>
            </w:pPr>
            <w:r w:rsidDel="00000000" w:rsidR="00000000" w:rsidRPr="00000000">
              <w:rPr>
                <w:b w:val="1"/>
                <w:bCs w:val="1"/>
                <w:color w:val="1d537f"/>
                <w:sz w:val="16"/>
                <w:szCs w:val="16"/>
                <w:rtl w:val="0"/>
              </w:rPr>
              <w:t xml:space="preserve">SAFE PRO</w:t>
            </w:r>
            <w:r w:rsidDel="00000000" w:rsidR="00000000" w:rsidRPr="00000000">
              <w:rPr>
                <w:rtl w:val="0"/>
              </w:rPr>
            </w:r>
          </w:p>
        </w:tc>
        <w:tc>
          <w:tcPr>
            <w:shd w:fill="e4eff2" w:val="clear"/>
          </w:tcPr>
          <w:p w:rsidR="00000000" w:rsidDel="00000000" w:rsidP="00000000" w:rsidRDefault="00000000" w:rsidRPr="00000000" w14:paraId="000000A2">
            <w:pPr>
              <w:rPr/>
            </w:pPr>
            <w:r w:rsidDel="00000000" w:rsidR="00000000" w:rsidRPr="00000000">
              <w:rPr>
                <w:b w:val="1"/>
                <w:bCs w:val="1"/>
                <w:color w:val="1d537f"/>
                <w:sz w:val="16"/>
                <w:szCs w:val="16"/>
                <w:rtl w:val="0"/>
              </w:rPr>
              <w:t xml:space="preserve">FIREBLOCKS</w:t>
            </w:r>
            <w:r w:rsidDel="00000000" w:rsidR="00000000" w:rsidRPr="00000000">
              <w:rPr>
                <w:rtl w:val="0"/>
              </w:rPr>
            </w:r>
          </w:p>
        </w:tc>
        <w:tc>
          <w:tcPr>
            <w:shd w:fill="e4eff2" w:val="clear"/>
          </w:tcPr>
          <w:p w:rsidR="00000000" w:rsidDel="00000000" w:rsidP="00000000" w:rsidRDefault="00000000" w:rsidRPr="00000000" w14:paraId="000000A3">
            <w:pPr>
              <w:rPr/>
            </w:pPr>
            <w:r w:rsidDel="00000000" w:rsidR="00000000" w:rsidRPr="00000000">
              <w:rPr>
                <w:b w:val="1"/>
                <w:bCs w:val="1"/>
                <w:color w:val="1d537f"/>
                <w:sz w:val="16"/>
                <w:szCs w:val="16"/>
                <w:rtl w:val="0"/>
              </w:rPr>
              <w:t xml:space="preserve">STELLAR CLÁSICO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60" w:before="60" w:lineRule="auto"/>
              <w:rPr/>
            </w:pPr>
            <w:r w:rsidDel="00000000" w:rsidR="00000000" w:rsidRPr="00000000">
              <w:rPr>
                <w:sz w:val="13"/>
                <w:szCs w:val="13"/>
                <w:rtl w:val="0"/>
              </w:rPr>
              <w:t xml:space="preserve">Red / arquitectura</w:t>
            </w:r>
            <w:r w:rsidDel="00000000" w:rsidR="00000000" w:rsidRPr="00000000">
              <w:rPr>
                <w:rtl w:val="0"/>
              </w:rPr>
            </w:r>
          </w:p>
        </w:tc>
        <w:tc>
          <w:tcPr>
            <w:vAlign w:val="center"/>
          </w:tcPr>
          <w:p w:rsidR="00000000" w:rsidDel="00000000" w:rsidP="00000000" w:rsidRDefault="00000000" w:rsidRPr="00000000" w14:paraId="000000A5">
            <w:pPr>
              <w:spacing w:after="60" w:before="60" w:lineRule="auto"/>
              <w:rPr/>
            </w:pPr>
            <w:r w:rsidDel="00000000" w:rsidR="00000000" w:rsidRPr="00000000">
              <w:rPr>
                <w:sz w:val="13"/>
                <w:szCs w:val="13"/>
                <w:rtl w:val="0"/>
              </w:rPr>
              <w:t xml:space="preserve">Stellar Soroban, cuenta de contrato</w:t>
            </w:r>
            <w:r w:rsidDel="00000000" w:rsidR="00000000" w:rsidRPr="00000000">
              <w:rPr>
                <w:rtl w:val="0"/>
              </w:rPr>
            </w:r>
          </w:p>
        </w:tc>
        <w:tc>
          <w:tcPr>
            <w:vAlign w:val="center"/>
          </w:tcPr>
          <w:p w:rsidR="00000000" w:rsidDel="00000000" w:rsidP="00000000" w:rsidRDefault="00000000" w:rsidRPr="00000000" w14:paraId="000000A6">
            <w:pPr>
              <w:spacing w:after="60" w:before="60" w:lineRule="auto"/>
              <w:rPr/>
            </w:pPr>
            <w:r w:rsidDel="00000000" w:rsidR="00000000" w:rsidRPr="00000000">
              <w:rPr>
                <w:sz w:val="13"/>
                <w:szCs w:val="13"/>
                <w:rtl w:val="0"/>
              </w:rPr>
              <w:t xml:space="preserve">EVM, smart accounts</w:t>
            </w:r>
            <w:r w:rsidDel="00000000" w:rsidR="00000000" w:rsidRPr="00000000">
              <w:rPr>
                <w:rtl w:val="0"/>
              </w:rPr>
            </w:r>
          </w:p>
        </w:tc>
        <w:tc>
          <w:tcPr>
            <w:vAlign w:val="center"/>
          </w:tcPr>
          <w:p w:rsidR="00000000" w:rsidDel="00000000" w:rsidP="00000000" w:rsidRDefault="00000000" w:rsidRPr="00000000" w14:paraId="000000A7">
            <w:pPr>
              <w:spacing w:after="60" w:before="60" w:lineRule="auto"/>
              <w:rPr/>
            </w:pPr>
            <w:r w:rsidDel="00000000" w:rsidR="00000000" w:rsidRPr="00000000">
              <w:rPr>
                <w:sz w:val="13"/>
                <w:szCs w:val="13"/>
                <w:rtl w:val="0"/>
              </w:rPr>
              <w:t xml:space="preserve">Multichain, MPC / policy</w:t>
            </w:r>
            <w:r w:rsidDel="00000000" w:rsidR="00000000" w:rsidRPr="00000000">
              <w:rPr>
                <w:rtl w:val="0"/>
              </w:rPr>
            </w:r>
          </w:p>
        </w:tc>
        <w:tc>
          <w:tcPr>
            <w:vAlign w:val="center"/>
          </w:tcPr>
          <w:p w:rsidR="00000000" w:rsidDel="00000000" w:rsidP="00000000" w:rsidRDefault="00000000" w:rsidRPr="00000000" w14:paraId="000000A8">
            <w:pPr>
              <w:spacing w:after="60" w:before="60" w:lineRule="auto"/>
              <w:rPr/>
            </w:pPr>
            <w:r w:rsidDel="00000000" w:rsidR="00000000" w:rsidRPr="00000000">
              <w:rPr>
                <w:sz w:val="13"/>
                <w:szCs w:val="13"/>
                <w:rtl w:val="0"/>
              </w:rPr>
              <w:t xml:space="preserve">Stellar, firmantes nativos</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A9">
            <w:pPr>
              <w:spacing w:after="60" w:before="60" w:lineRule="auto"/>
              <w:rPr/>
            </w:pPr>
            <w:r w:rsidDel="00000000" w:rsidR="00000000" w:rsidRPr="00000000">
              <w:rPr>
                <w:sz w:val="13"/>
                <w:szCs w:val="13"/>
                <w:rtl w:val="0"/>
              </w:rPr>
              <w:t xml:space="preserve">Autorización compartida</w:t>
            </w:r>
            <w:r w:rsidDel="00000000" w:rsidR="00000000" w:rsidRPr="00000000">
              <w:rPr>
                <w:rtl w:val="0"/>
              </w:rPr>
            </w:r>
          </w:p>
        </w:tc>
        <w:tc>
          <w:tcPr>
            <w:shd w:fill="f7fafb" w:val="clear"/>
            <w:vAlign w:val="center"/>
          </w:tcPr>
          <w:p w:rsidR="00000000" w:rsidDel="00000000" w:rsidP="00000000" w:rsidRDefault="00000000" w:rsidRPr="00000000" w14:paraId="000000AA">
            <w:pPr>
              <w:spacing w:after="60" w:before="60" w:lineRule="auto"/>
              <w:rPr/>
            </w:pPr>
            <w:r w:rsidDel="00000000" w:rsidR="00000000" w:rsidRPr="00000000">
              <w:rPr>
                <w:sz w:val="13"/>
                <w:szCs w:val="13"/>
                <w:rtl w:val="0"/>
              </w:rPr>
              <w:t xml:space="preserve">2-de-3 entre roles</w:t>
            </w:r>
            <w:r w:rsidDel="00000000" w:rsidR="00000000" w:rsidRPr="00000000">
              <w:rPr>
                <w:rtl w:val="0"/>
              </w:rPr>
            </w:r>
          </w:p>
        </w:tc>
        <w:tc>
          <w:tcPr>
            <w:shd w:fill="f7fafb" w:val="clear"/>
            <w:vAlign w:val="center"/>
          </w:tcPr>
          <w:p w:rsidR="00000000" w:rsidDel="00000000" w:rsidP="00000000" w:rsidRDefault="00000000" w:rsidRPr="00000000" w14:paraId="000000AB">
            <w:pPr>
              <w:spacing w:after="60" w:before="60" w:lineRule="auto"/>
              <w:rPr/>
            </w:pPr>
            <w:r w:rsidDel="00000000" w:rsidR="00000000" w:rsidRPr="00000000">
              <w:rPr>
                <w:sz w:val="13"/>
                <w:szCs w:val="13"/>
                <w:rtl w:val="0"/>
              </w:rPr>
              <w:t xml:space="preserve">Multisig configurable</w:t>
            </w:r>
            <w:r w:rsidDel="00000000" w:rsidR="00000000" w:rsidRPr="00000000">
              <w:rPr>
                <w:rtl w:val="0"/>
              </w:rPr>
            </w:r>
          </w:p>
        </w:tc>
        <w:tc>
          <w:tcPr>
            <w:shd w:fill="f7fafb" w:val="clear"/>
            <w:vAlign w:val="center"/>
          </w:tcPr>
          <w:p w:rsidR="00000000" w:rsidDel="00000000" w:rsidP="00000000" w:rsidRDefault="00000000" w:rsidRPr="00000000" w14:paraId="000000AC">
            <w:pPr>
              <w:spacing w:after="60" w:before="60" w:lineRule="auto"/>
              <w:rPr/>
            </w:pPr>
            <w:r w:rsidDel="00000000" w:rsidR="00000000" w:rsidRPr="00000000">
              <w:rPr>
                <w:sz w:val="13"/>
                <w:szCs w:val="13"/>
                <w:rtl w:val="0"/>
              </w:rPr>
              <w:t xml:space="preserve">Políticas + aprobaciones</w:t>
            </w:r>
            <w:r w:rsidDel="00000000" w:rsidR="00000000" w:rsidRPr="00000000">
              <w:rPr>
                <w:rtl w:val="0"/>
              </w:rPr>
            </w:r>
          </w:p>
        </w:tc>
        <w:tc>
          <w:tcPr>
            <w:shd w:fill="f7fafb" w:val="clear"/>
            <w:vAlign w:val="center"/>
          </w:tcPr>
          <w:p w:rsidR="00000000" w:rsidDel="00000000" w:rsidP="00000000" w:rsidRDefault="00000000" w:rsidRPr="00000000" w14:paraId="000000AD">
            <w:pPr>
              <w:spacing w:after="60" w:before="60" w:lineRule="auto"/>
              <w:rPr/>
            </w:pPr>
            <w:r w:rsidDel="00000000" w:rsidR="00000000" w:rsidRPr="00000000">
              <w:rPr>
                <w:sz w:val="13"/>
                <w:szCs w:val="13"/>
                <w:rtl w:val="0"/>
              </w:rPr>
              <w:t xml:space="preserve">Umbrales m-de-n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spacing w:after="60" w:before="60" w:lineRule="auto"/>
              <w:rPr/>
            </w:pPr>
            <w:r w:rsidDel="00000000" w:rsidR="00000000" w:rsidRPr="00000000">
              <w:rPr>
                <w:sz w:val="13"/>
                <w:szCs w:val="13"/>
                <w:rtl w:val="0"/>
              </w:rPr>
              <w:t xml:space="preserve">Passkeys</w:t>
            </w:r>
            <w:r w:rsidDel="00000000" w:rsidR="00000000" w:rsidRPr="00000000">
              <w:rPr>
                <w:rtl w:val="0"/>
              </w:rPr>
            </w:r>
          </w:p>
        </w:tc>
        <w:tc>
          <w:tcPr>
            <w:vAlign w:val="center"/>
          </w:tcPr>
          <w:p w:rsidR="00000000" w:rsidDel="00000000" w:rsidP="00000000" w:rsidRDefault="00000000" w:rsidRPr="00000000" w14:paraId="000000AF">
            <w:pPr>
              <w:spacing w:after="60" w:before="60" w:lineRule="auto"/>
              <w:rPr/>
            </w:pPr>
            <w:r w:rsidDel="00000000" w:rsidR="00000000" w:rsidRPr="00000000">
              <w:rPr>
                <w:sz w:val="13"/>
                <w:szCs w:val="13"/>
                <w:rtl w:val="0"/>
              </w:rPr>
              <w:t xml:space="preserve">Sí, WebAuthn en el MVP</w:t>
            </w:r>
            <w:r w:rsidDel="00000000" w:rsidR="00000000" w:rsidRPr="00000000">
              <w:rPr>
                <w:rtl w:val="0"/>
              </w:rPr>
            </w:r>
          </w:p>
        </w:tc>
        <w:tc>
          <w:tcPr>
            <w:vAlign w:val="center"/>
          </w:tcPr>
          <w:p w:rsidR="00000000" w:rsidDel="00000000" w:rsidP="00000000" w:rsidRDefault="00000000" w:rsidRPr="00000000" w14:paraId="000000B0">
            <w:pPr>
              <w:spacing w:after="60" w:before="60" w:lineRule="auto"/>
              <w:rPr/>
            </w:pPr>
            <w:r w:rsidDel="00000000" w:rsidR="00000000" w:rsidRPr="00000000">
              <w:rPr>
                <w:sz w:val="13"/>
                <w:szCs w:val="13"/>
                <w:rtl w:val="0"/>
              </w:rPr>
              <w:t xml:space="preserve">Sí, soporte técnico</w:t>
            </w:r>
            <w:r w:rsidDel="00000000" w:rsidR="00000000" w:rsidRPr="00000000">
              <w:rPr>
                <w:rtl w:val="0"/>
              </w:rPr>
            </w:r>
          </w:p>
        </w:tc>
        <w:tc>
          <w:tcPr>
            <w:vAlign w:val="center"/>
          </w:tcPr>
          <w:p w:rsidR="00000000" w:rsidDel="00000000" w:rsidP="00000000" w:rsidRDefault="00000000" w:rsidRPr="00000000" w14:paraId="000000B1">
            <w:pPr>
              <w:spacing w:after="60" w:before="60" w:lineRule="auto"/>
              <w:rPr/>
            </w:pPr>
            <w:r w:rsidDel="00000000" w:rsidR="00000000" w:rsidRPr="00000000">
              <w:rPr>
                <w:sz w:val="13"/>
                <w:szCs w:val="13"/>
                <w:rtl w:val="0"/>
              </w:rPr>
              <w:t xml:space="preserve">Depende del producto/flujo</w:t>
            </w:r>
            <w:r w:rsidDel="00000000" w:rsidR="00000000" w:rsidRPr="00000000">
              <w:rPr>
                <w:rtl w:val="0"/>
              </w:rPr>
            </w:r>
          </w:p>
        </w:tc>
        <w:tc>
          <w:tcPr>
            <w:vAlign w:val="center"/>
          </w:tcPr>
          <w:p w:rsidR="00000000" w:rsidDel="00000000" w:rsidP="00000000" w:rsidRDefault="00000000" w:rsidRPr="00000000" w14:paraId="000000B2">
            <w:pPr>
              <w:spacing w:after="60" w:before="60" w:lineRule="auto"/>
              <w:rPr/>
            </w:pPr>
            <w:r w:rsidDel="00000000" w:rsidR="00000000" w:rsidRPr="00000000">
              <w:rPr>
                <w:sz w:val="13"/>
                <w:szCs w:val="13"/>
                <w:rtl w:val="0"/>
              </w:rPr>
              <w:t xml:space="preserve">No es el mecanismo estándar de firma</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B3">
            <w:pPr>
              <w:spacing w:after="60" w:before="60" w:lineRule="auto"/>
              <w:rPr/>
            </w:pPr>
            <w:r w:rsidDel="00000000" w:rsidR="00000000" w:rsidRPr="00000000">
              <w:rPr>
                <w:sz w:val="13"/>
                <w:szCs w:val="13"/>
                <w:rtl w:val="0"/>
              </w:rPr>
              <w:t xml:space="preserve">Sin seed phrase para firmantes</w:t>
            </w:r>
            <w:r w:rsidDel="00000000" w:rsidR="00000000" w:rsidRPr="00000000">
              <w:rPr>
                <w:rtl w:val="0"/>
              </w:rPr>
            </w:r>
          </w:p>
        </w:tc>
        <w:tc>
          <w:tcPr>
            <w:shd w:fill="f7fafb" w:val="clear"/>
            <w:vAlign w:val="center"/>
          </w:tcPr>
          <w:p w:rsidR="00000000" w:rsidDel="00000000" w:rsidP="00000000" w:rsidRDefault="00000000" w:rsidRPr="00000000" w14:paraId="000000B4">
            <w:pPr>
              <w:spacing w:after="60" w:before="60" w:lineRule="auto"/>
              <w:rPr/>
            </w:pPr>
            <w:r w:rsidDel="00000000" w:rsidR="00000000" w:rsidRPr="00000000">
              <w:rPr>
                <w:sz w:val="13"/>
                <w:szCs w:val="13"/>
                <w:rtl w:val="0"/>
              </w:rPr>
              <w:t xml:space="preserve">Sí, en flujo Pucará</w:t>
            </w:r>
            <w:r w:rsidDel="00000000" w:rsidR="00000000" w:rsidRPr="00000000">
              <w:rPr>
                <w:rtl w:val="0"/>
              </w:rPr>
            </w:r>
          </w:p>
        </w:tc>
        <w:tc>
          <w:tcPr>
            <w:shd w:fill="f7fafb" w:val="clear"/>
            <w:vAlign w:val="center"/>
          </w:tcPr>
          <w:p w:rsidR="00000000" w:rsidDel="00000000" w:rsidP="00000000" w:rsidRDefault="00000000" w:rsidRPr="00000000" w14:paraId="000000B5">
            <w:pPr>
              <w:spacing w:after="60" w:before="60" w:lineRule="auto"/>
              <w:rPr/>
            </w:pPr>
            <w:r w:rsidDel="00000000" w:rsidR="00000000" w:rsidRPr="00000000">
              <w:rPr>
                <w:sz w:val="13"/>
                <w:szCs w:val="13"/>
                <w:rtl w:val="0"/>
              </w:rPr>
              <w:t xml:space="preserve">Posible con integración passkey</w:t>
            </w:r>
            <w:r w:rsidDel="00000000" w:rsidR="00000000" w:rsidRPr="00000000">
              <w:rPr>
                <w:rtl w:val="0"/>
              </w:rPr>
            </w:r>
          </w:p>
        </w:tc>
        <w:tc>
          <w:tcPr>
            <w:shd w:fill="f7fafb" w:val="clear"/>
            <w:vAlign w:val="center"/>
          </w:tcPr>
          <w:p w:rsidR="00000000" w:rsidDel="00000000" w:rsidP="00000000" w:rsidRDefault="00000000" w:rsidRPr="00000000" w14:paraId="000000B6">
            <w:pPr>
              <w:spacing w:after="60" w:before="60" w:lineRule="auto"/>
              <w:rPr/>
            </w:pPr>
            <w:r w:rsidDel="00000000" w:rsidR="00000000" w:rsidRPr="00000000">
              <w:rPr>
                <w:sz w:val="13"/>
                <w:szCs w:val="13"/>
                <w:rtl w:val="0"/>
              </w:rPr>
              <w:t xml:space="preserve">Depende del flujo y configuración</w:t>
            </w:r>
            <w:r w:rsidDel="00000000" w:rsidR="00000000" w:rsidRPr="00000000">
              <w:rPr>
                <w:rtl w:val="0"/>
              </w:rPr>
            </w:r>
          </w:p>
        </w:tc>
        <w:tc>
          <w:tcPr>
            <w:shd w:fill="f7fafb" w:val="clear"/>
            <w:vAlign w:val="center"/>
          </w:tcPr>
          <w:p w:rsidR="00000000" w:rsidDel="00000000" w:rsidP="00000000" w:rsidRDefault="00000000" w:rsidRPr="00000000" w14:paraId="000000B7">
            <w:pPr>
              <w:spacing w:after="60" w:before="60" w:lineRule="auto"/>
              <w:rPr/>
            </w:pPr>
            <w:r w:rsidDel="00000000" w:rsidR="00000000" w:rsidRPr="00000000">
              <w:rPr>
                <w:sz w:val="13"/>
                <w:szCs w:val="13"/>
                <w:rtl w:val="0"/>
              </w:rPr>
              <w:t xml:space="preserve">Normalmente gestión de claves ed25519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spacing w:after="60" w:before="60" w:lineRule="auto"/>
              <w:rPr/>
            </w:pPr>
            <w:r w:rsidDel="00000000" w:rsidR="00000000" w:rsidRPr="00000000">
              <w:rPr>
                <w:sz w:val="13"/>
                <w:szCs w:val="13"/>
                <w:rtl w:val="0"/>
              </w:rPr>
              <w:t xml:space="preserve">Gobernanza multi-cuenta</w:t>
            </w:r>
            <w:r w:rsidDel="00000000" w:rsidR="00000000" w:rsidRPr="00000000">
              <w:rPr>
                <w:rtl w:val="0"/>
              </w:rPr>
            </w:r>
          </w:p>
        </w:tc>
        <w:tc>
          <w:tcPr>
            <w:vAlign w:val="center"/>
          </w:tcPr>
          <w:p w:rsidR="00000000" w:rsidDel="00000000" w:rsidP="00000000" w:rsidRDefault="00000000" w:rsidRPr="00000000" w14:paraId="000000B9">
            <w:pPr>
              <w:spacing w:after="60" w:before="60" w:lineRule="auto"/>
              <w:rPr/>
            </w:pPr>
            <w:r w:rsidDel="00000000" w:rsidR="00000000" w:rsidRPr="00000000">
              <w:rPr>
                <w:sz w:val="13"/>
                <w:szCs w:val="13"/>
                <w:rtl w:val="0"/>
              </w:rPr>
              <w:t xml:space="preserve">No evidenciada como suite en MVP</w:t>
            </w:r>
            <w:r w:rsidDel="00000000" w:rsidR="00000000" w:rsidRPr="00000000">
              <w:rPr>
                <w:rtl w:val="0"/>
              </w:rPr>
            </w:r>
          </w:p>
        </w:tc>
        <w:tc>
          <w:tcPr>
            <w:vAlign w:val="center"/>
          </w:tcPr>
          <w:p w:rsidR="00000000" w:rsidDel="00000000" w:rsidP="00000000" w:rsidRDefault="00000000" w:rsidRPr="00000000" w14:paraId="000000BA">
            <w:pPr>
              <w:spacing w:after="60" w:before="60" w:lineRule="auto"/>
              <w:rPr/>
            </w:pPr>
            <w:r w:rsidDel="00000000" w:rsidR="00000000" w:rsidRPr="00000000">
              <w:rPr>
                <w:sz w:val="13"/>
                <w:szCs w:val="13"/>
                <w:rtl w:val="0"/>
              </w:rPr>
              <w:t xml:space="preserve">Workspace Pro</w:t>
            </w:r>
            <w:r w:rsidDel="00000000" w:rsidR="00000000" w:rsidRPr="00000000">
              <w:rPr>
                <w:rtl w:val="0"/>
              </w:rPr>
            </w:r>
          </w:p>
        </w:tc>
        <w:tc>
          <w:tcPr>
            <w:vAlign w:val="center"/>
          </w:tcPr>
          <w:p w:rsidR="00000000" w:rsidDel="00000000" w:rsidP="00000000" w:rsidRDefault="00000000" w:rsidRPr="00000000" w14:paraId="000000BB">
            <w:pPr>
              <w:spacing w:after="60" w:before="60" w:lineRule="auto"/>
              <w:rPr/>
            </w:pPr>
            <w:r w:rsidDel="00000000" w:rsidR="00000000" w:rsidRPr="00000000">
              <w:rPr>
                <w:sz w:val="13"/>
                <w:szCs w:val="13"/>
                <w:rtl w:val="0"/>
              </w:rPr>
              <w:t xml:space="preserve">Funciones amplias enterprise</w:t>
            </w:r>
            <w:r w:rsidDel="00000000" w:rsidR="00000000" w:rsidRPr="00000000">
              <w:rPr>
                <w:rtl w:val="0"/>
              </w:rPr>
            </w:r>
          </w:p>
        </w:tc>
        <w:tc>
          <w:tcPr>
            <w:vAlign w:val="center"/>
          </w:tcPr>
          <w:p w:rsidR="00000000" w:rsidDel="00000000" w:rsidP="00000000" w:rsidRDefault="00000000" w:rsidRPr="00000000" w14:paraId="000000BC">
            <w:pPr>
              <w:spacing w:after="60" w:before="60" w:lineRule="auto"/>
              <w:rPr/>
            </w:pPr>
            <w:r w:rsidDel="00000000" w:rsidR="00000000" w:rsidRPr="00000000">
              <w:rPr>
                <w:sz w:val="13"/>
                <w:szCs w:val="13"/>
                <w:rtl w:val="0"/>
              </w:rPr>
              <w:t xml:space="preserve">Manual / custom</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BD">
            <w:pPr>
              <w:spacing w:after="60" w:before="60" w:lineRule="auto"/>
              <w:rPr/>
            </w:pPr>
            <w:r w:rsidDel="00000000" w:rsidR="00000000" w:rsidRPr="00000000">
              <w:rPr>
                <w:sz w:val="13"/>
                <w:szCs w:val="13"/>
                <w:rtl w:val="0"/>
              </w:rPr>
              <w:t xml:space="preserve">Audit / compliance / SLA</w:t>
            </w:r>
            <w:r w:rsidDel="00000000" w:rsidR="00000000" w:rsidRPr="00000000">
              <w:rPr>
                <w:rtl w:val="0"/>
              </w:rPr>
            </w:r>
          </w:p>
        </w:tc>
        <w:tc>
          <w:tcPr>
            <w:shd w:fill="f7fafb" w:val="clear"/>
            <w:vAlign w:val="center"/>
          </w:tcPr>
          <w:p w:rsidR="00000000" w:rsidDel="00000000" w:rsidP="00000000" w:rsidRDefault="00000000" w:rsidRPr="00000000" w14:paraId="000000BE">
            <w:pPr>
              <w:spacing w:after="60" w:before="60" w:lineRule="auto"/>
              <w:rPr/>
            </w:pPr>
            <w:r w:rsidDel="00000000" w:rsidR="00000000" w:rsidRPr="00000000">
              <w:rPr>
                <w:sz w:val="13"/>
                <w:szCs w:val="13"/>
                <w:rtl w:val="0"/>
              </w:rPr>
              <w:t xml:space="preserve">No verificados</w:t>
            </w:r>
            <w:r w:rsidDel="00000000" w:rsidR="00000000" w:rsidRPr="00000000">
              <w:rPr>
                <w:rtl w:val="0"/>
              </w:rPr>
            </w:r>
          </w:p>
        </w:tc>
        <w:tc>
          <w:tcPr>
            <w:shd w:fill="f7fafb" w:val="clear"/>
            <w:vAlign w:val="center"/>
          </w:tcPr>
          <w:p w:rsidR="00000000" w:rsidDel="00000000" w:rsidP="00000000" w:rsidRDefault="00000000" w:rsidRPr="00000000" w14:paraId="000000BF">
            <w:pPr>
              <w:spacing w:after="60" w:before="60" w:lineRule="auto"/>
              <w:rPr/>
            </w:pPr>
            <w:r w:rsidDel="00000000" w:rsidR="00000000" w:rsidRPr="00000000">
              <w:rPr>
                <w:sz w:val="13"/>
                <w:szCs w:val="13"/>
                <w:rtl w:val="0"/>
              </w:rPr>
              <w:t xml:space="preserve">Plan-dependent</w:t>
            </w:r>
            <w:r w:rsidDel="00000000" w:rsidR="00000000" w:rsidRPr="00000000">
              <w:rPr>
                <w:rtl w:val="0"/>
              </w:rPr>
            </w:r>
          </w:p>
        </w:tc>
        <w:tc>
          <w:tcPr>
            <w:shd w:fill="f7fafb" w:val="clear"/>
            <w:vAlign w:val="center"/>
          </w:tcPr>
          <w:p w:rsidR="00000000" w:rsidDel="00000000" w:rsidP="00000000" w:rsidRDefault="00000000" w:rsidRPr="00000000" w14:paraId="000000C0">
            <w:pPr>
              <w:spacing w:after="60" w:before="60" w:lineRule="auto"/>
              <w:rPr/>
            </w:pPr>
            <w:r w:rsidDel="00000000" w:rsidR="00000000" w:rsidRPr="00000000">
              <w:rPr>
                <w:sz w:val="13"/>
                <w:szCs w:val="13"/>
                <w:rtl w:val="0"/>
              </w:rPr>
              <w:t xml:space="preserve">Suite enterprise</w:t>
            </w:r>
            <w:r w:rsidDel="00000000" w:rsidR="00000000" w:rsidRPr="00000000">
              <w:rPr>
                <w:rtl w:val="0"/>
              </w:rPr>
            </w:r>
          </w:p>
        </w:tc>
        <w:tc>
          <w:tcPr>
            <w:shd w:fill="f7fafb" w:val="clear"/>
            <w:vAlign w:val="center"/>
          </w:tcPr>
          <w:p w:rsidR="00000000" w:rsidDel="00000000" w:rsidP="00000000" w:rsidRDefault="00000000" w:rsidRPr="00000000" w14:paraId="000000C1">
            <w:pPr>
              <w:spacing w:after="60" w:before="60" w:lineRule="auto"/>
              <w:rPr/>
            </w:pPr>
            <w:r w:rsidDel="00000000" w:rsidR="00000000" w:rsidRPr="00000000">
              <w:rPr>
                <w:sz w:val="13"/>
                <w:szCs w:val="13"/>
                <w:rtl w:val="0"/>
              </w:rPr>
              <w:t xml:space="preserve">Construcción propia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spacing w:after="60" w:before="60" w:lineRule="auto"/>
              <w:rPr/>
            </w:pPr>
            <w:r w:rsidDel="00000000" w:rsidR="00000000" w:rsidRPr="00000000">
              <w:rPr>
                <w:sz w:val="13"/>
                <w:szCs w:val="13"/>
                <w:rtl w:val="0"/>
              </w:rPr>
              <w:t xml:space="preserve">Precio público</w:t>
            </w:r>
            <w:r w:rsidDel="00000000" w:rsidR="00000000" w:rsidRPr="00000000">
              <w:rPr>
                <w:rtl w:val="0"/>
              </w:rPr>
            </w:r>
          </w:p>
        </w:tc>
        <w:tc>
          <w:tcPr>
            <w:vAlign w:val="center"/>
          </w:tcPr>
          <w:p w:rsidR="00000000" w:rsidDel="00000000" w:rsidP="00000000" w:rsidRDefault="00000000" w:rsidRPr="00000000" w14:paraId="000000C3">
            <w:pPr>
              <w:spacing w:after="60" w:before="60" w:lineRule="auto"/>
              <w:rPr/>
            </w:pPr>
            <w:r w:rsidDel="00000000" w:rsidR="00000000" w:rsidRPr="00000000">
              <w:rPr>
                <w:sz w:val="13"/>
                <w:szCs w:val="13"/>
                <w:rtl w:val="0"/>
              </w:rPr>
              <w:t xml:space="preserve">Aún sin precio de mercado validado</w:t>
            </w:r>
            <w:r w:rsidDel="00000000" w:rsidR="00000000" w:rsidRPr="00000000">
              <w:rPr>
                <w:rtl w:val="0"/>
              </w:rPr>
            </w:r>
          </w:p>
        </w:tc>
        <w:tc>
          <w:tcPr>
            <w:vAlign w:val="center"/>
          </w:tcPr>
          <w:p w:rsidR="00000000" w:rsidDel="00000000" w:rsidP="00000000" w:rsidRDefault="00000000" w:rsidRPr="00000000" w14:paraId="000000C4">
            <w:pPr>
              <w:spacing w:after="60" w:before="60" w:lineRule="auto"/>
              <w:rPr/>
            </w:pPr>
            <w:r w:rsidDel="00000000" w:rsidR="00000000" w:rsidRPr="00000000">
              <w:rPr>
                <w:sz w:val="13"/>
                <w:szCs w:val="13"/>
                <w:rtl w:val="0"/>
              </w:rPr>
              <w:t xml:space="preserve">Desde €189/mes Pro</w:t>
            </w:r>
            <w:r w:rsidDel="00000000" w:rsidR="00000000" w:rsidRPr="00000000">
              <w:rPr>
                <w:rtl w:val="0"/>
              </w:rPr>
            </w:r>
          </w:p>
        </w:tc>
        <w:tc>
          <w:tcPr>
            <w:vAlign w:val="center"/>
          </w:tcPr>
          <w:p w:rsidR="00000000" w:rsidDel="00000000" w:rsidP="00000000" w:rsidRDefault="00000000" w:rsidRPr="00000000" w14:paraId="000000C5">
            <w:pPr>
              <w:spacing w:after="60" w:before="60" w:lineRule="auto"/>
              <w:rPr/>
            </w:pPr>
            <w:r w:rsidDel="00000000" w:rsidR="00000000" w:rsidRPr="00000000">
              <w:rPr>
                <w:sz w:val="13"/>
                <w:szCs w:val="13"/>
                <w:rtl w:val="0"/>
              </w:rPr>
              <w:t xml:space="preserve">Desde USD 999/mes promo</w:t>
            </w:r>
            <w:r w:rsidDel="00000000" w:rsidR="00000000" w:rsidRPr="00000000">
              <w:rPr>
                <w:rtl w:val="0"/>
              </w:rPr>
            </w:r>
          </w:p>
        </w:tc>
        <w:tc>
          <w:tcPr>
            <w:vAlign w:val="center"/>
          </w:tcPr>
          <w:p w:rsidR="00000000" w:rsidDel="00000000" w:rsidP="00000000" w:rsidRDefault="00000000" w:rsidRPr="00000000" w14:paraId="000000C6">
            <w:pPr>
              <w:spacing w:after="60" w:before="60" w:lineRule="auto"/>
              <w:rPr/>
            </w:pPr>
            <w:r w:rsidDel="00000000" w:rsidR="00000000" w:rsidRPr="00000000">
              <w:rPr>
                <w:sz w:val="13"/>
                <w:szCs w:val="13"/>
                <w:rtl w:val="0"/>
              </w:rPr>
              <w:t xml:space="preserve">Código/herramientas variables</w:t>
            </w:r>
            <w:r w:rsidDel="00000000" w:rsidR="00000000" w:rsidRPr="00000000">
              <w:rPr>
                <w:rtl w:val="0"/>
              </w:rPr>
            </w:r>
          </w:p>
        </w:tc>
      </w:tr>
    </w:tbl>
    <w:p w:rsidR="00000000" w:rsidDel="00000000" w:rsidP="00000000" w:rsidRDefault="00000000" w:rsidRPr="00000000" w14:paraId="000000C7">
      <w:pPr>
        <w:spacing w:after="0" w:lineRule="auto"/>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La ventaja UX: seed phrases versus passkeys</w:t>
      </w:r>
    </w:p>
    <w:p w:rsidR="00000000" w:rsidDel="00000000" w:rsidP="00000000" w:rsidRDefault="00000000" w:rsidRPr="00000000" w14:paraId="000000CA">
      <w:pPr>
        <w:pStyle w:val="Heading2"/>
        <w:rPr/>
      </w:pPr>
      <w:r w:rsidDel="00000000" w:rsidR="00000000" w:rsidRPr="00000000">
        <w:rPr>
          <w:rtl w:val="0"/>
        </w:rPr>
        <w:t xml:space="preserve">Evidencia empírica</w:t>
      </w:r>
    </w:p>
    <w:p w:rsidR="00000000" w:rsidDel="00000000" w:rsidP="00000000" w:rsidRDefault="00000000" w:rsidRPr="00000000" w14:paraId="000000CB">
      <w:pPr>
        <w:rPr/>
      </w:pPr>
      <w:r w:rsidDel="00000000" w:rsidR="00000000" w:rsidRPr="00000000">
        <w:rPr>
          <w:rtl w:val="0"/>
        </w:rPr>
        <w:t xml:space="preserve">FIDO Passkey Index publicado el 15/10/2026: la adopción mediante passkeys representó 36% de inicios de sesión exitosos observados entre proveedores participantes, frente al 26% en 2025. El índice reporta 93% de éxito contra 78% con MFA tradicional y cerca de 27 segundos ahorrados por autenticación. Corresponde a sign-in de servicios participantes, NO al tiempo ni tasa de aprobación de transacciones Pucará. [S09]</w:t>
      </w:r>
    </w:p>
    <w:p w:rsidR="00000000" w:rsidDel="00000000" w:rsidP="00000000" w:rsidRDefault="00000000" w:rsidRPr="00000000" w14:paraId="000000CC">
      <w:pPr>
        <w:rPr/>
      </w:pPr>
      <w:r w:rsidDel="00000000" w:rsidR="00000000" w:rsidRPr="00000000">
        <w:rPr>
          <w:rtl w:val="0"/>
        </w:rPr>
        <w:t xml:space="preserve">En el estudio global de FIDO de 2025, 47% de consumidores declaró abandonar compras cuando había olvidado contraseñas; la observación da contexto a la fricción de credenciales, pero tampoco mide comportamiento de responsables de tesorería corporativa ni de personas gestionando seed phrases. [S10]</w:t>
      </w:r>
    </w:p>
    <w:p w:rsidR="00000000" w:rsidDel="00000000" w:rsidP="00000000" w:rsidRDefault="00000000" w:rsidRPr="00000000" w14:paraId="000000CD">
      <w:pPr>
        <w:pStyle w:val="Heading2"/>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Cómo cambia el trabajo del firmante</w:t>
      </w:r>
    </w:p>
    <w:tbl>
      <w:tblPr>
        <w:tblStyle w:val="Table9"/>
        <w:tblW w:w="9764.0" w:type="dxa"/>
        <w:jc w:val="center"/>
        <w:tblBorders>
          <w:top w:color="4f81bd" w:space="0" w:sz="8" w:val="single"/>
          <w:bottom w:color="4f81bd" w:space="0" w:sz="8" w:val="single"/>
        </w:tblBorders>
        <w:tblLayout w:type="fixed"/>
        <w:tblLook w:val="04A0"/>
      </w:tblPr>
      <w:tblGrid>
        <w:gridCol w:w="4882"/>
        <w:gridCol w:w="4882"/>
        <w:tblGridChange w:id="0">
          <w:tblGrid>
            <w:gridCol w:w="4882"/>
            <w:gridCol w:w="4882"/>
          </w:tblGrid>
        </w:tblGridChange>
      </w:tblGrid>
      <w:tr>
        <w:trPr>
          <w:cantSplit w:val="0"/>
          <w:tblHeader w:val="1"/>
        </w:trPr>
        <w:tc>
          <w:tcPr>
            <w:shd w:fill="e4eff2" w:val="clear"/>
          </w:tcPr>
          <w:p w:rsidR="00000000" w:rsidDel="00000000" w:rsidP="00000000" w:rsidRDefault="00000000" w:rsidRPr="00000000" w14:paraId="000000D0">
            <w:pPr>
              <w:rPr/>
            </w:pPr>
            <w:r w:rsidDel="00000000" w:rsidR="00000000" w:rsidRPr="00000000">
              <w:rPr>
                <w:b w:val="1"/>
                <w:bCs w:val="1"/>
                <w:color w:val="1d537f"/>
                <w:sz w:val="16"/>
                <w:szCs w:val="16"/>
                <w:rtl w:val="0"/>
              </w:rPr>
              <w:t xml:space="preserve">ANTES / EXPERIENCIA TÍPICA CON CLAVES</w:t>
            </w:r>
            <w:r w:rsidDel="00000000" w:rsidR="00000000" w:rsidRPr="00000000">
              <w:rPr>
                <w:rtl w:val="0"/>
              </w:rPr>
            </w:r>
          </w:p>
        </w:tc>
        <w:tc>
          <w:tcPr>
            <w:shd w:fill="e4eff2" w:val="clear"/>
          </w:tcPr>
          <w:p w:rsidR="00000000" w:rsidDel="00000000" w:rsidP="00000000" w:rsidRDefault="00000000" w:rsidRPr="00000000" w14:paraId="000000D1">
            <w:pPr>
              <w:rPr/>
            </w:pPr>
            <w:r w:rsidDel="00000000" w:rsidR="00000000" w:rsidRPr="00000000">
              <w:rPr>
                <w:b w:val="1"/>
                <w:bCs w:val="1"/>
                <w:color w:val="1d537f"/>
                <w:sz w:val="16"/>
                <w:szCs w:val="16"/>
                <w:rtl w:val="0"/>
              </w:rPr>
              <w:t xml:space="preserve">CON PUCARÁ / EXPERIENCIA PROPUESTA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spacing w:after="60" w:before="60" w:lineRule="auto"/>
              <w:rPr/>
            </w:pPr>
            <w:r w:rsidDel="00000000" w:rsidR="00000000" w:rsidRPr="00000000">
              <w:rPr>
                <w:sz w:val="15"/>
                <w:szCs w:val="15"/>
                <w:rtl w:val="0"/>
              </w:rPr>
              <w:t xml:space="preserve">Proteger una frase de recuperación y claves o delegarlas a otra persona</w:t>
            </w:r>
            <w:r w:rsidDel="00000000" w:rsidR="00000000" w:rsidRPr="00000000">
              <w:rPr>
                <w:rtl w:val="0"/>
              </w:rPr>
            </w:r>
          </w:p>
        </w:tc>
        <w:tc>
          <w:tcPr>
            <w:vAlign w:val="center"/>
          </w:tcPr>
          <w:p w:rsidR="00000000" w:rsidDel="00000000" w:rsidP="00000000" w:rsidRDefault="00000000" w:rsidRPr="00000000" w14:paraId="000000D3">
            <w:pPr>
              <w:spacing w:after="60" w:before="60" w:lineRule="auto"/>
              <w:rPr/>
            </w:pPr>
            <w:r w:rsidDel="00000000" w:rsidR="00000000" w:rsidRPr="00000000">
              <w:rPr>
                <w:sz w:val="15"/>
                <w:szCs w:val="15"/>
                <w:rtl w:val="0"/>
              </w:rPr>
              <w:t xml:space="preserve">Registrar una passkey de dispositivo o llave física habilitada</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D4">
            <w:pPr>
              <w:spacing w:after="60" w:before="60" w:lineRule="auto"/>
              <w:rPr/>
            </w:pPr>
            <w:r w:rsidDel="00000000" w:rsidR="00000000" w:rsidRPr="00000000">
              <w:rPr>
                <w:sz w:val="15"/>
                <w:szCs w:val="15"/>
                <w:rtl w:val="0"/>
              </w:rPr>
              <w:t xml:space="preserve">Operar claves con pasos técnicos y riesgo de equivocación</w:t>
            </w:r>
            <w:r w:rsidDel="00000000" w:rsidR="00000000" w:rsidRPr="00000000">
              <w:rPr>
                <w:rtl w:val="0"/>
              </w:rPr>
            </w:r>
          </w:p>
        </w:tc>
        <w:tc>
          <w:tcPr>
            <w:shd w:fill="f7fafb" w:val="clear"/>
            <w:vAlign w:val="center"/>
          </w:tcPr>
          <w:p w:rsidR="00000000" w:rsidDel="00000000" w:rsidP="00000000" w:rsidRDefault="00000000" w:rsidRPr="00000000" w14:paraId="000000D5">
            <w:pPr>
              <w:spacing w:after="60" w:before="60" w:lineRule="auto"/>
              <w:rPr/>
            </w:pPr>
            <w:r w:rsidDel="00000000" w:rsidR="00000000" w:rsidRPr="00000000">
              <w:rPr>
                <w:sz w:val="15"/>
                <w:szCs w:val="15"/>
                <w:rtl w:val="0"/>
              </w:rPr>
              <w:t xml:space="preserve">Aprobar con interacción familiar del dispositivo, según navegador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spacing w:after="60" w:before="60" w:lineRule="auto"/>
              <w:rPr/>
            </w:pPr>
            <w:r w:rsidDel="00000000" w:rsidR="00000000" w:rsidRPr="00000000">
              <w:rPr>
                <w:sz w:val="15"/>
                <w:szCs w:val="15"/>
                <w:rtl w:val="0"/>
              </w:rPr>
              <w:t xml:space="preserve">Coordinar firmas o archivo de evidencias por canales sueltos</w:t>
            </w:r>
            <w:r w:rsidDel="00000000" w:rsidR="00000000" w:rsidRPr="00000000">
              <w:rPr>
                <w:rtl w:val="0"/>
              </w:rPr>
            </w:r>
          </w:p>
        </w:tc>
        <w:tc>
          <w:tcPr>
            <w:vAlign w:val="center"/>
          </w:tcPr>
          <w:p w:rsidR="00000000" w:rsidDel="00000000" w:rsidP="00000000" w:rsidRDefault="00000000" w:rsidRPr="00000000" w14:paraId="000000D7">
            <w:pPr>
              <w:spacing w:after="60" w:before="60" w:lineRule="auto"/>
              <w:rPr/>
            </w:pPr>
            <w:r w:rsidDel="00000000" w:rsidR="00000000" w:rsidRPr="00000000">
              <w:rPr>
                <w:sz w:val="15"/>
                <w:szCs w:val="15"/>
                <w:rtl w:val="0"/>
              </w:rPr>
              <w:t xml:space="preserve">Ver estado y roles en una interfaz de operación compartida</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D8">
            <w:pPr>
              <w:spacing w:after="60" w:before="60" w:lineRule="auto"/>
              <w:rPr/>
            </w:pPr>
            <w:r w:rsidDel="00000000" w:rsidR="00000000" w:rsidRPr="00000000">
              <w:rPr>
                <w:sz w:val="15"/>
                <w:szCs w:val="15"/>
                <w:rtl w:val="0"/>
              </w:rPr>
              <w:t xml:space="preserve">Recuperación basada en backups sensibles y procesos manuales</w:t>
            </w:r>
            <w:r w:rsidDel="00000000" w:rsidR="00000000" w:rsidRPr="00000000">
              <w:rPr>
                <w:rtl w:val="0"/>
              </w:rPr>
            </w:r>
          </w:p>
        </w:tc>
        <w:tc>
          <w:tcPr>
            <w:shd w:fill="f7fafb" w:val="clear"/>
            <w:vAlign w:val="center"/>
          </w:tcPr>
          <w:p w:rsidR="00000000" w:rsidDel="00000000" w:rsidP="00000000" w:rsidRDefault="00000000" w:rsidRPr="00000000" w14:paraId="000000D9">
            <w:pPr>
              <w:spacing w:after="60" w:before="60" w:lineRule="auto"/>
              <w:rPr/>
            </w:pPr>
            <w:r w:rsidDel="00000000" w:rsidR="00000000" w:rsidRPr="00000000">
              <w:rPr>
                <w:sz w:val="15"/>
                <w:szCs w:val="15"/>
                <w:rtl w:val="0"/>
              </w:rPr>
              <w:t xml:space="preserve">Diseñar reemplazo de credenciales y continuidad bajo política corporativa</w:t>
            </w:r>
            <w:r w:rsidDel="00000000" w:rsidR="00000000" w:rsidRPr="00000000">
              <w:rPr>
                <w:rtl w:val="0"/>
              </w:rPr>
            </w:r>
          </w:p>
        </w:tc>
      </w:tr>
    </w:tbl>
    <w:p w:rsidR="00000000" w:rsidDel="00000000" w:rsidP="00000000" w:rsidRDefault="00000000" w:rsidRPr="00000000" w14:paraId="000000DA">
      <w:pPr>
        <w:spacing w:after="0" w:lineRule="auto"/>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Precisión técnica: «sin seed phrase» describe la experiencia del firmante, no ausencia universal de secretos. Las passkeys se basan en claves privadas protegidas por autenticadores; las sincronizables pueden disponer de respaldo cloud cifrado. Los componentes de operación (por ejemplo, pagador de fees) también requieren procedimientos de seguridad propios. [S11, S12, S17, S18]</w:t>
      </w:r>
    </w:p>
    <w:p w:rsidR="00000000" w:rsidDel="00000000" w:rsidP="00000000" w:rsidRDefault="00000000" w:rsidRPr="00000000" w14:paraId="000000DC">
      <w:pPr>
        <w:pStyle w:val="Heading2"/>
        <w:rPr/>
      </w:pPr>
      <w:r w:rsidDel="00000000" w:rsidR="00000000" w:rsidRPr="00000000">
        <w:rPr>
          <w:rtl w:val="0"/>
        </w:rPr>
        <w:t xml:space="preserve">Seguridad real y controles pendientes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9283a"/>
          <w:sz w:val="18"/>
          <w:szCs w:val="18"/>
          <w:u w:val="none"/>
          <w:shd w:fill="auto" w:val="clear"/>
          <w:vertAlign w:val="baseline"/>
          <w:rtl w:val="0"/>
        </w:rPr>
        <w:t xml:space="preserve">WebAuthn correctamente implementado liga la credencial al dominio (resistencia a phishing de autenticación), pero no impide aprobar una instrucción engañosa si no se muestra y verifica independientemente el contenido de la transacción. [S11, S15]</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9283a"/>
          <w:sz w:val="18"/>
          <w:szCs w:val="18"/>
          <w:u w:val="none"/>
          <w:shd w:fill="auto" w:val="clear"/>
          <w:vertAlign w:val="baseline"/>
          <w:rtl w:val="0"/>
        </w:rPr>
        <w:t xml:space="preserve">Para instituciones: políticas de recuperación y rotación, asignación formal de dispositivos, reposición por baja laboral, revocación, doble revisión de monto/destino, simulación y alertas, inventario de autenticadores, registros auditables y pruebas de continuidad. [S12, S15]</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9283a"/>
          <w:sz w:val="18"/>
          <w:szCs w:val="18"/>
          <w:u w:val="none"/>
          <w:shd w:fill="auto" w:val="clear"/>
          <w:vertAlign w:val="baseline"/>
          <w:rtl w:val="0"/>
        </w:rPr>
        <w:t xml:space="preserve">Validar consistencia de challenge, origin, rpId, contador y flags WebAuthn; la política contractual de 2-de-3 debe ejecutarse en el contrato y verificar identidad distinta por credencial/rol. [S11, S12, S17]</w:t>
      </w:r>
    </w:p>
    <w:p w:rsidR="00000000" w:rsidDel="00000000" w:rsidP="00000000" w:rsidRDefault="00000000" w:rsidRPr="00000000" w14:paraId="000000E0">
      <w:pPr>
        <w:pStyle w:val="Heading1"/>
        <w:rPr/>
      </w:pPr>
      <w:r w:rsidDel="00000000" w:rsidR="00000000" w:rsidRPr="00000000">
        <w:rPr>
          <w:rtl w:val="0"/>
        </w:rPr>
        <w:t xml:space="preserve">Qué evidencia técnica aporta Pucará hoy</w:t>
      </w:r>
    </w:p>
    <w:p w:rsidR="00000000" w:rsidDel="00000000" w:rsidP="00000000" w:rsidRDefault="00000000" w:rsidRPr="00000000" w14:paraId="000000E1">
      <w:pPr>
        <w:rPr/>
      </w:pPr>
      <w:r w:rsidDel="00000000" w:rsidR="00000000" w:rsidRPr="00000000">
        <w:rPr>
          <w:rtl w:val="0"/>
        </w:rPr>
        <w:t xml:space="preserve">Según el material del proyecto utilizado para la presentación de hackathon, el MVP consiste en una Institutional Smart Account sobre Stellar Testnet con verificación WebAuthn y quorum 2-de-3 para CEO, CFO y Treasury Manager, respaldada por contratos desplegados. La aplicación web Pucará representa el flujo de tesorería y autorizaciones. El repositorio público identifica el objetivo institucional del producto. [S22, evidencia interna del equipo]</w:t>
      </w:r>
    </w:p>
    <w:tbl>
      <w:tblPr>
        <w:tblStyle w:val="Table10"/>
        <w:tblW w:w="9765.0" w:type="dxa"/>
        <w:jc w:val="center"/>
        <w:tblBorders>
          <w:top w:color="4f81bd" w:space="0" w:sz="8" w:val="single"/>
          <w:bottom w:color="4f81bd" w:space="0" w:sz="8" w:val="single"/>
        </w:tblBorders>
        <w:tblLayout w:type="fixed"/>
        <w:tblLook w:val="04A0"/>
      </w:tblPr>
      <w:tblGrid>
        <w:gridCol w:w="3255"/>
        <w:gridCol w:w="3255"/>
        <w:gridCol w:w="3255"/>
        <w:tblGridChange w:id="0">
          <w:tblGrid>
            <w:gridCol w:w="3255"/>
            <w:gridCol w:w="3255"/>
            <w:gridCol w:w="3255"/>
          </w:tblGrid>
        </w:tblGridChange>
      </w:tblGrid>
      <w:tr>
        <w:trPr>
          <w:cantSplit w:val="0"/>
          <w:tblHeader w:val="1"/>
        </w:trPr>
        <w:tc>
          <w:tcPr>
            <w:shd w:fill="e4eff2" w:val="clear"/>
          </w:tcPr>
          <w:p w:rsidR="00000000" w:rsidDel="00000000" w:rsidP="00000000" w:rsidRDefault="00000000" w:rsidRPr="00000000" w14:paraId="000000E2">
            <w:pPr>
              <w:rPr/>
            </w:pPr>
            <w:r w:rsidDel="00000000" w:rsidR="00000000" w:rsidRPr="00000000">
              <w:rPr>
                <w:b w:val="1"/>
                <w:bCs w:val="1"/>
                <w:color w:val="1d537f"/>
                <w:sz w:val="16"/>
                <w:szCs w:val="16"/>
                <w:rtl w:val="0"/>
              </w:rPr>
              <w:t xml:space="preserve">CAPACIDAD</w:t>
            </w:r>
            <w:r w:rsidDel="00000000" w:rsidR="00000000" w:rsidRPr="00000000">
              <w:rPr>
                <w:rtl w:val="0"/>
              </w:rPr>
            </w:r>
          </w:p>
        </w:tc>
        <w:tc>
          <w:tcPr>
            <w:shd w:fill="e4eff2" w:val="clear"/>
          </w:tcPr>
          <w:p w:rsidR="00000000" w:rsidDel="00000000" w:rsidP="00000000" w:rsidRDefault="00000000" w:rsidRPr="00000000" w14:paraId="000000E3">
            <w:pPr>
              <w:rPr/>
            </w:pPr>
            <w:r w:rsidDel="00000000" w:rsidR="00000000" w:rsidRPr="00000000">
              <w:rPr>
                <w:b w:val="1"/>
                <w:bCs w:val="1"/>
                <w:color w:val="1d537f"/>
                <w:sz w:val="16"/>
                <w:szCs w:val="16"/>
                <w:rtl w:val="0"/>
              </w:rPr>
              <w:t xml:space="preserve">ESTADO COMUNICABLE</w:t>
            </w:r>
            <w:r w:rsidDel="00000000" w:rsidR="00000000" w:rsidRPr="00000000">
              <w:rPr>
                <w:rtl w:val="0"/>
              </w:rPr>
            </w:r>
          </w:p>
        </w:tc>
        <w:tc>
          <w:tcPr>
            <w:shd w:fill="e4eff2" w:val="clear"/>
          </w:tcPr>
          <w:p w:rsidR="00000000" w:rsidDel="00000000" w:rsidP="00000000" w:rsidRDefault="00000000" w:rsidRPr="00000000" w14:paraId="000000E4">
            <w:pPr>
              <w:rPr/>
            </w:pPr>
            <w:r w:rsidDel="00000000" w:rsidR="00000000" w:rsidRPr="00000000">
              <w:rPr>
                <w:b w:val="1"/>
                <w:bCs w:val="1"/>
                <w:color w:val="1d537f"/>
                <w:sz w:val="16"/>
                <w:szCs w:val="16"/>
                <w:rtl w:val="0"/>
              </w:rPr>
              <w:t xml:space="preserve">LÍMITE / COMPROBACIÓN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spacing w:after="60" w:before="60" w:lineRule="auto"/>
              <w:rPr/>
            </w:pPr>
            <w:r w:rsidDel="00000000" w:rsidR="00000000" w:rsidRPr="00000000">
              <w:rPr>
                <w:sz w:val="15"/>
                <w:szCs w:val="15"/>
                <w:rtl w:val="0"/>
              </w:rPr>
              <w:t xml:space="preserve">Cuenta inteligente y contratos</w:t>
            </w:r>
            <w:r w:rsidDel="00000000" w:rsidR="00000000" w:rsidRPr="00000000">
              <w:rPr>
                <w:rtl w:val="0"/>
              </w:rPr>
            </w:r>
          </w:p>
        </w:tc>
        <w:tc>
          <w:tcPr>
            <w:vAlign w:val="center"/>
          </w:tcPr>
          <w:p w:rsidR="00000000" w:rsidDel="00000000" w:rsidP="00000000" w:rsidRDefault="00000000" w:rsidRPr="00000000" w14:paraId="000000E6">
            <w:pPr>
              <w:spacing w:after="60" w:before="60" w:lineRule="auto"/>
              <w:rPr/>
            </w:pPr>
            <w:r w:rsidDel="00000000" w:rsidR="00000000" w:rsidRPr="00000000">
              <w:rPr>
                <w:sz w:val="15"/>
                <w:szCs w:val="15"/>
                <w:rtl w:val="0"/>
              </w:rPr>
              <w:t xml:space="preserve">Evidencia de desarrollo sobre Stellar Testnet</w:t>
            </w:r>
            <w:r w:rsidDel="00000000" w:rsidR="00000000" w:rsidRPr="00000000">
              <w:rPr>
                <w:rtl w:val="0"/>
              </w:rPr>
            </w:r>
          </w:p>
        </w:tc>
        <w:tc>
          <w:tcPr>
            <w:vAlign w:val="center"/>
          </w:tcPr>
          <w:p w:rsidR="00000000" w:rsidDel="00000000" w:rsidP="00000000" w:rsidRDefault="00000000" w:rsidRPr="00000000" w14:paraId="000000E7">
            <w:pPr>
              <w:spacing w:after="60" w:before="60" w:lineRule="auto"/>
              <w:rPr/>
            </w:pPr>
            <w:r w:rsidDel="00000000" w:rsidR="00000000" w:rsidRPr="00000000">
              <w:rPr>
                <w:sz w:val="15"/>
                <w:szCs w:val="15"/>
                <w:rtl w:val="0"/>
              </w:rPr>
              <w:t xml:space="preserve">No equivalen a producción ni certificación</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E8">
            <w:pPr>
              <w:spacing w:after="60" w:before="60" w:lineRule="auto"/>
              <w:rPr/>
            </w:pPr>
            <w:r w:rsidDel="00000000" w:rsidR="00000000" w:rsidRPr="00000000">
              <w:rPr>
                <w:sz w:val="15"/>
                <w:szCs w:val="15"/>
                <w:rtl w:val="0"/>
              </w:rPr>
              <w:t xml:space="preserve">Multifirmas 2-de-3</w:t>
            </w:r>
            <w:r w:rsidDel="00000000" w:rsidR="00000000" w:rsidRPr="00000000">
              <w:rPr>
                <w:rtl w:val="0"/>
              </w:rPr>
            </w:r>
          </w:p>
        </w:tc>
        <w:tc>
          <w:tcPr>
            <w:shd w:fill="f7fafb" w:val="clear"/>
            <w:vAlign w:val="center"/>
          </w:tcPr>
          <w:p w:rsidR="00000000" w:rsidDel="00000000" w:rsidP="00000000" w:rsidRDefault="00000000" w:rsidRPr="00000000" w14:paraId="000000E9">
            <w:pPr>
              <w:spacing w:after="60" w:before="60" w:lineRule="auto"/>
              <w:rPr/>
            </w:pPr>
            <w:r w:rsidDel="00000000" w:rsidR="00000000" w:rsidRPr="00000000">
              <w:rPr>
                <w:sz w:val="15"/>
                <w:szCs w:val="15"/>
                <w:rtl w:val="0"/>
              </w:rPr>
              <w:t xml:space="preserve">Arquitectura y pruebas del MVP del equipo</w:t>
            </w:r>
            <w:r w:rsidDel="00000000" w:rsidR="00000000" w:rsidRPr="00000000">
              <w:rPr>
                <w:rtl w:val="0"/>
              </w:rPr>
            </w:r>
          </w:p>
        </w:tc>
        <w:tc>
          <w:tcPr>
            <w:shd w:fill="f7fafb" w:val="clear"/>
            <w:vAlign w:val="center"/>
          </w:tcPr>
          <w:p w:rsidR="00000000" w:rsidDel="00000000" w:rsidP="00000000" w:rsidRDefault="00000000" w:rsidRPr="00000000" w14:paraId="000000EA">
            <w:pPr>
              <w:spacing w:after="60" w:before="60" w:lineRule="auto"/>
              <w:rPr/>
            </w:pPr>
            <w:r w:rsidDel="00000000" w:rsidR="00000000" w:rsidRPr="00000000">
              <w:rPr>
                <w:sz w:val="15"/>
                <w:szCs w:val="15"/>
                <w:rtl w:val="0"/>
              </w:rPr>
              <w:t xml:space="preserve">Auditar invariantes y flujos adversarios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spacing w:after="60" w:before="60" w:lineRule="auto"/>
              <w:rPr/>
            </w:pPr>
            <w:r w:rsidDel="00000000" w:rsidR="00000000" w:rsidRPr="00000000">
              <w:rPr>
                <w:sz w:val="15"/>
                <w:szCs w:val="15"/>
                <w:rtl w:val="0"/>
              </w:rPr>
              <w:t xml:space="preserve">Passkeys / WebAuthn</w:t>
            </w:r>
            <w:r w:rsidDel="00000000" w:rsidR="00000000" w:rsidRPr="00000000">
              <w:rPr>
                <w:rtl w:val="0"/>
              </w:rPr>
            </w:r>
          </w:p>
        </w:tc>
        <w:tc>
          <w:tcPr>
            <w:vAlign w:val="center"/>
          </w:tcPr>
          <w:p w:rsidR="00000000" w:rsidDel="00000000" w:rsidP="00000000" w:rsidRDefault="00000000" w:rsidRPr="00000000" w14:paraId="000000EC">
            <w:pPr>
              <w:spacing w:after="60" w:before="60" w:lineRule="auto"/>
              <w:rPr/>
            </w:pPr>
            <w:r w:rsidDel="00000000" w:rsidR="00000000" w:rsidRPr="00000000">
              <w:rPr>
                <w:sz w:val="15"/>
                <w:szCs w:val="15"/>
                <w:rtl w:val="0"/>
              </w:rPr>
              <w:t xml:space="preserve">Integración técnica del prototipo</w:t>
            </w:r>
            <w:r w:rsidDel="00000000" w:rsidR="00000000" w:rsidRPr="00000000">
              <w:rPr>
                <w:rtl w:val="0"/>
              </w:rPr>
            </w:r>
          </w:p>
        </w:tc>
        <w:tc>
          <w:tcPr>
            <w:vAlign w:val="center"/>
          </w:tcPr>
          <w:p w:rsidR="00000000" w:rsidDel="00000000" w:rsidP="00000000" w:rsidRDefault="00000000" w:rsidRPr="00000000" w14:paraId="000000ED">
            <w:pPr>
              <w:spacing w:after="60" w:before="60" w:lineRule="auto"/>
              <w:rPr/>
            </w:pPr>
            <w:r w:rsidDel="00000000" w:rsidR="00000000" w:rsidRPr="00000000">
              <w:rPr>
                <w:sz w:val="15"/>
                <w:szCs w:val="15"/>
                <w:rtl w:val="0"/>
              </w:rPr>
              <w:t xml:space="preserve">Verificar compatibilidad de navegadores, hardware y recuperación</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EE">
            <w:pPr>
              <w:spacing w:after="60" w:before="60" w:lineRule="auto"/>
              <w:rPr/>
            </w:pPr>
            <w:r w:rsidDel="00000000" w:rsidR="00000000" w:rsidRPr="00000000">
              <w:rPr>
                <w:sz w:val="15"/>
                <w:szCs w:val="15"/>
                <w:rtl w:val="0"/>
              </w:rPr>
              <w:t xml:space="preserve">UX de dashboard y flujo</w:t>
            </w:r>
            <w:r w:rsidDel="00000000" w:rsidR="00000000" w:rsidRPr="00000000">
              <w:rPr>
                <w:rtl w:val="0"/>
              </w:rPr>
            </w:r>
          </w:p>
        </w:tc>
        <w:tc>
          <w:tcPr>
            <w:shd w:fill="f7fafb" w:val="clear"/>
            <w:vAlign w:val="center"/>
          </w:tcPr>
          <w:p w:rsidR="00000000" w:rsidDel="00000000" w:rsidP="00000000" w:rsidRDefault="00000000" w:rsidRPr="00000000" w14:paraId="000000EF">
            <w:pPr>
              <w:spacing w:after="60" w:before="60" w:lineRule="auto"/>
              <w:rPr/>
            </w:pPr>
            <w:r w:rsidDel="00000000" w:rsidR="00000000" w:rsidRPr="00000000">
              <w:rPr>
                <w:sz w:val="15"/>
                <w:szCs w:val="15"/>
                <w:rtl w:val="0"/>
              </w:rPr>
              <w:t xml:space="preserve">Frontend desplegado / demo</w:t>
            </w:r>
            <w:r w:rsidDel="00000000" w:rsidR="00000000" w:rsidRPr="00000000">
              <w:rPr>
                <w:rtl w:val="0"/>
              </w:rPr>
            </w:r>
          </w:p>
        </w:tc>
        <w:tc>
          <w:tcPr>
            <w:shd w:fill="f7fafb" w:val="clear"/>
            <w:vAlign w:val="center"/>
          </w:tcPr>
          <w:p w:rsidR="00000000" w:rsidDel="00000000" w:rsidP="00000000" w:rsidRDefault="00000000" w:rsidRPr="00000000" w14:paraId="000000F0">
            <w:pPr>
              <w:spacing w:after="60" w:before="60" w:lineRule="auto"/>
              <w:rPr/>
            </w:pPr>
            <w:r w:rsidDel="00000000" w:rsidR="00000000" w:rsidRPr="00000000">
              <w:rPr>
                <w:sz w:val="15"/>
                <w:szCs w:val="15"/>
                <w:rtl w:val="0"/>
              </w:rPr>
              <w:t xml:space="preserve">Estudios de uso no realizados con clientes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after="60" w:before="60" w:lineRule="auto"/>
              <w:rPr/>
            </w:pPr>
            <w:r w:rsidDel="00000000" w:rsidR="00000000" w:rsidRPr="00000000">
              <w:rPr>
                <w:sz w:val="15"/>
                <w:szCs w:val="15"/>
                <w:rtl w:val="0"/>
              </w:rPr>
              <w:t xml:space="preserve">Seguridad de nivel bancario</w:t>
            </w:r>
            <w:r w:rsidDel="00000000" w:rsidR="00000000" w:rsidRPr="00000000">
              <w:rPr>
                <w:rtl w:val="0"/>
              </w:rPr>
            </w:r>
          </w:p>
        </w:tc>
        <w:tc>
          <w:tcPr>
            <w:vAlign w:val="center"/>
          </w:tcPr>
          <w:p w:rsidR="00000000" w:rsidDel="00000000" w:rsidP="00000000" w:rsidRDefault="00000000" w:rsidRPr="00000000" w14:paraId="000000F2">
            <w:pPr>
              <w:spacing w:after="60" w:before="60" w:lineRule="auto"/>
              <w:rPr/>
            </w:pPr>
            <w:r w:rsidDel="00000000" w:rsidR="00000000" w:rsidRPr="00000000">
              <w:rPr>
                <w:sz w:val="15"/>
                <w:szCs w:val="15"/>
                <w:rtl w:val="0"/>
              </w:rPr>
              <w:t xml:space="preserve">NO afirmar como certificada</w:t>
            </w:r>
            <w:r w:rsidDel="00000000" w:rsidR="00000000" w:rsidRPr="00000000">
              <w:rPr>
                <w:rtl w:val="0"/>
              </w:rPr>
            </w:r>
          </w:p>
        </w:tc>
        <w:tc>
          <w:tcPr>
            <w:vAlign w:val="center"/>
          </w:tcPr>
          <w:p w:rsidR="00000000" w:rsidDel="00000000" w:rsidP="00000000" w:rsidRDefault="00000000" w:rsidRPr="00000000" w14:paraId="000000F3">
            <w:pPr>
              <w:spacing w:after="60" w:before="60" w:lineRule="auto"/>
              <w:rPr/>
            </w:pPr>
            <w:r w:rsidDel="00000000" w:rsidR="00000000" w:rsidRPr="00000000">
              <w:rPr>
                <w:sz w:val="15"/>
                <w:szCs w:val="15"/>
                <w:rtl w:val="0"/>
              </w:rPr>
              <w:t xml:space="preserve">Pendientes auditoría, operaciones, control interno, SLA y compliance</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0F4">
            <w:pPr>
              <w:spacing w:after="60" w:before="60" w:lineRule="auto"/>
              <w:rPr/>
            </w:pPr>
            <w:r w:rsidDel="00000000" w:rsidR="00000000" w:rsidRPr="00000000">
              <w:rPr>
                <w:sz w:val="15"/>
                <w:szCs w:val="15"/>
                <w:rtl w:val="0"/>
              </w:rPr>
              <w:t xml:space="preserve">Ventas / instituciones usando MVP</w:t>
            </w:r>
            <w:r w:rsidDel="00000000" w:rsidR="00000000" w:rsidRPr="00000000">
              <w:rPr>
                <w:rtl w:val="0"/>
              </w:rPr>
            </w:r>
          </w:p>
        </w:tc>
        <w:tc>
          <w:tcPr>
            <w:shd w:fill="f7fafb" w:val="clear"/>
            <w:vAlign w:val="center"/>
          </w:tcPr>
          <w:p w:rsidR="00000000" w:rsidDel="00000000" w:rsidP="00000000" w:rsidRDefault="00000000" w:rsidRPr="00000000" w14:paraId="000000F5">
            <w:pPr>
              <w:spacing w:after="60" w:before="60" w:lineRule="auto"/>
              <w:rPr/>
            </w:pPr>
            <w:r w:rsidDel="00000000" w:rsidR="00000000" w:rsidRPr="00000000">
              <w:rPr>
                <w:sz w:val="15"/>
                <w:szCs w:val="15"/>
                <w:rtl w:val="0"/>
              </w:rPr>
              <w:t xml:space="preserve">Sin evidencia aportada</w:t>
            </w:r>
            <w:r w:rsidDel="00000000" w:rsidR="00000000" w:rsidRPr="00000000">
              <w:rPr>
                <w:rtl w:val="0"/>
              </w:rPr>
            </w:r>
          </w:p>
        </w:tc>
        <w:tc>
          <w:tcPr>
            <w:shd w:fill="f7fafb" w:val="clear"/>
            <w:vAlign w:val="center"/>
          </w:tcPr>
          <w:p w:rsidR="00000000" w:rsidDel="00000000" w:rsidP="00000000" w:rsidRDefault="00000000" w:rsidRPr="00000000" w14:paraId="000000F6">
            <w:pPr>
              <w:spacing w:after="60" w:before="60" w:lineRule="auto"/>
              <w:rPr/>
            </w:pPr>
            <w:r w:rsidDel="00000000" w:rsidR="00000000" w:rsidRPr="00000000">
              <w:rPr>
                <w:sz w:val="15"/>
                <w:szCs w:val="15"/>
                <w:rtl w:val="0"/>
              </w:rPr>
              <w:t xml:space="preserve">No declarar pilotos, clientes ni contratos</w:t>
            </w:r>
            <w:r w:rsidDel="00000000" w:rsidR="00000000" w:rsidRPr="00000000">
              <w:rPr>
                <w:rtl w:val="0"/>
              </w:rPr>
            </w:r>
          </w:p>
        </w:tc>
      </w:tr>
    </w:tbl>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Evidencia técnica de referencia informada por el equipo (Testnet): CB2ZCJX4PB45LRQJ3CRCJ5JZ7O4DHONXMQV6U6RSIMXQ6KHYVNFZYYFH. Debe adjuntarse screenshot, transacción o registro público accesible al jurado antes de presentar el contrato como prueba externa independiente; no se obtuvo lectura de su explorador en esta investigación.</w:t>
      </w:r>
    </w:p>
    <w:p w:rsidR="00000000" w:rsidDel="00000000" w:rsidP="00000000" w:rsidRDefault="00000000" w:rsidRPr="00000000" w14:paraId="000000F9">
      <w:pPr>
        <w:pStyle w:val="Heading1"/>
        <w:rPr/>
      </w:pPr>
      <w:r w:rsidDel="00000000" w:rsidR="00000000" w:rsidRPr="00000000">
        <w:rPr>
          <w:rtl w:val="0"/>
        </w:rPr>
        <w:t xml:space="preserve">Hipótesis de monetización y business case</w:t>
      </w:r>
    </w:p>
    <w:p w:rsidR="00000000" w:rsidDel="00000000" w:rsidP="00000000" w:rsidRDefault="00000000" w:rsidRPr="00000000" w14:paraId="000000FA">
      <w:pPr>
        <w:pStyle w:val="Heading2"/>
        <w:rPr/>
      </w:pPr>
      <w:r w:rsidDel="00000000" w:rsidR="00000000" w:rsidRPr="00000000">
        <w:rPr>
          <w:rtl w:val="0"/>
        </w:rPr>
        <w:t xml:space="preserve">Qué demuestra el benchmark</w:t>
      </w:r>
    </w:p>
    <w:p w:rsidR="00000000" w:rsidDel="00000000" w:rsidP="00000000" w:rsidRDefault="00000000" w:rsidRPr="00000000" w14:paraId="000000FB">
      <w:pPr>
        <w:rPr/>
      </w:pPr>
      <w:r w:rsidDel="00000000" w:rsidR="00000000" w:rsidRPr="00000000">
        <w:rPr>
          <w:rtl w:val="0"/>
        </w:rPr>
        <w:t xml:space="preserve">Diversos actores comercializan seguridad, colaboración y control de cuentas como servicio B2B. Safe separa una wallet Core gratuita de una capa paga de operaciones de equipo; Fireblocks monetiza infraestructura de custodia/tesorería sofisticada. Esto prueba la existencia de categorías pagas, no que esos precios sean automáticamente transferibles a Pucará. [S01, S03, S05]</w:t>
      </w:r>
    </w:p>
    <w:p w:rsidR="00000000" w:rsidDel="00000000" w:rsidP="00000000" w:rsidRDefault="00000000" w:rsidRPr="00000000" w14:paraId="000000FC">
      <w:pPr>
        <w:pStyle w:val="Heading2"/>
        <w:rPr/>
      </w:pPr>
      <w:r w:rsidDel="00000000" w:rsidR="00000000" w:rsidRPr="00000000">
        <w:rPr>
          <w:rtl w:val="0"/>
        </w:rPr>
        <w:t xml:space="preserve">Propuesta tarifaria para entrevistas, NO oferta confirmada</w:t>
      </w:r>
    </w:p>
    <w:tbl>
      <w:tblPr>
        <w:tblStyle w:val="Table11"/>
        <w:tblW w:w="9764.0" w:type="dxa"/>
        <w:jc w:val="center"/>
        <w:tblBorders>
          <w:top w:color="4f81bd" w:space="0" w:sz="8" w:val="single"/>
          <w:bottom w:color="4f81bd" w:space="0" w:sz="8" w:val="single"/>
        </w:tblBorders>
        <w:tblLayout w:type="fixed"/>
        <w:tblLook w:val="04A0"/>
      </w:tblPr>
      <w:tblGrid>
        <w:gridCol w:w="2441"/>
        <w:gridCol w:w="2441"/>
        <w:gridCol w:w="2441"/>
        <w:gridCol w:w="2441"/>
        <w:tblGridChange w:id="0">
          <w:tblGrid>
            <w:gridCol w:w="2441"/>
            <w:gridCol w:w="2441"/>
            <w:gridCol w:w="2441"/>
            <w:gridCol w:w="2441"/>
          </w:tblGrid>
        </w:tblGridChange>
      </w:tblGrid>
      <w:tr>
        <w:trPr>
          <w:cantSplit w:val="0"/>
          <w:tblHeader w:val="1"/>
        </w:trPr>
        <w:tc>
          <w:tcPr>
            <w:shd w:fill="e4eff2" w:val="clear"/>
          </w:tcPr>
          <w:p w:rsidR="00000000" w:rsidDel="00000000" w:rsidP="00000000" w:rsidRDefault="00000000" w:rsidRPr="00000000" w14:paraId="000000FD">
            <w:pPr>
              <w:rPr/>
            </w:pPr>
            <w:r w:rsidDel="00000000" w:rsidR="00000000" w:rsidRPr="00000000">
              <w:rPr>
                <w:b w:val="1"/>
                <w:bCs w:val="1"/>
                <w:color w:val="1d537f"/>
                <w:sz w:val="16"/>
                <w:szCs w:val="16"/>
                <w:rtl w:val="0"/>
              </w:rPr>
              <w:t xml:space="preserve">PAQUETE HIPOTÉTICO</w:t>
            </w:r>
            <w:r w:rsidDel="00000000" w:rsidR="00000000" w:rsidRPr="00000000">
              <w:rPr>
                <w:rtl w:val="0"/>
              </w:rPr>
            </w:r>
          </w:p>
        </w:tc>
        <w:tc>
          <w:tcPr>
            <w:shd w:fill="e4eff2" w:val="clear"/>
          </w:tcPr>
          <w:p w:rsidR="00000000" w:rsidDel="00000000" w:rsidP="00000000" w:rsidRDefault="00000000" w:rsidRPr="00000000" w14:paraId="000000FE">
            <w:pPr>
              <w:rPr/>
            </w:pPr>
            <w:r w:rsidDel="00000000" w:rsidR="00000000" w:rsidRPr="00000000">
              <w:rPr>
                <w:b w:val="1"/>
                <w:bCs w:val="1"/>
                <w:color w:val="1d537f"/>
                <w:sz w:val="16"/>
                <w:szCs w:val="16"/>
                <w:rtl w:val="0"/>
              </w:rPr>
              <w:t xml:space="preserve">PRECIO A TESTEAR</w:t>
            </w:r>
            <w:r w:rsidDel="00000000" w:rsidR="00000000" w:rsidRPr="00000000">
              <w:rPr>
                <w:rtl w:val="0"/>
              </w:rPr>
            </w:r>
          </w:p>
        </w:tc>
        <w:tc>
          <w:tcPr>
            <w:shd w:fill="e4eff2" w:val="clear"/>
          </w:tcPr>
          <w:p w:rsidR="00000000" w:rsidDel="00000000" w:rsidP="00000000" w:rsidRDefault="00000000" w:rsidRPr="00000000" w14:paraId="000000FF">
            <w:pPr>
              <w:rPr/>
            </w:pPr>
            <w:r w:rsidDel="00000000" w:rsidR="00000000" w:rsidRPr="00000000">
              <w:rPr>
                <w:b w:val="1"/>
                <w:bCs w:val="1"/>
                <w:color w:val="1d537f"/>
                <w:sz w:val="16"/>
                <w:szCs w:val="16"/>
                <w:rtl w:val="0"/>
              </w:rPr>
              <w:t xml:space="preserve">CLIENTE / PROPUESTA</w:t>
            </w:r>
            <w:r w:rsidDel="00000000" w:rsidR="00000000" w:rsidRPr="00000000">
              <w:rPr>
                <w:rtl w:val="0"/>
              </w:rPr>
            </w:r>
          </w:p>
        </w:tc>
        <w:tc>
          <w:tcPr>
            <w:shd w:fill="e4eff2" w:val="clear"/>
          </w:tcPr>
          <w:p w:rsidR="00000000" w:rsidDel="00000000" w:rsidP="00000000" w:rsidRDefault="00000000" w:rsidRPr="00000000" w14:paraId="00000100">
            <w:pPr>
              <w:rPr/>
            </w:pPr>
            <w:r w:rsidDel="00000000" w:rsidR="00000000" w:rsidRPr="00000000">
              <w:rPr>
                <w:b w:val="1"/>
                <w:bCs w:val="1"/>
                <w:color w:val="1d537f"/>
                <w:sz w:val="16"/>
                <w:szCs w:val="16"/>
                <w:rtl w:val="0"/>
              </w:rPr>
              <w:t xml:space="preserve">CONDICIÓN DE ENTREGA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spacing w:after="60" w:before="60" w:lineRule="auto"/>
              <w:rPr/>
            </w:pPr>
            <w:r w:rsidDel="00000000" w:rsidR="00000000" w:rsidRPr="00000000">
              <w:rPr>
                <w:sz w:val="15"/>
                <w:szCs w:val="15"/>
                <w:rtl w:val="0"/>
              </w:rPr>
              <w:t xml:space="preserve">Pilot</w:t>
            </w:r>
            <w:r w:rsidDel="00000000" w:rsidR="00000000" w:rsidRPr="00000000">
              <w:rPr>
                <w:rtl w:val="0"/>
              </w:rPr>
            </w:r>
          </w:p>
        </w:tc>
        <w:tc>
          <w:tcPr>
            <w:vAlign w:val="center"/>
          </w:tcPr>
          <w:p w:rsidR="00000000" w:rsidDel="00000000" w:rsidP="00000000" w:rsidRDefault="00000000" w:rsidRPr="00000000" w14:paraId="00000102">
            <w:pPr>
              <w:spacing w:after="60" w:before="60" w:lineRule="auto"/>
              <w:rPr/>
            </w:pPr>
            <w:r w:rsidDel="00000000" w:rsidR="00000000" w:rsidRPr="00000000">
              <w:rPr>
                <w:sz w:val="15"/>
                <w:szCs w:val="15"/>
                <w:rtl w:val="0"/>
              </w:rPr>
              <w:t xml:space="preserve">Sin cargo / plazo acotado</w:t>
            </w:r>
            <w:r w:rsidDel="00000000" w:rsidR="00000000" w:rsidRPr="00000000">
              <w:rPr>
                <w:rtl w:val="0"/>
              </w:rPr>
            </w:r>
          </w:p>
        </w:tc>
        <w:tc>
          <w:tcPr>
            <w:vAlign w:val="center"/>
          </w:tcPr>
          <w:p w:rsidR="00000000" w:rsidDel="00000000" w:rsidP="00000000" w:rsidRDefault="00000000" w:rsidRPr="00000000" w14:paraId="00000103">
            <w:pPr>
              <w:spacing w:after="60" w:before="60" w:lineRule="auto"/>
              <w:rPr/>
            </w:pPr>
            <w:r w:rsidDel="00000000" w:rsidR="00000000" w:rsidRPr="00000000">
              <w:rPr>
                <w:sz w:val="15"/>
                <w:szCs w:val="15"/>
                <w:rtl w:val="0"/>
              </w:rPr>
              <w:t xml:space="preserve">Hasta 3 organizaciones en Testnet</w:t>
            </w:r>
            <w:r w:rsidDel="00000000" w:rsidR="00000000" w:rsidRPr="00000000">
              <w:rPr>
                <w:rtl w:val="0"/>
              </w:rPr>
            </w:r>
          </w:p>
        </w:tc>
        <w:tc>
          <w:tcPr>
            <w:vAlign w:val="center"/>
          </w:tcPr>
          <w:p w:rsidR="00000000" w:rsidDel="00000000" w:rsidP="00000000" w:rsidRDefault="00000000" w:rsidRPr="00000000" w14:paraId="00000104">
            <w:pPr>
              <w:spacing w:after="60" w:before="60" w:lineRule="auto"/>
              <w:rPr/>
            </w:pPr>
            <w:r w:rsidDel="00000000" w:rsidR="00000000" w:rsidRPr="00000000">
              <w:rPr>
                <w:sz w:val="15"/>
                <w:szCs w:val="15"/>
                <w:rtl w:val="0"/>
              </w:rPr>
              <w:t xml:space="preserve">Asistencia directa, métricas, sin custodia de fondos reales</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105">
            <w:pPr>
              <w:spacing w:after="60" w:before="60" w:lineRule="auto"/>
              <w:rPr/>
            </w:pPr>
            <w:r w:rsidDel="00000000" w:rsidR="00000000" w:rsidRPr="00000000">
              <w:rPr>
                <w:sz w:val="15"/>
                <w:szCs w:val="15"/>
                <w:rtl w:val="0"/>
              </w:rPr>
              <w:t xml:space="preserve">Team</w:t>
            </w:r>
            <w:r w:rsidDel="00000000" w:rsidR="00000000" w:rsidRPr="00000000">
              <w:rPr>
                <w:rtl w:val="0"/>
              </w:rPr>
            </w:r>
          </w:p>
        </w:tc>
        <w:tc>
          <w:tcPr>
            <w:shd w:fill="f7fafb" w:val="clear"/>
            <w:vAlign w:val="center"/>
          </w:tcPr>
          <w:p w:rsidR="00000000" w:rsidDel="00000000" w:rsidP="00000000" w:rsidRDefault="00000000" w:rsidRPr="00000000" w14:paraId="00000106">
            <w:pPr>
              <w:spacing w:after="60" w:before="60" w:lineRule="auto"/>
              <w:rPr/>
            </w:pPr>
            <w:r w:rsidDel="00000000" w:rsidR="00000000" w:rsidRPr="00000000">
              <w:rPr>
                <w:sz w:val="15"/>
                <w:szCs w:val="15"/>
                <w:rtl w:val="0"/>
              </w:rPr>
              <w:t xml:space="preserve">USD 149/mes</w:t>
            </w:r>
            <w:r w:rsidDel="00000000" w:rsidR="00000000" w:rsidRPr="00000000">
              <w:rPr>
                <w:rtl w:val="0"/>
              </w:rPr>
            </w:r>
          </w:p>
        </w:tc>
        <w:tc>
          <w:tcPr>
            <w:shd w:fill="f7fafb" w:val="clear"/>
            <w:vAlign w:val="center"/>
          </w:tcPr>
          <w:p w:rsidR="00000000" w:rsidDel="00000000" w:rsidP="00000000" w:rsidRDefault="00000000" w:rsidRPr="00000000" w14:paraId="00000107">
            <w:pPr>
              <w:spacing w:after="60" w:before="60" w:lineRule="auto"/>
              <w:rPr/>
            </w:pPr>
            <w:r w:rsidDel="00000000" w:rsidR="00000000" w:rsidRPr="00000000">
              <w:rPr>
                <w:sz w:val="15"/>
                <w:szCs w:val="15"/>
                <w:rtl w:val="0"/>
              </w:rPr>
              <w:t xml:space="preserve">Tesorería 2-de-3, 1 bóveda, aprobaciones</w:t>
            </w:r>
            <w:r w:rsidDel="00000000" w:rsidR="00000000" w:rsidRPr="00000000">
              <w:rPr>
                <w:rtl w:val="0"/>
              </w:rPr>
            </w:r>
          </w:p>
        </w:tc>
        <w:tc>
          <w:tcPr>
            <w:shd w:fill="f7fafb" w:val="clear"/>
            <w:vAlign w:val="center"/>
          </w:tcPr>
          <w:p w:rsidR="00000000" w:rsidDel="00000000" w:rsidP="00000000" w:rsidRDefault="00000000" w:rsidRPr="00000000" w14:paraId="00000108">
            <w:pPr>
              <w:spacing w:after="60" w:before="60" w:lineRule="auto"/>
              <w:rPr/>
            </w:pPr>
            <w:r w:rsidDel="00000000" w:rsidR="00000000" w:rsidRPr="00000000">
              <w:rPr>
                <w:sz w:val="15"/>
                <w:szCs w:val="15"/>
                <w:rtl w:val="0"/>
              </w:rPr>
              <w:t xml:space="preserve">Condicionado a seguridad y soporte básicos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spacing w:after="60" w:before="60" w:lineRule="auto"/>
              <w:rPr/>
            </w:pPr>
            <w:r w:rsidDel="00000000" w:rsidR="00000000" w:rsidRPr="00000000">
              <w:rPr>
                <w:sz w:val="15"/>
                <w:szCs w:val="15"/>
                <w:rtl w:val="0"/>
              </w:rPr>
              <w:t xml:space="preserve">Business</w:t>
            </w:r>
            <w:r w:rsidDel="00000000" w:rsidR="00000000" w:rsidRPr="00000000">
              <w:rPr>
                <w:rtl w:val="0"/>
              </w:rPr>
            </w:r>
          </w:p>
        </w:tc>
        <w:tc>
          <w:tcPr>
            <w:vAlign w:val="center"/>
          </w:tcPr>
          <w:p w:rsidR="00000000" w:rsidDel="00000000" w:rsidP="00000000" w:rsidRDefault="00000000" w:rsidRPr="00000000" w14:paraId="0000010A">
            <w:pPr>
              <w:spacing w:after="60" w:before="60" w:lineRule="auto"/>
              <w:rPr/>
            </w:pPr>
            <w:r w:rsidDel="00000000" w:rsidR="00000000" w:rsidRPr="00000000">
              <w:rPr>
                <w:sz w:val="15"/>
                <w:szCs w:val="15"/>
                <w:rtl w:val="0"/>
              </w:rPr>
              <w:t xml:space="preserve">USD 399/mes</w:t>
            </w:r>
            <w:r w:rsidDel="00000000" w:rsidR="00000000" w:rsidRPr="00000000">
              <w:rPr>
                <w:rtl w:val="0"/>
              </w:rPr>
            </w:r>
          </w:p>
        </w:tc>
        <w:tc>
          <w:tcPr>
            <w:vAlign w:val="center"/>
          </w:tcPr>
          <w:p w:rsidR="00000000" w:rsidDel="00000000" w:rsidP="00000000" w:rsidRDefault="00000000" w:rsidRPr="00000000" w14:paraId="0000010B">
            <w:pPr>
              <w:spacing w:after="60" w:before="60" w:lineRule="auto"/>
              <w:rPr/>
            </w:pPr>
            <w:r w:rsidDel="00000000" w:rsidR="00000000" w:rsidRPr="00000000">
              <w:rPr>
                <w:sz w:val="15"/>
                <w:szCs w:val="15"/>
                <w:rtl w:val="0"/>
              </w:rPr>
              <w:t xml:space="preserve">Varias bóvedas / roles y registros extendidos</w:t>
            </w:r>
            <w:r w:rsidDel="00000000" w:rsidR="00000000" w:rsidRPr="00000000">
              <w:rPr>
                <w:rtl w:val="0"/>
              </w:rPr>
            </w:r>
          </w:p>
        </w:tc>
        <w:tc>
          <w:tcPr>
            <w:vAlign w:val="center"/>
          </w:tcPr>
          <w:p w:rsidR="00000000" w:rsidDel="00000000" w:rsidP="00000000" w:rsidRDefault="00000000" w:rsidRPr="00000000" w14:paraId="0000010C">
            <w:pPr>
              <w:spacing w:after="60" w:before="60" w:lineRule="auto"/>
              <w:rPr/>
            </w:pPr>
            <w:r w:rsidDel="00000000" w:rsidR="00000000" w:rsidRPr="00000000">
              <w:rPr>
                <w:sz w:val="15"/>
                <w:szCs w:val="15"/>
                <w:rtl w:val="0"/>
              </w:rPr>
              <w:t xml:space="preserve">Funciones adicionales: roadmap, no MVP actual</w:t>
            </w:r>
            <w:r w:rsidDel="00000000" w:rsidR="00000000" w:rsidRPr="00000000">
              <w:rPr>
                <w:rtl w:val="0"/>
              </w:rPr>
            </w:r>
          </w:p>
        </w:tc>
      </w:tr>
      <w:tr>
        <w:trPr>
          <w:cantSplit w:val="0"/>
          <w:tblHeader w:val="0"/>
        </w:trPr>
        <w:tc>
          <w:tcPr>
            <w:shd w:fill="f7fafb" w:val="clear"/>
            <w:vAlign w:val="center"/>
          </w:tcPr>
          <w:p w:rsidR="00000000" w:rsidDel="00000000" w:rsidP="00000000" w:rsidRDefault="00000000" w:rsidRPr="00000000" w14:paraId="0000010D">
            <w:pPr>
              <w:spacing w:after="60" w:before="60" w:lineRule="auto"/>
              <w:rPr/>
            </w:pPr>
            <w:r w:rsidDel="00000000" w:rsidR="00000000" w:rsidRPr="00000000">
              <w:rPr>
                <w:sz w:val="15"/>
                <w:szCs w:val="15"/>
                <w:rtl w:val="0"/>
              </w:rPr>
              <w:t xml:space="preserve">Enterprise</w:t>
            </w:r>
            <w:r w:rsidDel="00000000" w:rsidR="00000000" w:rsidRPr="00000000">
              <w:rPr>
                <w:rtl w:val="0"/>
              </w:rPr>
            </w:r>
          </w:p>
        </w:tc>
        <w:tc>
          <w:tcPr>
            <w:shd w:fill="f7fafb" w:val="clear"/>
            <w:vAlign w:val="center"/>
          </w:tcPr>
          <w:p w:rsidR="00000000" w:rsidDel="00000000" w:rsidP="00000000" w:rsidRDefault="00000000" w:rsidRPr="00000000" w14:paraId="0000010E">
            <w:pPr>
              <w:spacing w:after="60" w:before="60" w:lineRule="auto"/>
              <w:rPr/>
            </w:pPr>
            <w:r w:rsidDel="00000000" w:rsidR="00000000" w:rsidRPr="00000000">
              <w:rPr>
                <w:sz w:val="15"/>
                <w:szCs w:val="15"/>
                <w:rtl w:val="0"/>
              </w:rPr>
              <w:t xml:space="preserve">Cotización</w:t>
            </w:r>
            <w:r w:rsidDel="00000000" w:rsidR="00000000" w:rsidRPr="00000000">
              <w:rPr>
                <w:rtl w:val="0"/>
              </w:rPr>
            </w:r>
          </w:p>
        </w:tc>
        <w:tc>
          <w:tcPr>
            <w:shd w:fill="f7fafb" w:val="clear"/>
            <w:vAlign w:val="center"/>
          </w:tcPr>
          <w:p w:rsidR="00000000" w:rsidDel="00000000" w:rsidP="00000000" w:rsidRDefault="00000000" w:rsidRPr="00000000" w14:paraId="0000010F">
            <w:pPr>
              <w:spacing w:after="60" w:before="60" w:lineRule="auto"/>
              <w:rPr/>
            </w:pPr>
            <w:r w:rsidDel="00000000" w:rsidR="00000000" w:rsidRPr="00000000">
              <w:rPr>
                <w:sz w:val="15"/>
                <w:szCs w:val="15"/>
                <w:rtl w:val="0"/>
              </w:rPr>
              <w:t xml:space="preserve">Integración, política custom y SLA</w:t>
            </w:r>
            <w:r w:rsidDel="00000000" w:rsidR="00000000" w:rsidRPr="00000000">
              <w:rPr>
                <w:rtl w:val="0"/>
              </w:rPr>
            </w:r>
          </w:p>
        </w:tc>
        <w:tc>
          <w:tcPr>
            <w:shd w:fill="f7fafb" w:val="clear"/>
            <w:vAlign w:val="center"/>
          </w:tcPr>
          <w:p w:rsidR="00000000" w:rsidDel="00000000" w:rsidP="00000000" w:rsidRDefault="00000000" w:rsidRPr="00000000" w14:paraId="00000110">
            <w:pPr>
              <w:spacing w:after="60" w:before="60" w:lineRule="auto"/>
              <w:rPr/>
            </w:pPr>
            <w:r w:rsidDel="00000000" w:rsidR="00000000" w:rsidRPr="00000000">
              <w:rPr>
                <w:sz w:val="15"/>
                <w:szCs w:val="15"/>
                <w:rtl w:val="0"/>
              </w:rPr>
              <w:t xml:space="preserve">Auditoría + compliance / contrato a negociar</w:t>
            </w:r>
            <w:r w:rsidDel="00000000" w:rsidR="00000000" w:rsidRPr="00000000">
              <w:rPr>
                <w:rtl w:val="0"/>
              </w:rPr>
            </w:r>
          </w:p>
        </w:tc>
      </w:tr>
    </w:tbl>
    <w:p w:rsidR="00000000" w:rsidDel="00000000" w:rsidP="00000000" w:rsidRDefault="00000000" w:rsidRPr="00000000" w14:paraId="00000111">
      <w:pPr>
        <w:spacing w:after="0" w:lineRule="auto"/>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Los USD 149 y USD 399 son anclas de investigación para obtener feedback de compra; no se validaron con clientes. No hay fundamento para afirmar que Pucará costará menos en TCO, ni que una institución lo contratará a esos precios.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tl w:val="0"/>
        </w:rPr>
        <w:t xml:space="preserve">Riesgos económicos reales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9283a"/>
          <w:sz w:val="18"/>
          <w:szCs w:val="18"/>
          <w:u w:val="none"/>
          <w:shd w:fill="auto" w:val="clear"/>
          <w:vertAlign w:val="baseline"/>
          <w:rtl w:val="0"/>
        </w:rPr>
        <w:t xml:space="preserve">El cliente compara no solo con Fireblocks/Safe Pro, sino con «hacerlo internamente» mediante multisig nativo Stellar, o mantener activos en exchange/custodio. [S19]</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9283a"/>
          <w:sz w:val="18"/>
          <w:szCs w:val="18"/>
          <w:u w:val="none"/>
          <w:shd w:fill="auto" w:val="clear"/>
          <w:vertAlign w:val="baseline"/>
          <w:rtl w:val="0"/>
        </w:rPr>
        <w:t xml:space="preserve">La seguridad del smart contract, respuesta a incidentes, recuperación y soporte institucional pueden superar el ingreso mensual de pequeños clientes. No prometer SLA antes de poder operarlo.</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9283a"/>
          <w:sz w:val="18"/>
          <w:szCs w:val="18"/>
          <w:u w:val="none"/>
          <w:shd w:fill="auto" w:val="clear"/>
          <w:vertAlign w:val="baseline"/>
          <w:rtl w:val="0"/>
        </w:rPr>
        <w:t xml:space="preserve">Regulación, deberes AML/KYC, clasificación legal de la oferta y eventual responsabilidad de custodia exigen asesoramiento jurídico por jurisdicción; no se analizan ni garantizan aquí.</w:t>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Recomendación ejecutiva al jurado</w:t>
      </w:r>
    </w:p>
    <w:p w:rsidR="00000000" w:rsidDel="00000000" w:rsidP="00000000" w:rsidRDefault="00000000" w:rsidRPr="00000000" w14:paraId="00000119">
      <w:pPr>
        <w:rPr/>
      </w:pPr>
      <w:r w:rsidDel="00000000" w:rsidR="00000000" w:rsidRPr="00000000">
        <w:rPr>
          <w:rtl w:val="0"/>
        </w:rPr>
        <w:t xml:space="preserve">Pucará aborda una necesidad emergente y comprobable: quién debe autorizar movimientos de fondos digitales, cómo se resguarda esa autoridad al rotar personas o dispositivos y cómo se reduce la dependencia de expertos que gestionan frases de recuperación. Los incidentes documentados prueban que ni la custodia ni el quórum son suficientes sin una experiencia que vincule la intención de negocio con la operación que finalmente se firma.</w:t>
      </w:r>
    </w:p>
    <w:p w:rsidR="00000000" w:rsidDel="00000000" w:rsidP="00000000" w:rsidRDefault="00000000" w:rsidRPr="00000000" w14:paraId="0000011A">
      <w:pPr>
        <w:rPr/>
      </w:pPr>
      <w:r w:rsidDel="00000000" w:rsidR="00000000" w:rsidRPr="00000000">
        <w:rPr>
          <w:rtl w:val="0"/>
        </w:rPr>
        <w:t xml:space="preserve">La diferenciación razonable consiste en trasladar control compartido de firmas, passkeys y experiencia institucional a Stellar sin trasladar toda la carga de una plataforma multi-chain de custodia. Safe Pro confirma una tendencia comercial hacia cobrar por coordinación, políticas y soporte de tesorería, mientras que Fireblocks ofrece un benchmark de suites institucionales de mayor alcance. Pucará no es todavía equivalente ni sustituto completo de ninguna de ellas.</w:t>
      </w:r>
    </w:p>
    <w:tbl>
      <w:tblPr>
        <w:tblStyle w:val="Table12"/>
        <w:tblW w:w="9764.0" w:type="dxa"/>
        <w:jc w:val="left"/>
        <w:tblInd w:w="-115.0" w:type="dxa"/>
        <w:tblLayout w:type="fixed"/>
        <w:tblLook w:val="0400"/>
      </w:tblPr>
      <w:tblGrid>
        <w:gridCol w:w="9764"/>
        <w:tblGridChange w:id="0">
          <w:tblGrid>
            <w:gridCol w:w="9764"/>
          </w:tblGrid>
        </w:tblGridChange>
      </w:tblGrid>
      <w:tr>
        <w:trPr>
          <w:cantSplit w:val="0"/>
          <w:tblHeader w:val="0"/>
        </w:trPr>
        <w:tc>
          <w:tcPr>
            <w:shd w:fill="eaf2f4" w:val="clear"/>
          </w:tcPr>
          <w:p w:rsidR="00000000" w:rsidDel="00000000" w:rsidP="00000000" w:rsidRDefault="00000000" w:rsidRPr="00000000" w14:paraId="0000011B">
            <w:pPr>
              <w:spacing w:after="100" w:lineRule="auto"/>
              <w:rPr/>
            </w:pPr>
            <w:r w:rsidDel="00000000" w:rsidR="00000000" w:rsidRPr="00000000">
              <w:rPr>
                <w:b w:val="1"/>
                <w:bCs w:val="1"/>
                <w:color w:val="19283a"/>
                <w:sz w:val="20"/>
                <w:szCs w:val="20"/>
                <w:rtl w:val="0"/>
              </w:rPr>
              <w:t xml:space="preserve">Validamos el problema con pérdidas e incidentes documentados, la solución UX con evidencia FIDO/NIST y la existencia de una categoría paga con precios oficiales de Safe Pro y Fireblocks. Pucará demuestra una alternativa nativa de Stellar en Testnet. </w:t>
            </w:r>
            <w:r w:rsidDel="00000000" w:rsidR="00000000" w:rsidRPr="00000000">
              <w:rPr>
                <w:rtl w:val="0"/>
              </w:rPr>
            </w:r>
          </w:p>
        </w:tc>
      </w:tr>
    </w:tbl>
    <w:p w:rsidR="00000000" w:rsidDel="00000000" w:rsidP="00000000" w:rsidRDefault="00000000" w:rsidRPr="00000000" w14:paraId="0000011C">
      <w:pPr>
        <w:spacing w:after="0" w:lineRule="auto"/>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right="0"/>
        <w:jc w:val="left"/>
        <w:rPr/>
      </w:pP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Fuentes auditables y enlaces</w:t>
      </w:r>
    </w:p>
    <w:p w:rsidR="00000000" w:rsidDel="00000000" w:rsidP="00000000" w:rsidRDefault="00000000" w:rsidRPr="00000000" w14:paraId="00000120">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S01  Fireblocks — Pricing (tarifario oficial)</w:t>
        <w:br w:type="textWrapping"/>
      </w:r>
      <w:hyperlink r:id="rId6">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https://www.fireblocks.com/pricing</w:t>
        </w:r>
      </w:hyperlink>
      <w:r w:rsidDel="00000000" w:rsidR="00000000" w:rsidRPr="00000000">
        <w:rPr>
          <w:rtl w:val="0"/>
        </w:rPr>
      </w:r>
    </w:p>
    <w:p w:rsidR="00000000" w:rsidDel="00000000" w:rsidP="00000000" w:rsidRDefault="00000000" w:rsidRPr="00000000" w14:paraId="00000121">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S02  Fireblocks — Digital Asset Custody Comparison (arquitectura, declarado por proveedor)</w:t>
        <w:br w:type="textWrapping"/>
      </w:r>
      <w:hyperlink r:id="rId7">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https://www.fireblocks.com/report/compare-digital-asset-custody</w:t>
        </w:r>
      </w:hyperlink>
      <w:r w:rsidDel="00000000" w:rsidR="00000000" w:rsidRPr="00000000">
        <w:rPr>
          <w:rtl w:val="0"/>
        </w:rPr>
      </w:r>
    </w:p>
    <w:p w:rsidR="00000000" w:rsidDel="00000000" w:rsidP="00000000" w:rsidRDefault="00000000" w:rsidRPr="00000000" w14:paraId="00000122">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S03  Safe — Safe Pro Pricing &amp; Plans (tarifario oficial)</w:t>
        <w:br w:type="textWrapping"/>
      </w:r>
      <w:hyperlink r:id="rId8">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https://safe.global/pricing</w:t>
        </w:r>
      </w:hyperlink>
      <w:r w:rsidDel="00000000" w:rsidR="00000000" w:rsidRPr="00000000">
        <w:rPr>
          <w:rtl w:val="0"/>
        </w:rPr>
      </w:r>
    </w:p>
    <w:p w:rsidR="00000000" w:rsidDel="00000000" w:rsidP="00000000" w:rsidRDefault="00000000" w:rsidRPr="00000000" w14:paraId="00000123">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S04  Safe Labs — Safe Pro pricing: plans, costs, and tiers explained (12/10/2026)</w:t>
        <w:br w:type="textWrapping"/>
      </w:r>
      <w:hyperlink r:id="rId9">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https://safe.global/blog/safe-pro-pricing</w:t>
        </w:r>
      </w:hyperlink>
      <w:r w:rsidDel="00000000" w:rsidR="00000000" w:rsidRPr="00000000">
        <w:rPr>
          <w:rtl w:val="0"/>
        </w:rPr>
      </w:r>
    </w:p>
    <w:p w:rsidR="00000000" w:rsidDel="00000000" w:rsidP="00000000" w:rsidRDefault="00000000" w:rsidRPr="00000000" w14:paraId="00000124">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S05  Safe Labs — Introducing Safe Pro (06/10/2026)</w:t>
        <w:br w:type="textWrapping"/>
      </w:r>
      <w:hyperlink r:id="rId10">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https://www.safe.global/blog/introducing-safe-pro</w:t>
        </w:r>
      </w:hyperlink>
      <w:r w:rsidDel="00000000" w:rsidR="00000000" w:rsidRPr="00000000">
        <w:rPr>
          <w:rtl w:val="0"/>
        </w:rPr>
      </w:r>
    </w:p>
    <w:p w:rsidR="00000000" w:rsidDel="00000000" w:rsidP="00000000" w:rsidRDefault="00000000" w:rsidRPr="00000000" w14:paraId="00000125">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S06  Safe Help — What is Safe Pro? (10/2026)</w:t>
        <w:br w:type="textWrapping"/>
      </w:r>
      <w:hyperlink r:id="rId11">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https://help.safe.global/articles/4149925404-what-is-safe-pro</w:t>
        </w:r>
      </w:hyperlink>
      <w:r w:rsidDel="00000000" w:rsidR="00000000" w:rsidRPr="00000000">
        <w:rPr>
          <w:rtl w:val="0"/>
        </w:rPr>
      </w:r>
    </w:p>
    <w:p w:rsidR="00000000" w:rsidDel="00000000" w:rsidP="00000000" w:rsidRDefault="00000000" w:rsidRPr="00000000" w14:paraId="00000126">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S07  Safe Docs — Safe and Passkeys</w:t>
        <w:br w:type="textWrapping"/>
      </w:r>
      <w:hyperlink r:id="rId12">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https://docs.safe.global/advanced/passkeys/passkeys-safe</w:t>
        </w:r>
      </w:hyperlink>
      <w:r w:rsidDel="00000000" w:rsidR="00000000" w:rsidRPr="00000000">
        <w:rPr>
          <w:rtl w:val="0"/>
        </w:rPr>
      </w:r>
    </w:p>
    <w:p w:rsidR="00000000" w:rsidDel="00000000" w:rsidP="00000000" w:rsidRDefault="00000000" w:rsidRPr="00000000" w14:paraId="00000127">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S08  Safe Docs — Install Safe on your chain / enfoque EVM</w:t>
        <w:br w:type="textWrapping"/>
      </w:r>
      <w:hyperlink r:id="rId13">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https://docs.safe.global/core-api/safe-installation-overview</w:t>
        </w:r>
      </w:hyperlink>
      <w:r w:rsidDel="00000000" w:rsidR="00000000" w:rsidRPr="00000000">
        <w:rPr>
          <w:rtl w:val="0"/>
        </w:rPr>
      </w:r>
    </w:p>
    <w:p w:rsidR="00000000" w:rsidDel="00000000" w:rsidP="00000000" w:rsidRDefault="00000000" w:rsidRPr="00000000" w14:paraId="00000128">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S09  FIDO Alliance — Passkey Index 2026 (15/10/2026)</w:t>
        <w:br w:type="textWrapping"/>
      </w:r>
      <w:hyperlink r:id="rId14">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https://fidoalliance.org/passkey-index-2026/</w:t>
        </w:r>
      </w:hyperlink>
      <w:r w:rsidDel="00000000" w:rsidR="00000000" w:rsidRPr="00000000">
        <w:rPr>
          <w:rtl w:val="0"/>
        </w:rPr>
      </w:r>
    </w:p>
    <w:p w:rsidR="00000000" w:rsidDel="00000000" w:rsidP="00000000" w:rsidRDefault="00000000" w:rsidRPr="00000000" w14:paraId="0000012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S10  FIDO Alliance — World Passkey Day 2025 consumer study (01/05/2025)</w:t>
        <w:br w:type="textWrapping"/>
      </w:r>
      <w:hyperlink r:id="rId15">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https://fidoalliance.org/fido-alliance-champions-widespread-passkey-adoption-and-a-passwordless-future-on-world-passkey-day-2025/</w:t>
        </w:r>
      </w:hyperlink>
      <w:r w:rsidDel="00000000" w:rsidR="00000000" w:rsidRPr="00000000">
        <w:rPr>
          <w:rtl w:val="0"/>
        </w:rPr>
      </w:r>
    </w:p>
    <w:p w:rsidR="00000000" w:rsidDel="00000000" w:rsidP="00000000" w:rsidRDefault="00000000" w:rsidRPr="00000000" w14:paraId="0000012A">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S11  NIST — SP 800-63B Authentication and Authenticator Management</w:t>
        <w:br w:type="textWrapping"/>
      </w:r>
      <w:hyperlink r:id="rId16">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https://pages.nist.gov/800-63-4/sp800-63b.html</w:t>
        </w:r>
      </w:hyperlink>
      <w:r w:rsidDel="00000000" w:rsidR="00000000" w:rsidRPr="00000000">
        <w:rPr>
          <w:rtl w:val="0"/>
        </w:rPr>
      </w:r>
    </w:p>
    <w:p w:rsidR="00000000" w:rsidDel="00000000" w:rsidP="00000000" w:rsidRDefault="00000000" w:rsidRPr="00000000" w14:paraId="0000012B">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S12  NIST — SP 800-63B Appendix B: Syncable Authenticators</w:t>
        <w:br w:type="textWrapping"/>
      </w:r>
      <w:hyperlink r:id="rId17">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https://pages.nist.gov/800-63-4/sp800-63b/syncable/</w:t>
        </w:r>
      </w:hyperlink>
      <w:r w:rsidDel="00000000" w:rsidR="00000000" w:rsidRPr="00000000">
        <w:rPr>
          <w:rtl w:val="0"/>
        </w:rPr>
      </w:r>
    </w:p>
    <w:p w:rsidR="00000000" w:rsidDel="00000000" w:rsidP="00000000" w:rsidRDefault="00000000" w:rsidRPr="00000000" w14:paraId="0000012C">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S13  Chainalysis — Crypto Hacking &amp; Stolen Funds 2025 (18/12/2025)</w:t>
        <w:br w:type="textWrapping"/>
      </w:r>
      <w:hyperlink r:id="rId18">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https://www.chainalysis.com/blog/crypto-hacking-stolen-funds-2026-/</w:t>
        </w:r>
      </w:hyperlink>
      <w:r w:rsidDel="00000000" w:rsidR="00000000" w:rsidRPr="00000000">
        <w:rPr>
          <w:rtl w:val="0"/>
        </w:rPr>
      </w:r>
    </w:p>
    <w:p w:rsidR="00000000" w:rsidDel="00000000" w:rsidP="00000000" w:rsidRDefault="00000000" w:rsidRPr="00000000" w14:paraId="0000012D">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S14  FBI — Cryptocurrency and AI Scams Bilk Americans of Billions (06/04/2026)</w:t>
        <w:br w:type="textWrapping"/>
      </w:r>
      <w:hyperlink r:id="rId19">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https://www.fbi.gov/news/press-releases/cryptocurrency-and-ai-scams-bilk-americans-of-billions</w:t>
        </w:r>
      </w:hyperlink>
      <w:r w:rsidDel="00000000" w:rsidR="00000000" w:rsidRPr="00000000">
        <w:rPr>
          <w:rtl w:val="0"/>
        </w:rPr>
      </w:r>
    </w:p>
    <w:p w:rsidR="00000000" w:rsidDel="00000000" w:rsidP="00000000" w:rsidRDefault="00000000" w:rsidRPr="00000000" w14:paraId="0000012E">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S15  NCC Group — Bybit Hack Technical Analysis (2025)</w:t>
        <w:br w:type="textWrapping"/>
      </w:r>
      <w:hyperlink r:id="rId20">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https://www.nccgroup.com/research/in-depth-technical-analysis-of-the-bybit-hack/</w:t>
        </w:r>
      </w:hyperlink>
      <w:r w:rsidDel="00000000" w:rsidR="00000000" w:rsidRPr="00000000">
        <w:rPr>
          <w:rtl w:val="0"/>
        </w:rPr>
      </w:r>
    </w:p>
    <w:p w:rsidR="00000000" w:rsidDel="00000000" w:rsidP="00000000" w:rsidRDefault="00000000" w:rsidRPr="00000000" w14:paraId="0000012F">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S16  Chainalysis — Latin America Crypto Adoption 2026 (23/09/2026)</w:t>
        <w:br w:type="textWrapping"/>
      </w:r>
      <w:hyperlink r:id="rId21">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https://www.chainalysis.com/blog/latin-america-crypto-adoption-2026/</w:t>
        </w:r>
      </w:hyperlink>
      <w:r w:rsidDel="00000000" w:rsidR="00000000" w:rsidRPr="00000000">
        <w:rPr>
          <w:rtl w:val="0"/>
        </w:rPr>
      </w:r>
    </w:p>
    <w:p w:rsidR="00000000" w:rsidDel="00000000" w:rsidP="00000000" w:rsidRDefault="00000000" w:rsidRPr="00000000" w14:paraId="00000130">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S17  Stellar Docs — Smart Wallets (contract accounts y passkeys)</w:t>
        <w:br w:type="textWrapping"/>
      </w:r>
      <w:hyperlink r:id="rId22">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https://developers.stellar.org/docs/build/guides/contract-accounts/smart-wallets</w:t>
        </w:r>
      </w:hyperlink>
      <w:r w:rsidDel="00000000" w:rsidR="00000000" w:rsidRPr="00000000">
        <w:rPr>
          <w:rtl w:val="0"/>
        </w:rPr>
      </w:r>
    </w:p>
    <w:p w:rsidR="00000000" w:rsidDel="00000000" w:rsidP="00000000" w:rsidRDefault="00000000" w:rsidRPr="00000000" w14:paraId="00000131">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S18  Stellar Docs — Contract Accounts (restricciones y uso)</w:t>
        <w:br w:type="textWrapping"/>
      </w:r>
      <w:hyperlink r:id="rId23">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https://developers.stellar.org/docs/build/guides/contract-accounts</w:t>
        </w:r>
      </w:hyperlink>
      <w:r w:rsidDel="00000000" w:rsidR="00000000" w:rsidRPr="00000000">
        <w:rPr>
          <w:rtl w:val="0"/>
        </w:rPr>
      </w:r>
    </w:p>
    <w:p w:rsidR="00000000" w:rsidDel="00000000" w:rsidP="00000000" w:rsidRDefault="00000000" w:rsidRPr="00000000" w14:paraId="00000132">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S19  Stellar Docs — Signatures and Multisig</w:t>
        <w:br w:type="textWrapping"/>
      </w:r>
      <w:hyperlink r:id="rId24">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https://developers.stellar.org/docs/learn/fundamentals/transactions/signatures-multisig</w:t>
        </w:r>
      </w:hyperlink>
      <w:r w:rsidDel="00000000" w:rsidR="00000000" w:rsidRPr="00000000">
        <w:rPr>
          <w:rtl w:val="0"/>
        </w:rPr>
      </w:r>
    </w:p>
    <w:p w:rsidR="00000000" w:rsidDel="00000000" w:rsidP="00000000" w:rsidRDefault="00000000" w:rsidRPr="00000000" w14:paraId="00000133">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S20  Stellar Foundation — Q2 2026 Stellar (RWA y stablecoins)</w:t>
        <w:br w:type="textWrapping"/>
      </w:r>
      <w:hyperlink r:id="rId25">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https://stellar.org/es/blog/noticias-fundacion/q2-2026-what-stellar-was-built-for-has-arrived</w:t>
        </w:r>
      </w:hyperlink>
      <w:r w:rsidDel="00000000" w:rsidR="00000000" w:rsidRPr="00000000">
        <w:rPr>
          <w:rtl w:val="0"/>
        </w:rPr>
      </w:r>
    </w:p>
    <w:p w:rsidR="00000000" w:rsidDel="00000000" w:rsidP="00000000" w:rsidRDefault="00000000" w:rsidRPr="00000000" w14:paraId="00000134">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S21  Safe — API Terms (referencia EVM)</w:t>
        <w:br w:type="textWrapping"/>
      </w:r>
      <w:hyperlink r:id="rId26">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https://www.safe.global/api-terms</w:t>
        </w:r>
      </w:hyperlink>
      <w:r w:rsidDel="00000000" w:rsidR="00000000" w:rsidRPr="00000000">
        <w:rPr>
          <w:rtl w:val="0"/>
        </w:rPr>
      </w:r>
    </w:p>
    <w:p w:rsidR="00000000" w:rsidDel="00000000" w:rsidP="00000000" w:rsidRDefault="00000000" w:rsidRPr="00000000" w14:paraId="00000135">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S22  Proyecto Pucará — repositorio público</w:t>
        <w:br w:type="textWrapping"/>
      </w:r>
      <w:hyperlink r:id="rId27">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https://github.com/BTorossi-DS/pucara-institutional-vault</w:t>
        </w:r>
      </w:hyperlink>
      <w:r w:rsidDel="00000000" w:rsidR="00000000" w:rsidRPr="00000000">
        <w:rPr>
          <w:rtl w:val="0"/>
        </w:rPr>
      </w:r>
    </w:p>
    <w:p w:rsidR="00000000" w:rsidDel="00000000" w:rsidP="00000000" w:rsidRDefault="00000000" w:rsidRPr="00000000" w14:paraId="00000136">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1d537f"/>
          <w:sz w:val="16"/>
          <w:szCs w:val="16"/>
          <w:u w:val="none"/>
          <w:shd w:fill="auto" w:val="clear"/>
          <w:vertAlign w:val="baseline"/>
          <w:rtl w:val="0"/>
        </w:rPr>
        <w:t xml:space="preserve">S23  FIDO Alliance — Passkey Index 2025 (comparación histórica)</w:t>
        <w:br w:type="textWrapping"/>
      </w:r>
      <w:hyperlink r:id="rId28">
        <w:r w:rsidDel="00000000" w:rsidR="00000000" w:rsidRPr="00000000">
          <w:rPr>
            <w:rFonts w:ascii="Aptos" w:cs="Aptos" w:eastAsia="Aptos" w:hAnsi="Aptos"/>
            <w:b w:val="0"/>
            <w:bCs w:val="0"/>
            <w:i w:val="0"/>
            <w:iCs w:val="0"/>
            <w:smallCaps w:val="0"/>
            <w:strike w:val="0"/>
            <w:color w:val="1155cc"/>
            <w:sz w:val="15"/>
            <w:szCs w:val="15"/>
            <w:u w:val="single"/>
            <w:shd w:fill="auto" w:val="clear"/>
            <w:vertAlign w:val="baseline"/>
            <w:rtl w:val="0"/>
          </w:rPr>
          <w:t xml:space="preserve">https://fidoalliance.org/fido-alliance-launches-passkey-index-revealing-significant-passkey-uptake-and-business-benefits/</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b75"/>
          <w:sz w:val="16"/>
          <w:szCs w:val="16"/>
          <w:u w:val="none"/>
          <w:shd w:fill="auto" w:val="clear"/>
          <w:vertAlign w:val="baseline"/>
        </w:rPr>
      </w:pPr>
      <w:r w:rsidDel="00000000" w:rsidR="00000000" w:rsidRPr="00000000">
        <w:rPr>
          <w:rtl w:val="0"/>
        </w:rPr>
      </w:r>
    </w:p>
    <w:sectPr>
      <w:headerReference r:id="rId29" w:type="default"/>
      <w:footerReference r:id="rId30" w:type="default"/>
      <w:pgSz w:h="15840" w:w="12240" w:orient="portrait"/>
      <w:pgMar w:bottom="1037" w:top="1195" w:left="1238" w:right="1238" w:header="518" w:footer="51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9283a"/>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c6b75"/>
        <w:sz w:val="14"/>
        <w:szCs w:val="14"/>
        <w:u w:val="none"/>
        <w:shd w:fill="auto" w:val="clear"/>
        <w:vertAlign w:val="baseline"/>
        <w:rtl w:val="0"/>
      </w:rPr>
      <w:t xml:space="preserve">Hackathon Stellar  ·  17 OCT 2026  |  </w:t>
    </w:r>
    <w:r w:rsidDel="00000000" w:rsidR="00000000" w:rsidRPr="00000000">
      <w:rPr>
        <w:rFonts w:ascii="Aptos" w:cs="Aptos" w:eastAsia="Aptos" w:hAnsi="Aptos"/>
        <w:b w:val="0"/>
        <w:bCs w:val="0"/>
        <w:i w:val="0"/>
        <w:iCs w:val="0"/>
        <w:smallCaps w:val="0"/>
        <w:strike w:val="0"/>
        <w:color w:val="19283a"/>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9283a"/>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5c6b75"/>
        <w:sz w:val="15"/>
        <w:szCs w:val="15"/>
        <w:u w:val="none"/>
        <w:shd w:fill="auto" w:val="clear"/>
        <w:vertAlign w:val="baseline"/>
        <w:rtl w:val="0"/>
      </w:rPr>
      <w:t xml:space="preserve">PUCARÁ  /  RESEARCH &amp; VALIDACIÓN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9283a"/>
        <w:sz w:val="18"/>
        <w:szCs w:val="18"/>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00" w:lineRule="auto"/>
    </w:pPr>
    <w:rPr>
      <w:rFonts w:ascii="Play" w:cs="Play" w:eastAsia="Play" w:hAnsi="Play"/>
      <w:b w:val="1"/>
      <w:bCs w:val="1"/>
      <w:color w:val="19283a"/>
      <w:sz w:val="32"/>
      <w:szCs w:val="32"/>
    </w:rPr>
  </w:style>
  <w:style w:type="paragraph" w:styleId="Heading2">
    <w:name w:val="heading 2"/>
    <w:basedOn w:val="Normal"/>
    <w:next w:val="Normal"/>
    <w:pPr>
      <w:keepNext w:val="1"/>
      <w:keepLines w:val="1"/>
      <w:spacing w:after="100" w:before="220" w:lineRule="auto"/>
    </w:pPr>
    <w:rPr>
      <w:rFonts w:ascii="Play" w:cs="Play" w:eastAsia="Play" w:hAnsi="Play"/>
      <w:b w:val="1"/>
      <w:bCs w:val="1"/>
      <w:color w:val="1d537f"/>
      <w:sz w:val="23"/>
      <w:szCs w:val="23"/>
    </w:rPr>
  </w:style>
  <w:style w:type="paragraph" w:styleId="Heading3">
    <w:name w:val="heading 3"/>
    <w:basedOn w:val="Normal"/>
    <w:next w:val="Normal"/>
    <w:pPr>
      <w:keepNext w:val="1"/>
      <w:keepLines w:val="1"/>
      <w:spacing w:after="60" w:before="160" w:lineRule="auto"/>
    </w:pPr>
    <w:rPr>
      <w:rFonts w:ascii="Aptos" w:cs="Aptos" w:eastAsia="Aptos" w:hAnsi="Aptos"/>
      <w:b w:val="1"/>
      <w:bCs w:val="1"/>
      <w:color w:val="226e70"/>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60" w:before="0" w:line="240" w:lineRule="auto"/>
    </w:pPr>
    <w:rPr>
      <w:rFonts w:ascii="Play" w:cs="Play" w:eastAsia="Play" w:hAnsi="Play"/>
      <w:b w:val="1"/>
      <w:bCs w:val="1"/>
      <w:color w:val="19283a"/>
      <w:sz w:val="58"/>
      <w:szCs w:val="5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ccgroup.com/research/in-depth-technical-analysis-of-the-bybit-hack/" TargetMode="External"/><Relationship Id="rId22" Type="http://schemas.openxmlformats.org/officeDocument/2006/relationships/hyperlink" Target="https://developers.stellar.org/docs/build/guides/contract-accounts/smart-wallets" TargetMode="External"/><Relationship Id="rId21" Type="http://schemas.openxmlformats.org/officeDocument/2006/relationships/hyperlink" Target="https://www.chainalysis.com/blog/latin-america-crypto-adoption-2026/" TargetMode="External"/><Relationship Id="rId24" Type="http://schemas.openxmlformats.org/officeDocument/2006/relationships/hyperlink" Target="https://developers.stellar.org/docs/learn/fundamentals/transactions/signatures-multisig" TargetMode="External"/><Relationship Id="rId23" Type="http://schemas.openxmlformats.org/officeDocument/2006/relationships/hyperlink" Target="https://developers.stellar.org/docs/build/guides/contract-accou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fe.global/blog/safe-pro-pricing" TargetMode="External"/><Relationship Id="rId26" Type="http://schemas.openxmlformats.org/officeDocument/2006/relationships/hyperlink" Target="https://www.safe.global/api-terms" TargetMode="External"/><Relationship Id="rId25" Type="http://schemas.openxmlformats.org/officeDocument/2006/relationships/hyperlink" Target="https://stellar.org/es/blog/noticias-fundacion/q2-2026-what-stellar-was-built-for-has-arrived" TargetMode="External"/><Relationship Id="rId28" Type="http://schemas.openxmlformats.org/officeDocument/2006/relationships/hyperlink" Target="https://fidoalliance.org/fido-alliance-launches-passkey-index-revealing-significant-passkey-uptake-and-business-benefits/" TargetMode="External"/><Relationship Id="rId27" Type="http://schemas.openxmlformats.org/officeDocument/2006/relationships/hyperlink" Target="https://github.com/BTorossi-DS/pucara-institutional-vault" TargetMode="External"/><Relationship Id="rId5" Type="http://schemas.openxmlformats.org/officeDocument/2006/relationships/styles" Target="styles.xml"/><Relationship Id="rId6" Type="http://schemas.openxmlformats.org/officeDocument/2006/relationships/hyperlink" Target="https://www.fireblocks.com/pricing" TargetMode="External"/><Relationship Id="rId29" Type="http://schemas.openxmlformats.org/officeDocument/2006/relationships/header" Target="header1.xml"/><Relationship Id="rId7" Type="http://schemas.openxmlformats.org/officeDocument/2006/relationships/hyperlink" Target="https://www.fireblocks.com/report/compare-digital-asset-custody" TargetMode="External"/><Relationship Id="rId8" Type="http://schemas.openxmlformats.org/officeDocument/2006/relationships/hyperlink" Target="https://safe.global/pricing" TargetMode="External"/><Relationship Id="rId30" Type="http://schemas.openxmlformats.org/officeDocument/2006/relationships/footer" Target="footer1.xml"/><Relationship Id="rId11" Type="http://schemas.openxmlformats.org/officeDocument/2006/relationships/hyperlink" Target="https://help.safe.global/articles/4149925404-what-is-safe-pro" TargetMode="External"/><Relationship Id="rId10" Type="http://schemas.openxmlformats.org/officeDocument/2006/relationships/hyperlink" Target="https://www.safe.global/blog/introducing-safe-pro" TargetMode="External"/><Relationship Id="rId13" Type="http://schemas.openxmlformats.org/officeDocument/2006/relationships/hyperlink" Target="https://docs.safe.global/core-api/safe-installation-overview" TargetMode="External"/><Relationship Id="rId12" Type="http://schemas.openxmlformats.org/officeDocument/2006/relationships/hyperlink" Target="https://docs.safe.global/advanced/passkeys/passkeys-safe" TargetMode="External"/><Relationship Id="rId15" Type="http://schemas.openxmlformats.org/officeDocument/2006/relationships/hyperlink" Target="https://fidoalliance.org/fido-alliance-champions-widespread-passkey-adoption-and-a-passwordless-future-on-world-passkey-day-2025/" TargetMode="External"/><Relationship Id="rId14" Type="http://schemas.openxmlformats.org/officeDocument/2006/relationships/hyperlink" Target="https://fidoalliance.org/passkey-index-2026/" TargetMode="External"/><Relationship Id="rId17" Type="http://schemas.openxmlformats.org/officeDocument/2006/relationships/hyperlink" Target="https://pages.nist.gov/800-63-4/sp800-63b/syncable/" TargetMode="External"/><Relationship Id="rId16" Type="http://schemas.openxmlformats.org/officeDocument/2006/relationships/hyperlink" Target="https://pages.nist.gov/800-63-4/sp800-63b.html" TargetMode="External"/><Relationship Id="rId19" Type="http://schemas.openxmlformats.org/officeDocument/2006/relationships/hyperlink" Target="https://www.fbi.gov/news/press-releases/cryptocurrency-and-ai-scams-bilk-americans-of-billions" TargetMode="External"/><Relationship Id="rId18" Type="http://schemas.openxmlformats.org/officeDocument/2006/relationships/hyperlink" Target="https://www.chainalysis.com/blog/crypto-hacking-stolen-funds-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